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245721940"/>
      <w:bookmarkStart w:id="1" w:name="_Toc512845171"/>
      <w:bookmarkStart w:id="2" w:name="_Toc81006315"/>
      <w:bookmarkStart w:id="3" w:name="_Toc61250934"/>
      <w:bookmarkStart w:id="4" w:name="_Toc535797316"/>
      <w:bookmarkStart w:id="5" w:name="_Toc65566929"/>
      <w:bookmarkStart w:id="6" w:name="_Toc65331930"/>
      <w:bookmarkStart w:id="7" w:name="_Toc535262543"/>
      <w:bookmarkStart w:id="8" w:name="_Toc81007055"/>
    </w:p>
    <w:p/>
    <w:p>
      <w:r>
        <w:drawing>
          <wp:anchor distT="0" distB="0" distL="114300" distR="114300" simplePos="0" relativeHeight="251659264" behindDoc="1" locked="0" layoutInCell="1" allowOverlap="1">
            <wp:simplePos x="0" y="0"/>
            <wp:positionH relativeFrom="column">
              <wp:posOffset>228600</wp:posOffset>
            </wp:positionH>
            <wp:positionV relativeFrom="paragraph">
              <wp:posOffset>0</wp:posOffset>
            </wp:positionV>
            <wp:extent cx="1028700" cy="876300"/>
            <wp:effectExtent l="19050" t="0" r="0" b="0"/>
            <wp:wrapNone/>
            <wp:docPr id="8286" name="图片 4" descr="scanimg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图片 4" descr="scanimg61"/>
                    <pic:cNvPicPr>
                      <a:picLocks noChangeAspect="1" noChangeArrowheads="1"/>
                    </pic:cNvPicPr>
                  </pic:nvPicPr>
                  <pic:blipFill>
                    <a:blip r:embed="rId24"/>
                    <a:srcRect l="48662" t="12778" r="42992" b="81848"/>
                    <a:stretch>
                      <a:fillRect/>
                    </a:stretch>
                  </pic:blipFill>
                  <pic:spPr>
                    <a:xfrm>
                      <a:off x="0" y="0"/>
                      <a:ext cx="1028700" cy="876300"/>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912495</wp:posOffset>
                </wp:positionV>
                <wp:extent cx="5486400" cy="0"/>
                <wp:effectExtent l="28575" t="36195" r="28575" b="30480"/>
                <wp:wrapNone/>
                <wp:docPr id="8695" name="直线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a:solidFill>
                            <a:srgbClr val="000000"/>
                          </a:solidFill>
                          <a:round/>
                        </a:ln>
                      </wps:spPr>
                      <wps:bodyPr/>
                    </wps:wsp>
                  </a:graphicData>
                </a:graphic>
              </wp:anchor>
            </w:drawing>
          </mc:Choice>
          <mc:Fallback>
            <w:pict>
              <v:line id="直线 2" o:spid="_x0000_s1026" o:spt="20" style="position:absolute;left:0pt;margin-left:9pt;margin-top:71.85pt;height:0pt;width:432pt;z-index:251660288;mso-width-relative:page;mso-height-relative:page;" filled="f" stroked="t" coordsize="21600,21600" o:gfxdata="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flVyTXAAAACgEAAA8AAAAAAAAA&#10;AQAgAAAAIgAAAGRycy9kb3ducmV2LnhtbFBLAQIUABQAAAAIAIdO4kDzgIi/2QEAAKUDAAAOAAAA&#10;AAAAAAEAIAAAACYBAABkcnMvZTJvRG9jLnhtbFBLBQYAAAAABgAGAFkBAABxBQAAAAA=&#10;">
                <v:fill on="f" focussize="0,0"/>
                <v:stroke weight="4.5pt"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2905125</wp:posOffset>
                </wp:positionH>
                <wp:positionV relativeFrom="paragraph">
                  <wp:posOffset>480060</wp:posOffset>
                </wp:positionV>
                <wp:extent cx="2971800" cy="396240"/>
                <wp:effectExtent l="0" t="3810" r="0" b="0"/>
                <wp:wrapNone/>
                <wp:docPr id="869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971800" cy="396240"/>
                        </a:xfrm>
                        <a:prstGeom prst="rect">
                          <a:avLst/>
                        </a:prstGeom>
                        <a:solidFill>
                          <a:srgbClr val="FFFFFF"/>
                        </a:solidFill>
                        <a:ln>
                          <a:noFill/>
                        </a:ln>
                      </wps:spPr>
                      <wps:txbx>
                        <w:txbxContent>
                          <w:p>
                            <w:pPr>
                              <w:jc w:val="center"/>
                              <w:rPr>
                                <w:rFonts w:ascii="华文行楷" w:eastAsia="华文行楷"/>
                                <w:b/>
                                <w:bCs/>
                                <w:sz w:val="32"/>
                              </w:rPr>
                            </w:pPr>
                            <w:r>
                              <w:rPr>
                                <w:rFonts w:hint="eastAsia" w:ascii="华文行楷" w:eastAsia="华文行楷"/>
                                <w:b/>
                                <w:bCs/>
                                <w:sz w:val="32"/>
                              </w:rPr>
                              <w:t>国环评证甲字第1306号</w:t>
                            </w:r>
                          </w:p>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28.75pt;margin-top:37.8pt;height:31.2pt;width:234pt;z-index:251661312;mso-width-relative:page;mso-height-relative:page;" fillcolor="#FFFFFF" filled="t" stroked="f" coordsize="21600,21600" o:gfxdata="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xhSR9gAAAAKAQAADwAAAAAAAAABACAAAAAiAAAAZHJzL2Rvd25yZXYueG1sUEsB&#10;AhQAFAAAAAgAh07iQHxypCUuAgAAQQQAAA4AAAAAAAAAAQAgAAAAJwEAAGRycy9lMm9Eb2MueG1s&#10;UEsFBgAAAAAGAAYAWQEAAMcFAAAAAA==&#10;">
                <v:fill on="t" focussize="0,0"/>
                <v:stroke on="f"/>
                <v:imagedata o:title=""/>
                <o:lock v:ext="edit" aspectratio="f"/>
                <v:textbox>
                  <w:txbxContent>
                    <w:p>
                      <w:pPr>
                        <w:jc w:val="center"/>
                        <w:rPr>
                          <w:rFonts w:ascii="华文行楷" w:eastAsia="华文行楷"/>
                          <w:b/>
                          <w:bCs/>
                          <w:sz w:val="32"/>
                        </w:rPr>
                      </w:pPr>
                      <w:r>
                        <w:rPr>
                          <w:rFonts w:hint="eastAsia" w:ascii="华文行楷" w:eastAsia="华文行楷"/>
                          <w:b/>
                          <w:bCs/>
                          <w:sz w:val="32"/>
                        </w:rPr>
                        <w:t>国环评证甲字第1306号</w:t>
                      </w:r>
                    </w:p>
                    <w:p/>
                  </w:txbxContent>
                </v:textbox>
              </v:shape>
            </w:pict>
          </mc:Fallback>
        </mc:AlternateContent>
      </w:r>
    </w:p>
    <w:p/>
    <w:p/>
    <w:p>
      <w:pPr>
        <w:ind w:firstLine="720" w:firstLineChars="300"/>
      </w:pPr>
    </w:p>
    <w:p>
      <w:pPr>
        <w:jc w:val="center"/>
      </w:pPr>
    </w:p>
    <w:p>
      <w:pPr>
        <w:jc w:val="center"/>
      </w:pPr>
    </w:p>
    <w:p>
      <w:pPr>
        <w:jc w:val="center"/>
      </w:pPr>
    </w:p>
    <w:p>
      <w:pPr>
        <w:spacing w:before="48" w:beforeLines="20" w:after="48" w:afterLines="20"/>
        <w:jc w:val="center"/>
        <w:rPr>
          <w:rFonts w:eastAsia="黑体"/>
          <w:b/>
          <w:bCs/>
          <w:sz w:val="36"/>
          <w:szCs w:val="36"/>
        </w:rPr>
      </w:pPr>
      <w:bookmarkStart w:id="9" w:name="OLE_LINK1"/>
      <w:r>
        <w:rPr>
          <w:rFonts w:hint="eastAsia" w:eastAsia="黑体"/>
          <w:b/>
          <w:bCs/>
          <w:sz w:val="36"/>
          <w:szCs w:val="36"/>
        </w:rPr>
        <w:t>繁峙县东胜砖厂年开采1.5万m</w:t>
      </w:r>
      <w:r>
        <w:rPr>
          <w:rFonts w:hint="eastAsia" w:eastAsia="黑体"/>
          <w:b/>
          <w:bCs/>
          <w:sz w:val="36"/>
          <w:szCs w:val="36"/>
          <w:vertAlign w:val="superscript"/>
        </w:rPr>
        <w:t>3</w:t>
      </w:r>
      <w:r>
        <w:rPr>
          <w:rFonts w:hint="eastAsia" w:eastAsia="黑体"/>
          <w:b/>
          <w:bCs/>
          <w:sz w:val="36"/>
          <w:szCs w:val="36"/>
        </w:rPr>
        <w:t>砖瓦用</w:t>
      </w:r>
    </w:p>
    <w:p>
      <w:pPr>
        <w:spacing w:before="48" w:beforeLines="20" w:after="48" w:afterLines="20"/>
        <w:jc w:val="center"/>
        <w:rPr>
          <w:rFonts w:eastAsia="黑体"/>
          <w:b/>
          <w:bCs/>
          <w:sz w:val="36"/>
          <w:szCs w:val="36"/>
        </w:rPr>
      </w:pPr>
      <w:r>
        <w:rPr>
          <w:rFonts w:hint="eastAsia" w:eastAsia="黑体"/>
          <w:b/>
          <w:bCs/>
          <w:sz w:val="36"/>
          <w:szCs w:val="36"/>
        </w:rPr>
        <w:t>粘土矿建设项目</w:t>
      </w:r>
    </w:p>
    <w:p>
      <w:pPr>
        <w:pStyle w:val="87"/>
        <w:ind w:left="480"/>
      </w:pPr>
    </w:p>
    <w:bookmarkEnd w:id="9"/>
    <w:p>
      <w:pPr>
        <w:jc w:val="center"/>
        <w:rPr>
          <w:rFonts w:eastAsia="楷体_GB2312"/>
          <w:b/>
          <w:bCs/>
          <w:sz w:val="90"/>
        </w:rPr>
      </w:pPr>
      <w:r>
        <w:rPr>
          <w:rFonts w:eastAsia="楷体_GB2312"/>
          <w:b/>
          <w:bCs/>
          <w:sz w:val="90"/>
        </w:rPr>
        <w:t>环境影响报告书</w:t>
      </w:r>
      <w:bookmarkStart w:id="10" w:name="_Toc343025509"/>
    </w:p>
    <w:p>
      <w:pPr>
        <w:jc w:val="center"/>
        <w:rPr>
          <w:rFonts w:eastAsia="楷体_GB2312"/>
          <w:b/>
          <w:sz w:val="30"/>
          <w:szCs w:val="30"/>
        </w:rPr>
      </w:pPr>
    </w:p>
    <w:p>
      <w:pPr>
        <w:jc w:val="center"/>
        <w:rPr>
          <w:rFonts w:eastAsia="楷体_GB2312"/>
          <w:b/>
          <w:bCs/>
          <w:sz w:val="32"/>
          <w:szCs w:val="32"/>
        </w:rPr>
      </w:pPr>
      <w:r>
        <w:rPr>
          <w:rFonts w:eastAsia="楷体_GB2312"/>
          <w:b/>
          <w:sz w:val="32"/>
          <w:szCs w:val="32"/>
        </w:rPr>
        <w:t>（</w:t>
      </w:r>
      <w:r>
        <w:rPr>
          <w:rFonts w:hint="eastAsia" w:ascii="黑体" w:hAnsi="黑体" w:eastAsia="黑体" w:cs="黑体"/>
          <w:b/>
          <w:sz w:val="32"/>
          <w:szCs w:val="32"/>
          <w:lang w:eastAsia="zh-CN"/>
        </w:rPr>
        <w:t>公</w:t>
      </w:r>
      <w:r>
        <w:rPr>
          <w:rFonts w:hint="eastAsia" w:ascii="黑体" w:hAnsi="黑体" w:eastAsia="黑体" w:cs="黑体"/>
          <w:b/>
          <w:sz w:val="32"/>
          <w:szCs w:val="32"/>
        </w:rPr>
        <w:t xml:space="preserve"> </w:t>
      </w:r>
      <w:r>
        <w:rPr>
          <w:rFonts w:hint="eastAsia" w:ascii="黑体" w:hAnsi="黑体" w:eastAsia="黑体" w:cs="黑体"/>
          <w:b/>
          <w:sz w:val="32"/>
          <w:szCs w:val="32"/>
          <w:lang w:eastAsia="zh-CN"/>
        </w:rPr>
        <w:t>示</w:t>
      </w:r>
      <w:r>
        <w:rPr>
          <w:rFonts w:hint="eastAsia" w:ascii="黑体" w:hAnsi="黑体" w:eastAsia="黑体" w:cs="黑体"/>
          <w:b/>
          <w:sz w:val="32"/>
          <w:szCs w:val="32"/>
        </w:rPr>
        <w:t xml:space="preserve"> </w:t>
      </w:r>
      <w:r>
        <w:rPr>
          <w:rFonts w:hint="eastAsia" w:hAnsi="黑体" w:eastAsia="黑体"/>
          <w:b/>
          <w:sz w:val="32"/>
          <w:szCs w:val="32"/>
          <w:lang w:eastAsia="zh-CN"/>
        </w:rPr>
        <w:t>本</w:t>
      </w:r>
      <w:r>
        <w:rPr>
          <w:rFonts w:hAnsi="黑体" w:eastAsia="黑体"/>
          <w:b/>
          <w:sz w:val="32"/>
          <w:szCs w:val="32"/>
        </w:rPr>
        <w:t>）</w:t>
      </w:r>
      <w:bookmarkEnd w:id="10"/>
    </w:p>
    <w:p>
      <w:pPr>
        <w:jc w:val="center"/>
      </w:pPr>
    </w:p>
    <w:p>
      <w:pPr>
        <w:jc w:val="center"/>
      </w:pPr>
    </w:p>
    <w:p>
      <w:pPr>
        <w:jc w:val="center"/>
      </w:pPr>
    </w:p>
    <w:p>
      <w:pPr>
        <w:jc w:val="center"/>
      </w:pPr>
    </w:p>
    <w:p>
      <w:pPr>
        <w:jc w:val="center"/>
      </w:pPr>
    </w:p>
    <w:p>
      <w:pPr>
        <w:jc w:val="center"/>
      </w:pPr>
    </w:p>
    <w:p>
      <w:pPr>
        <w:jc w:val="center"/>
      </w:pPr>
    </w:p>
    <w:p>
      <w:pPr>
        <w:jc w:val="center"/>
      </w:pPr>
      <w:bookmarkStart w:id="417" w:name="_GoBack"/>
      <w:bookmarkEnd w:id="417"/>
    </w:p>
    <w:p>
      <w:pPr>
        <w:jc w:val="center"/>
      </w:pPr>
    </w:p>
    <w:p>
      <w:pPr>
        <w:jc w:val="center"/>
      </w:pPr>
    </w:p>
    <w:p>
      <w:pPr>
        <w:jc w:val="center"/>
      </w:pPr>
    </w:p>
    <w:p>
      <w:pPr>
        <w:jc w:val="center"/>
      </w:pPr>
    </w:p>
    <w:p>
      <w:pPr>
        <w:jc w:val="center"/>
      </w:pPr>
    </w:p>
    <w:p>
      <w:pPr>
        <w:pStyle w:val="87"/>
        <w:ind w:left="480"/>
      </w:pPr>
    </w:p>
    <w:p>
      <w:pPr>
        <w:pStyle w:val="87"/>
        <w:ind w:left="0" w:leftChars="0" w:firstLine="0" w:firstLineChars="0"/>
      </w:pPr>
    </w:p>
    <w:p>
      <w:pPr>
        <w:jc w:val="center"/>
      </w:pPr>
    </w:p>
    <w:p>
      <w:pPr>
        <w:jc w:val="center"/>
      </w:pPr>
    </w:p>
    <w:p>
      <w:pPr>
        <w:jc w:val="center"/>
      </w:pPr>
    </w:p>
    <w:p>
      <w:pPr>
        <w:jc w:val="center"/>
      </w:pPr>
    </w:p>
    <w:p>
      <w:pPr>
        <w:jc w:val="center"/>
      </w:pPr>
    </w:p>
    <w:p>
      <w:pPr>
        <w:jc w:val="center"/>
        <w:rPr>
          <w:rFonts w:eastAsia="黑体"/>
          <w:b/>
          <w:bCs/>
          <w:sz w:val="32"/>
        </w:rPr>
      </w:pPr>
      <w:r>
        <w:rPr>
          <w:rFonts w:eastAsia="黑体"/>
          <w:b/>
          <w:bCs/>
          <w:sz w:val="32"/>
        </w:rPr>
        <w:t>山西清源环境咨询有限公司</w:t>
      </w:r>
    </w:p>
    <w:p>
      <w:pPr>
        <w:jc w:val="center"/>
        <w:rPr>
          <w:b/>
          <w:sz w:val="32"/>
          <w:szCs w:val="32"/>
        </w:rPr>
      </w:pPr>
      <w:r>
        <w:rPr>
          <w:rFonts w:eastAsia="黑体"/>
          <w:b/>
          <w:bCs/>
          <w:sz w:val="32"/>
        </w:rPr>
        <w:t>二</w:t>
      </w:r>
      <w:r>
        <w:rPr>
          <w:rFonts w:hint="eastAsia" w:eastAsia="黑体"/>
          <w:b/>
          <w:bCs/>
          <w:sz w:val="32"/>
        </w:rPr>
        <w:t>〇</w:t>
      </w:r>
      <w:r>
        <w:rPr>
          <w:rFonts w:hint="eastAsia" w:eastAsia="黑体"/>
          <w:b/>
          <w:bCs/>
          <w:sz w:val="32"/>
          <w:lang w:eastAsia="zh-CN"/>
        </w:rPr>
        <w:t>二</w:t>
      </w:r>
      <w:r>
        <w:rPr>
          <w:rFonts w:hint="eastAsia" w:eastAsia="黑体"/>
          <w:b/>
          <w:bCs/>
          <w:sz w:val="32"/>
        </w:rPr>
        <w:t>〇</w:t>
      </w:r>
      <w:r>
        <w:rPr>
          <w:rFonts w:eastAsia="黑体"/>
          <w:b/>
          <w:bCs/>
          <w:sz w:val="32"/>
        </w:rPr>
        <w:t>年</w:t>
      </w:r>
      <w:r>
        <w:rPr>
          <w:rFonts w:hint="eastAsia" w:eastAsia="黑体"/>
          <w:b/>
          <w:bCs/>
          <w:sz w:val="32"/>
          <w:lang w:eastAsia="zh-CN"/>
        </w:rPr>
        <w:t>七</w:t>
      </w:r>
      <w:r>
        <w:rPr>
          <w:rFonts w:eastAsia="黑体"/>
          <w:b/>
          <w:bCs/>
          <w:sz w:val="32"/>
        </w:rPr>
        <w:t>月</w:t>
      </w:r>
    </w:p>
    <w:p>
      <w:pPr>
        <w:pStyle w:val="46"/>
        <w:adjustRightInd w:val="0"/>
        <w:snapToGrid w:val="0"/>
        <w:rPr>
          <w:rFonts w:ascii="Times New Roman" w:hAnsi="Times New Roman"/>
          <w:b/>
          <w:sz w:val="32"/>
          <w:szCs w:val="32"/>
        </w:rPr>
      </w:pPr>
    </w:p>
    <w:p>
      <w:pPr>
        <w:pStyle w:val="46"/>
        <w:adjustRightInd w:val="0"/>
        <w:snapToGrid w:val="0"/>
        <w:rPr>
          <w:rFonts w:ascii="Times New Roman" w:hAnsi="Times New Roman"/>
          <w:b/>
          <w:sz w:val="32"/>
          <w:szCs w:val="32"/>
        </w:rPr>
        <w:sectPr>
          <w:footerReference r:id="rId3" w:type="even"/>
          <w:pgSz w:w="11906" w:h="16838"/>
          <w:pgMar w:top="1247" w:right="1418" w:bottom="1247" w:left="1418" w:header="851" w:footer="992" w:gutter="0"/>
          <w:pgNumType w:start="1"/>
          <w:cols w:space="425" w:num="1"/>
          <w:docGrid w:linePitch="312" w:charSpace="0"/>
        </w:sectPr>
      </w:pPr>
    </w:p>
    <w:p>
      <w:pPr>
        <w:pStyle w:val="46"/>
        <w:adjustRightInd w:val="0"/>
        <w:snapToGrid w:val="0"/>
        <w:spacing w:line="340" w:lineRule="exact"/>
        <w:jc w:val="center"/>
        <w:rPr>
          <w:rFonts w:ascii="Times New Roman" w:hAnsi="Times New Roman"/>
          <w:b/>
          <w:szCs w:val="21"/>
        </w:rPr>
      </w:pPr>
      <w:r>
        <w:rPr>
          <w:rFonts w:ascii="Times New Roman" w:hAnsi="Times New Roman"/>
          <w:b/>
          <w:sz w:val="32"/>
          <w:szCs w:val="32"/>
        </w:rPr>
        <w:t>目  录</w:t>
      </w:r>
      <w:bookmarkEnd w:id="0"/>
    </w:p>
    <w:p>
      <w:pPr>
        <w:pStyle w:val="60"/>
        <w:tabs>
          <w:tab w:val="right" w:leader="dot" w:pos="9070"/>
          <w:tab w:val="clear" w:pos="9060"/>
        </w:tabs>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TOC \o "1-2" \h \z \u </w:instrText>
      </w:r>
      <w:r>
        <w:rPr>
          <w:rFonts w:ascii="Times New Roman" w:hAnsi="Times New Roman" w:cs="Times New Roman"/>
          <w:sz w:val="21"/>
          <w:szCs w:val="21"/>
        </w:rPr>
        <w:fldChar w:fldCharType="separate"/>
      </w:r>
      <w:r>
        <w:rPr>
          <w:rFonts w:ascii="Times New Roman" w:hAnsi="Times New Roman" w:cs="Times New Roman"/>
          <w:szCs w:val="21"/>
        </w:rPr>
        <w:fldChar w:fldCharType="begin"/>
      </w:r>
      <w:r>
        <w:rPr>
          <w:rFonts w:ascii="Times New Roman" w:hAnsi="Times New Roman" w:cs="Times New Roman"/>
          <w:szCs w:val="21"/>
        </w:rPr>
        <w:instrText xml:space="preserve"> HYPERLINK \l _Toc27104 </w:instrText>
      </w:r>
      <w:r>
        <w:rPr>
          <w:rFonts w:ascii="Times New Roman" w:hAnsi="Times New Roman" w:cs="Times New Roman"/>
          <w:szCs w:val="21"/>
        </w:rPr>
        <w:fldChar w:fldCharType="separate"/>
      </w:r>
      <w:r>
        <w:rPr>
          <w:rFonts w:eastAsia="黑体"/>
          <w:kern w:val="2"/>
          <w:szCs w:val="44"/>
        </w:rPr>
        <w:t>概述</w:t>
      </w:r>
      <w:r>
        <w:tab/>
      </w:r>
      <w:r>
        <w:fldChar w:fldCharType="begin"/>
      </w:r>
      <w:r>
        <w:instrText xml:space="preserve"> PAGEREF _Toc27104 </w:instrText>
      </w:r>
      <w:r>
        <w:fldChar w:fldCharType="separate"/>
      </w:r>
      <w:r>
        <w:t>1</w:t>
      </w:r>
      <w:r>
        <w:fldChar w:fldCharType="end"/>
      </w:r>
      <w:r>
        <w:rPr>
          <w:rFonts w:ascii="Times New Roman" w:hAnsi="Times New Roman" w:cs="Times New Roman"/>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_Toc3748 </w:instrText>
      </w:r>
      <w:r>
        <w:rPr>
          <w:rFonts w:ascii="Times New Roman" w:hAnsi="Times New Roman"/>
          <w:bCs/>
          <w:caps/>
          <w:kern w:val="0"/>
          <w:szCs w:val="21"/>
        </w:rPr>
        <w:fldChar w:fldCharType="separate"/>
      </w:r>
      <w:r>
        <w:rPr>
          <w:kern w:val="2"/>
          <w:szCs w:val="28"/>
        </w:rPr>
        <w:t>一、项目建设背景及由来</w:t>
      </w:r>
      <w:r>
        <w:tab/>
      </w:r>
      <w:r>
        <w:fldChar w:fldCharType="begin"/>
      </w:r>
      <w:r>
        <w:instrText xml:space="preserve"> PAGEREF _Toc3748 </w:instrText>
      </w:r>
      <w:r>
        <w:fldChar w:fldCharType="separate"/>
      </w:r>
      <w:r>
        <w:t>1</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_Toc31044 </w:instrText>
      </w:r>
      <w:r>
        <w:rPr>
          <w:rFonts w:ascii="Times New Roman" w:hAnsi="Times New Roman"/>
          <w:bCs/>
          <w:caps/>
          <w:kern w:val="0"/>
          <w:szCs w:val="21"/>
        </w:rPr>
        <w:fldChar w:fldCharType="separate"/>
      </w:r>
      <w:r>
        <w:rPr>
          <w:rFonts w:hint="eastAsia"/>
          <w:kern w:val="2"/>
          <w:szCs w:val="28"/>
        </w:rPr>
        <w:t>二、评价任务由来</w:t>
      </w:r>
      <w:r>
        <w:tab/>
      </w:r>
      <w:r>
        <w:fldChar w:fldCharType="begin"/>
      </w:r>
      <w:r>
        <w:instrText xml:space="preserve"> PAGEREF _Toc31044 </w:instrText>
      </w:r>
      <w:r>
        <w:fldChar w:fldCharType="separate"/>
      </w:r>
      <w:r>
        <w:t>1</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_Toc11533 </w:instrText>
      </w:r>
      <w:r>
        <w:rPr>
          <w:rFonts w:ascii="Times New Roman" w:hAnsi="Times New Roman"/>
          <w:bCs/>
          <w:caps/>
          <w:kern w:val="0"/>
          <w:szCs w:val="21"/>
        </w:rPr>
        <w:fldChar w:fldCharType="separate"/>
      </w:r>
      <w:r>
        <w:rPr>
          <w:rFonts w:hint="eastAsia"/>
          <w:kern w:val="2"/>
          <w:szCs w:val="28"/>
        </w:rPr>
        <w:t>三、环境影响评价工作过程</w:t>
      </w:r>
      <w:r>
        <w:tab/>
      </w:r>
      <w:r>
        <w:fldChar w:fldCharType="begin"/>
      </w:r>
      <w:r>
        <w:instrText xml:space="preserve"> PAGEREF _Toc11533 </w:instrText>
      </w:r>
      <w:r>
        <w:fldChar w:fldCharType="separate"/>
      </w:r>
      <w:r>
        <w:t>2</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_Toc31590 </w:instrText>
      </w:r>
      <w:r>
        <w:rPr>
          <w:rFonts w:ascii="Times New Roman" w:hAnsi="Times New Roman"/>
          <w:bCs/>
          <w:caps/>
          <w:kern w:val="0"/>
          <w:szCs w:val="21"/>
        </w:rPr>
        <w:fldChar w:fldCharType="separate"/>
      </w:r>
      <w:r>
        <w:rPr>
          <w:rFonts w:hint="eastAsia"/>
          <w:kern w:val="2"/>
          <w:szCs w:val="28"/>
        </w:rPr>
        <w:t>四、关注的主要环境问题</w:t>
      </w:r>
      <w:r>
        <w:tab/>
      </w:r>
      <w:r>
        <w:fldChar w:fldCharType="begin"/>
      </w:r>
      <w:r>
        <w:instrText xml:space="preserve"> PAGEREF _Toc31590 </w:instrText>
      </w:r>
      <w:r>
        <w:fldChar w:fldCharType="separate"/>
      </w:r>
      <w:r>
        <w:t>3</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_Toc17712 </w:instrText>
      </w:r>
      <w:r>
        <w:rPr>
          <w:rFonts w:ascii="Times New Roman" w:hAnsi="Times New Roman"/>
          <w:bCs/>
          <w:caps/>
          <w:kern w:val="0"/>
          <w:szCs w:val="21"/>
        </w:rPr>
        <w:fldChar w:fldCharType="separate"/>
      </w:r>
      <w:r>
        <w:rPr>
          <w:rFonts w:hint="eastAsia"/>
          <w:kern w:val="2"/>
          <w:szCs w:val="28"/>
        </w:rPr>
        <w:t>五</w:t>
      </w:r>
      <w:r>
        <w:rPr>
          <w:kern w:val="2"/>
          <w:szCs w:val="28"/>
        </w:rPr>
        <w:t>、环境影响评价主要结论</w:t>
      </w:r>
      <w:r>
        <w:tab/>
      </w:r>
      <w:r>
        <w:fldChar w:fldCharType="begin"/>
      </w:r>
      <w:r>
        <w:instrText xml:space="preserve"> PAGEREF _Toc17712 </w:instrText>
      </w:r>
      <w:r>
        <w:fldChar w:fldCharType="separate"/>
      </w:r>
      <w:r>
        <w:t>4</w:t>
      </w:r>
      <w:r>
        <w:fldChar w:fldCharType="end"/>
      </w:r>
      <w:r>
        <w:rPr>
          <w:rFonts w:ascii="Times New Roman" w:hAnsi="Times New Roman"/>
          <w:bCs/>
          <w:caps/>
          <w:kern w:val="0"/>
          <w:szCs w:val="21"/>
        </w:rPr>
        <w:fldChar w:fldCharType="end"/>
      </w:r>
    </w:p>
    <w:p>
      <w:pPr>
        <w:pStyle w:val="60"/>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_Toc13186 </w:instrText>
      </w:r>
      <w:r>
        <w:rPr>
          <w:rFonts w:ascii="Times New Roman" w:hAnsi="Times New Roman"/>
          <w:bCs/>
          <w:caps/>
          <w:kern w:val="0"/>
          <w:szCs w:val="21"/>
        </w:rPr>
        <w:fldChar w:fldCharType="separate"/>
      </w:r>
      <w:r>
        <w:rPr>
          <w:rFonts w:eastAsia="黑体"/>
          <w:kern w:val="2"/>
          <w:szCs w:val="44"/>
        </w:rPr>
        <w:t>第一章  总</w:t>
      </w:r>
      <w:r>
        <w:rPr>
          <w:rFonts w:hint="eastAsia" w:eastAsia="黑体"/>
          <w:kern w:val="2"/>
          <w:szCs w:val="44"/>
        </w:rPr>
        <w:t>则</w:t>
      </w:r>
      <w:r>
        <w:tab/>
      </w:r>
      <w:r>
        <w:fldChar w:fldCharType="begin"/>
      </w:r>
      <w:r>
        <w:instrText xml:space="preserve"> PAGEREF _Toc13186 </w:instrText>
      </w:r>
      <w:r>
        <w:fldChar w:fldCharType="separate"/>
      </w:r>
      <w:r>
        <w:t>5</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_Toc1768 </w:instrText>
      </w:r>
      <w:r>
        <w:rPr>
          <w:rFonts w:ascii="Times New Roman" w:hAnsi="Times New Roman"/>
          <w:bCs/>
          <w:caps/>
          <w:kern w:val="0"/>
          <w:szCs w:val="21"/>
        </w:rPr>
        <w:fldChar w:fldCharType="separate"/>
      </w:r>
      <w:r>
        <w:rPr>
          <w:kern w:val="2"/>
          <w:szCs w:val="28"/>
        </w:rPr>
        <w:t>1.1编制依据</w:t>
      </w:r>
      <w:r>
        <w:tab/>
      </w:r>
      <w:r>
        <w:fldChar w:fldCharType="begin"/>
      </w:r>
      <w:r>
        <w:instrText xml:space="preserve"> PAGEREF _Toc1768 </w:instrText>
      </w:r>
      <w:r>
        <w:fldChar w:fldCharType="separate"/>
      </w:r>
      <w:r>
        <w:t>5</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_Toc27988 </w:instrText>
      </w:r>
      <w:r>
        <w:rPr>
          <w:rFonts w:ascii="Times New Roman" w:hAnsi="Times New Roman"/>
          <w:bCs/>
          <w:caps/>
          <w:kern w:val="0"/>
          <w:szCs w:val="21"/>
        </w:rPr>
        <w:fldChar w:fldCharType="separate"/>
      </w:r>
      <w:r>
        <w:rPr>
          <w:kern w:val="2"/>
          <w:szCs w:val="28"/>
        </w:rPr>
        <w:t>1.2环境影响因素识别与评价因子筛选</w:t>
      </w:r>
      <w:r>
        <w:tab/>
      </w:r>
      <w:r>
        <w:fldChar w:fldCharType="begin"/>
      </w:r>
      <w:r>
        <w:instrText xml:space="preserve"> PAGEREF _Toc27988 </w:instrText>
      </w:r>
      <w:r>
        <w:fldChar w:fldCharType="separate"/>
      </w:r>
      <w:r>
        <w:t>9</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_Toc9509 </w:instrText>
      </w:r>
      <w:r>
        <w:rPr>
          <w:rFonts w:ascii="Times New Roman" w:hAnsi="Times New Roman"/>
          <w:bCs/>
          <w:caps/>
          <w:kern w:val="0"/>
          <w:szCs w:val="21"/>
        </w:rPr>
        <w:fldChar w:fldCharType="separate"/>
      </w:r>
      <w:r>
        <w:rPr>
          <w:kern w:val="2"/>
          <w:szCs w:val="28"/>
        </w:rPr>
        <w:t>1.3评价标准</w:t>
      </w:r>
      <w:r>
        <w:tab/>
      </w:r>
      <w:r>
        <w:fldChar w:fldCharType="begin"/>
      </w:r>
      <w:r>
        <w:instrText xml:space="preserve"> PAGEREF _Toc9509 </w:instrText>
      </w:r>
      <w:r>
        <w:fldChar w:fldCharType="separate"/>
      </w:r>
      <w:r>
        <w:t>10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_Toc21924 </w:instrText>
      </w:r>
      <w:r>
        <w:rPr>
          <w:rFonts w:ascii="Times New Roman" w:hAnsi="Times New Roman"/>
          <w:bCs/>
          <w:caps/>
          <w:kern w:val="0"/>
          <w:szCs w:val="21"/>
        </w:rPr>
        <w:fldChar w:fldCharType="separate"/>
      </w:r>
      <w:r>
        <w:rPr>
          <w:kern w:val="2"/>
          <w:szCs w:val="28"/>
        </w:rPr>
        <w:t>1.4评价工作等级和评价范围</w:t>
      </w:r>
      <w:r>
        <w:tab/>
      </w:r>
      <w:r>
        <w:fldChar w:fldCharType="begin"/>
      </w:r>
      <w:r>
        <w:instrText xml:space="preserve"> PAGEREF _Toc21924 </w:instrText>
      </w:r>
      <w:r>
        <w:fldChar w:fldCharType="separate"/>
      </w:r>
      <w:r>
        <w:t>12</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_Toc12481 </w:instrText>
      </w:r>
      <w:r>
        <w:rPr>
          <w:rFonts w:ascii="Times New Roman" w:hAnsi="Times New Roman"/>
          <w:bCs/>
          <w:caps/>
          <w:kern w:val="0"/>
          <w:szCs w:val="21"/>
        </w:rPr>
        <w:fldChar w:fldCharType="separate"/>
      </w:r>
      <w:r>
        <w:rPr>
          <w:kern w:val="2"/>
          <w:szCs w:val="28"/>
        </w:rPr>
        <w:t>1.5 相关规划及环境功能区划</w:t>
      </w:r>
      <w:r>
        <w:tab/>
      </w:r>
      <w:r>
        <w:fldChar w:fldCharType="begin"/>
      </w:r>
      <w:r>
        <w:instrText xml:space="preserve"> PAGEREF _Toc12481 </w:instrText>
      </w:r>
      <w:r>
        <w:fldChar w:fldCharType="separate"/>
      </w:r>
      <w:r>
        <w:t>16</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_Toc15439 </w:instrText>
      </w:r>
      <w:r>
        <w:rPr>
          <w:rFonts w:ascii="Times New Roman" w:hAnsi="Times New Roman"/>
          <w:bCs/>
          <w:caps/>
          <w:kern w:val="0"/>
          <w:szCs w:val="21"/>
        </w:rPr>
        <w:fldChar w:fldCharType="separate"/>
      </w:r>
      <w:r>
        <w:rPr>
          <w:kern w:val="2"/>
          <w:szCs w:val="28"/>
        </w:rPr>
        <w:t>1.6环境保护目标</w:t>
      </w:r>
      <w:r>
        <w:tab/>
      </w:r>
      <w:r>
        <w:fldChar w:fldCharType="begin"/>
      </w:r>
      <w:r>
        <w:instrText xml:space="preserve"> PAGEREF _Toc15439 </w:instrText>
      </w:r>
      <w:r>
        <w:fldChar w:fldCharType="separate"/>
      </w:r>
      <w:r>
        <w:t>27</w:t>
      </w:r>
      <w:r>
        <w:fldChar w:fldCharType="end"/>
      </w:r>
      <w:r>
        <w:rPr>
          <w:rFonts w:ascii="Times New Roman" w:hAnsi="Times New Roman"/>
          <w:bCs/>
          <w:caps/>
          <w:kern w:val="0"/>
          <w:szCs w:val="21"/>
        </w:rPr>
        <w:fldChar w:fldCharType="end"/>
      </w:r>
    </w:p>
    <w:p>
      <w:pPr>
        <w:pStyle w:val="60"/>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_Toc23270 </w:instrText>
      </w:r>
      <w:r>
        <w:rPr>
          <w:rFonts w:ascii="Times New Roman" w:hAnsi="Times New Roman"/>
          <w:bCs/>
          <w:caps/>
          <w:kern w:val="0"/>
          <w:szCs w:val="21"/>
        </w:rPr>
        <w:fldChar w:fldCharType="separate"/>
      </w:r>
      <w:r>
        <w:rPr>
          <w:rFonts w:eastAsia="黑体"/>
          <w:kern w:val="2"/>
          <w:szCs w:val="44"/>
        </w:rPr>
        <w:t>第二章  项目概况及工程分析</w:t>
      </w:r>
      <w:r>
        <w:tab/>
      </w:r>
      <w:r>
        <w:fldChar w:fldCharType="begin"/>
      </w:r>
      <w:r>
        <w:instrText xml:space="preserve"> PAGEREF _Toc23270 </w:instrText>
      </w:r>
      <w:r>
        <w:fldChar w:fldCharType="separate"/>
      </w:r>
      <w:r>
        <w:t>29</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_Toc13200 </w:instrText>
      </w:r>
      <w:r>
        <w:rPr>
          <w:rFonts w:ascii="Times New Roman" w:hAnsi="Times New Roman"/>
          <w:bCs/>
          <w:caps/>
          <w:kern w:val="0"/>
          <w:szCs w:val="21"/>
        </w:rPr>
        <w:fldChar w:fldCharType="separate"/>
      </w:r>
      <w:r>
        <w:rPr>
          <w:kern w:val="2"/>
          <w:szCs w:val="28"/>
        </w:rPr>
        <w:t>2.1现</w:t>
      </w:r>
      <w:r>
        <w:rPr>
          <w:rFonts w:hint="eastAsia"/>
          <w:kern w:val="2"/>
          <w:szCs w:val="28"/>
        </w:rPr>
        <w:t>目</w:t>
      </w:r>
      <w:r>
        <w:rPr>
          <w:kern w:val="2"/>
          <w:szCs w:val="28"/>
        </w:rPr>
        <w:t>概况</w:t>
      </w:r>
      <w:r>
        <w:tab/>
      </w:r>
      <w:r>
        <w:fldChar w:fldCharType="begin"/>
      </w:r>
      <w:r>
        <w:instrText xml:space="preserve"> PAGEREF _Toc13200 </w:instrText>
      </w:r>
      <w:r>
        <w:fldChar w:fldCharType="separate"/>
      </w:r>
      <w:r>
        <w:t>29</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_Toc25522 </w:instrText>
      </w:r>
      <w:r>
        <w:rPr>
          <w:rFonts w:ascii="Times New Roman" w:hAnsi="Times New Roman"/>
          <w:bCs/>
          <w:caps/>
          <w:kern w:val="0"/>
          <w:szCs w:val="21"/>
        </w:rPr>
        <w:fldChar w:fldCharType="separate"/>
      </w:r>
      <w:r>
        <w:rPr>
          <w:kern w:val="2"/>
          <w:szCs w:val="28"/>
        </w:rPr>
        <w:t>2.2</w:t>
      </w:r>
      <w:r>
        <w:rPr>
          <w:rFonts w:hint="eastAsia"/>
          <w:kern w:val="2"/>
          <w:szCs w:val="28"/>
        </w:rPr>
        <w:t>项目基本情况</w:t>
      </w:r>
      <w:r>
        <w:tab/>
      </w:r>
      <w:r>
        <w:fldChar w:fldCharType="begin"/>
      </w:r>
      <w:r>
        <w:instrText xml:space="preserve"> PAGEREF _Toc25522 </w:instrText>
      </w:r>
      <w:r>
        <w:fldChar w:fldCharType="separate"/>
      </w:r>
      <w:r>
        <w:t>30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_Toc24213 </w:instrText>
      </w:r>
      <w:r>
        <w:rPr>
          <w:rFonts w:ascii="Times New Roman" w:hAnsi="Times New Roman"/>
          <w:bCs/>
          <w:caps/>
          <w:kern w:val="0"/>
          <w:szCs w:val="21"/>
        </w:rPr>
        <w:fldChar w:fldCharType="separate"/>
      </w:r>
      <w:r>
        <w:rPr>
          <w:kern w:val="2"/>
          <w:szCs w:val="28"/>
        </w:rPr>
        <w:t>2.</w:t>
      </w:r>
      <w:r>
        <w:rPr>
          <w:rFonts w:hint="eastAsia"/>
          <w:kern w:val="2"/>
          <w:szCs w:val="28"/>
        </w:rPr>
        <w:t>3施工期影响因素分析</w:t>
      </w:r>
      <w:r>
        <w:tab/>
      </w:r>
      <w:r>
        <w:fldChar w:fldCharType="begin"/>
      </w:r>
      <w:r>
        <w:instrText xml:space="preserve"> PAGEREF _Toc24213 </w:instrText>
      </w:r>
      <w:r>
        <w:fldChar w:fldCharType="separate"/>
      </w:r>
      <w:r>
        <w:t>41</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_Toc24326 </w:instrText>
      </w:r>
      <w:r>
        <w:rPr>
          <w:rFonts w:ascii="Times New Roman" w:hAnsi="Times New Roman"/>
          <w:bCs/>
          <w:caps/>
          <w:kern w:val="0"/>
          <w:szCs w:val="21"/>
        </w:rPr>
        <w:fldChar w:fldCharType="separate"/>
      </w:r>
      <w:r>
        <w:rPr>
          <w:kern w:val="2"/>
          <w:szCs w:val="28"/>
        </w:rPr>
        <w:t>2.</w:t>
      </w:r>
      <w:r>
        <w:rPr>
          <w:rFonts w:hint="eastAsia"/>
          <w:kern w:val="2"/>
          <w:szCs w:val="28"/>
        </w:rPr>
        <w:t>4运营期</w:t>
      </w:r>
      <w:r>
        <w:rPr>
          <w:kern w:val="2"/>
          <w:szCs w:val="28"/>
        </w:rPr>
        <w:t>影响因素分析</w:t>
      </w:r>
      <w:r>
        <w:tab/>
      </w:r>
      <w:r>
        <w:fldChar w:fldCharType="begin"/>
      </w:r>
      <w:r>
        <w:instrText xml:space="preserve"> PAGEREF _Toc24326 </w:instrText>
      </w:r>
      <w:r>
        <w:fldChar w:fldCharType="separate"/>
      </w:r>
      <w:r>
        <w:t>44</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_Toc4507 </w:instrText>
      </w:r>
      <w:r>
        <w:rPr>
          <w:rFonts w:ascii="Times New Roman" w:hAnsi="Times New Roman"/>
          <w:bCs/>
          <w:caps/>
          <w:kern w:val="0"/>
          <w:szCs w:val="21"/>
        </w:rPr>
        <w:fldChar w:fldCharType="separate"/>
      </w:r>
      <w:r>
        <w:rPr>
          <w:kern w:val="2"/>
          <w:szCs w:val="28"/>
        </w:rPr>
        <w:t>2.</w:t>
      </w:r>
      <w:r>
        <w:rPr>
          <w:rFonts w:hint="eastAsia"/>
          <w:kern w:val="2"/>
          <w:szCs w:val="28"/>
        </w:rPr>
        <w:t>5服务期满</w:t>
      </w:r>
      <w:r>
        <w:rPr>
          <w:kern w:val="2"/>
          <w:szCs w:val="28"/>
        </w:rPr>
        <w:t>影响因素分析</w:t>
      </w:r>
      <w:r>
        <w:tab/>
      </w:r>
      <w:r>
        <w:fldChar w:fldCharType="begin"/>
      </w:r>
      <w:r>
        <w:instrText xml:space="preserve"> PAGEREF _Toc4507 </w:instrText>
      </w:r>
      <w:r>
        <w:fldChar w:fldCharType="separate"/>
      </w:r>
      <w:r>
        <w:t>49</w:t>
      </w:r>
      <w:r>
        <w:fldChar w:fldCharType="end"/>
      </w:r>
      <w:r>
        <w:rPr>
          <w:rFonts w:ascii="Times New Roman" w:hAnsi="Times New Roman"/>
          <w:bCs/>
          <w:caps/>
          <w:kern w:val="0"/>
          <w:szCs w:val="21"/>
        </w:rPr>
        <w:fldChar w:fldCharType="end"/>
      </w:r>
    </w:p>
    <w:p>
      <w:pPr>
        <w:pStyle w:val="60"/>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_Toc2195 </w:instrText>
      </w:r>
      <w:r>
        <w:rPr>
          <w:rFonts w:ascii="Times New Roman" w:hAnsi="Times New Roman"/>
          <w:bCs/>
          <w:caps/>
          <w:kern w:val="0"/>
          <w:szCs w:val="21"/>
        </w:rPr>
        <w:fldChar w:fldCharType="separate"/>
      </w:r>
      <w:r>
        <w:rPr>
          <w:rFonts w:eastAsia="黑体"/>
          <w:kern w:val="2"/>
          <w:szCs w:val="44"/>
        </w:rPr>
        <w:t>第三章  区域环境概况</w:t>
      </w:r>
      <w:r>
        <w:tab/>
      </w:r>
      <w:r>
        <w:fldChar w:fldCharType="begin"/>
      </w:r>
      <w:r>
        <w:instrText xml:space="preserve"> PAGEREF _Toc2195 </w:instrText>
      </w:r>
      <w:r>
        <w:fldChar w:fldCharType="separate"/>
      </w:r>
      <w:r>
        <w:t>50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_Toc14387 </w:instrText>
      </w:r>
      <w:r>
        <w:rPr>
          <w:rFonts w:ascii="Times New Roman" w:hAnsi="Times New Roman"/>
          <w:bCs/>
          <w:caps/>
          <w:kern w:val="0"/>
          <w:szCs w:val="21"/>
        </w:rPr>
        <w:fldChar w:fldCharType="separate"/>
      </w:r>
      <w:r>
        <w:rPr>
          <w:kern w:val="2"/>
          <w:szCs w:val="28"/>
        </w:rPr>
        <w:t>3.1自然环境</w:t>
      </w:r>
      <w:r>
        <w:tab/>
      </w:r>
      <w:r>
        <w:fldChar w:fldCharType="begin"/>
      </w:r>
      <w:r>
        <w:instrText xml:space="preserve"> PAGEREF _Toc14387 </w:instrText>
      </w:r>
      <w:r>
        <w:fldChar w:fldCharType="separate"/>
      </w:r>
      <w:r>
        <w:t>50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_Toc27055 </w:instrText>
      </w:r>
      <w:r>
        <w:rPr>
          <w:rFonts w:ascii="Times New Roman" w:hAnsi="Times New Roman"/>
          <w:bCs/>
          <w:caps/>
          <w:kern w:val="0"/>
          <w:szCs w:val="21"/>
        </w:rPr>
        <w:fldChar w:fldCharType="separate"/>
      </w:r>
      <w:r>
        <w:rPr>
          <w:kern w:val="2"/>
          <w:szCs w:val="28"/>
        </w:rPr>
        <w:t>3.2生态环境概况</w:t>
      </w:r>
      <w:r>
        <w:tab/>
      </w:r>
      <w:r>
        <w:fldChar w:fldCharType="begin"/>
      </w:r>
      <w:r>
        <w:instrText xml:space="preserve"> PAGEREF _Toc27055 </w:instrText>
      </w:r>
      <w:r>
        <w:fldChar w:fldCharType="separate"/>
      </w:r>
      <w:r>
        <w:t>58</w:t>
      </w:r>
      <w:r>
        <w:fldChar w:fldCharType="end"/>
      </w:r>
      <w:r>
        <w:rPr>
          <w:rFonts w:ascii="Times New Roman" w:hAnsi="Times New Roman"/>
          <w:bCs/>
          <w:caps/>
          <w:kern w:val="0"/>
          <w:szCs w:val="21"/>
        </w:rPr>
        <w:fldChar w:fldCharType="end"/>
      </w:r>
    </w:p>
    <w:p>
      <w:pPr>
        <w:pStyle w:val="60"/>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_Toc23127 </w:instrText>
      </w:r>
      <w:r>
        <w:rPr>
          <w:rFonts w:ascii="Times New Roman" w:hAnsi="Times New Roman"/>
          <w:bCs/>
          <w:caps/>
          <w:kern w:val="0"/>
          <w:szCs w:val="21"/>
        </w:rPr>
        <w:fldChar w:fldCharType="separate"/>
      </w:r>
      <w:r>
        <w:rPr>
          <w:rFonts w:eastAsia="黑体"/>
          <w:kern w:val="2"/>
          <w:szCs w:val="44"/>
        </w:rPr>
        <w:t>第四章  环境质量现状调查与评价</w:t>
      </w:r>
      <w:r>
        <w:tab/>
      </w:r>
      <w:r>
        <w:fldChar w:fldCharType="begin"/>
      </w:r>
      <w:r>
        <w:instrText xml:space="preserve"> PAGEREF _Toc23127 </w:instrText>
      </w:r>
      <w:r>
        <w:fldChar w:fldCharType="separate"/>
      </w:r>
      <w:r>
        <w:t>60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_Toc26232 </w:instrText>
      </w:r>
      <w:r>
        <w:rPr>
          <w:rFonts w:ascii="Times New Roman" w:hAnsi="Times New Roman"/>
          <w:bCs/>
          <w:caps/>
          <w:kern w:val="0"/>
          <w:szCs w:val="21"/>
        </w:rPr>
        <w:fldChar w:fldCharType="separate"/>
      </w:r>
      <w:r>
        <w:rPr>
          <w:kern w:val="2"/>
          <w:szCs w:val="28"/>
        </w:rPr>
        <w:t>4.1环境空气质量现状调查与评价</w:t>
      </w:r>
      <w:r>
        <w:tab/>
      </w:r>
      <w:r>
        <w:fldChar w:fldCharType="begin"/>
      </w:r>
      <w:r>
        <w:instrText xml:space="preserve"> PAGEREF _Toc26232 </w:instrText>
      </w:r>
      <w:r>
        <w:fldChar w:fldCharType="separate"/>
      </w:r>
      <w:r>
        <w:t>60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_Toc8056 </w:instrText>
      </w:r>
      <w:r>
        <w:rPr>
          <w:rFonts w:ascii="Times New Roman" w:hAnsi="Times New Roman"/>
          <w:bCs/>
          <w:caps/>
          <w:kern w:val="0"/>
          <w:szCs w:val="21"/>
        </w:rPr>
        <w:fldChar w:fldCharType="separate"/>
      </w:r>
      <w:r>
        <w:rPr>
          <w:kern w:val="2"/>
          <w:szCs w:val="28"/>
        </w:rPr>
        <w:t>4.2地表水环境质量现状调查与评价</w:t>
      </w:r>
      <w:r>
        <w:tab/>
      </w:r>
      <w:r>
        <w:fldChar w:fldCharType="begin"/>
      </w:r>
      <w:r>
        <w:instrText xml:space="preserve"> PAGEREF _Toc8056 </w:instrText>
      </w:r>
      <w:r>
        <w:fldChar w:fldCharType="separate"/>
      </w:r>
      <w:r>
        <w:t>61</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_Toc13636 </w:instrText>
      </w:r>
      <w:r>
        <w:rPr>
          <w:rFonts w:ascii="Times New Roman" w:hAnsi="Times New Roman"/>
          <w:bCs/>
          <w:caps/>
          <w:kern w:val="0"/>
          <w:szCs w:val="21"/>
        </w:rPr>
        <w:fldChar w:fldCharType="separate"/>
      </w:r>
      <w:r>
        <w:rPr>
          <w:kern w:val="2"/>
          <w:szCs w:val="28"/>
        </w:rPr>
        <w:t>4.</w:t>
      </w:r>
      <w:r>
        <w:rPr>
          <w:rFonts w:hint="eastAsia"/>
          <w:kern w:val="2"/>
          <w:szCs w:val="28"/>
        </w:rPr>
        <w:t>3</w:t>
      </w:r>
      <w:r>
        <w:rPr>
          <w:kern w:val="2"/>
          <w:szCs w:val="28"/>
        </w:rPr>
        <w:t>声环境环境质量现状调查与评价</w:t>
      </w:r>
      <w:r>
        <w:tab/>
      </w:r>
      <w:r>
        <w:fldChar w:fldCharType="begin"/>
      </w:r>
      <w:r>
        <w:instrText xml:space="preserve"> PAGEREF _Toc13636 </w:instrText>
      </w:r>
      <w:r>
        <w:fldChar w:fldCharType="separate"/>
      </w:r>
      <w:r>
        <w:t>61</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_Toc26284 </w:instrText>
      </w:r>
      <w:r>
        <w:rPr>
          <w:rFonts w:ascii="Times New Roman" w:hAnsi="Times New Roman"/>
          <w:bCs/>
          <w:caps/>
          <w:kern w:val="0"/>
          <w:szCs w:val="21"/>
        </w:rPr>
        <w:fldChar w:fldCharType="separate"/>
      </w:r>
      <w:r>
        <w:rPr>
          <w:kern w:val="2"/>
          <w:szCs w:val="28"/>
        </w:rPr>
        <w:t>4.</w:t>
      </w:r>
      <w:r>
        <w:rPr>
          <w:rFonts w:hint="eastAsia"/>
          <w:kern w:val="2"/>
          <w:szCs w:val="28"/>
        </w:rPr>
        <w:t>4生态环境</w:t>
      </w:r>
      <w:r>
        <w:rPr>
          <w:kern w:val="2"/>
          <w:szCs w:val="28"/>
        </w:rPr>
        <w:t>现状调查与评价</w:t>
      </w:r>
      <w:r>
        <w:tab/>
      </w:r>
      <w:r>
        <w:fldChar w:fldCharType="begin"/>
      </w:r>
      <w:r>
        <w:instrText xml:space="preserve"> PAGEREF _Toc26284 </w:instrText>
      </w:r>
      <w:r>
        <w:fldChar w:fldCharType="separate"/>
      </w:r>
      <w:r>
        <w:t>62</w:t>
      </w:r>
      <w:r>
        <w:fldChar w:fldCharType="end"/>
      </w:r>
      <w:r>
        <w:rPr>
          <w:rFonts w:ascii="Times New Roman" w:hAnsi="Times New Roman"/>
          <w:bCs/>
          <w:caps/>
          <w:kern w:val="0"/>
          <w:szCs w:val="21"/>
        </w:rPr>
        <w:fldChar w:fldCharType="end"/>
      </w:r>
    </w:p>
    <w:p>
      <w:pPr>
        <w:pStyle w:val="60"/>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_Toc6778 </w:instrText>
      </w:r>
      <w:r>
        <w:rPr>
          <w:rFonts w:ascii="Times New Roman" w:hAnsi="Times New Roman"/>
          <w:bCs/>
          <w:caps/>
          <w:kern w:val="0"/>
          <w:szCs w:val="21"/>
        </w:rPr>
        <w:fldChar w:fldCharType="separate"/>
      </w:r>
      <w:r>
        <w:rPr>
          <w:rFonts w:eastAsia="黑体"/>
          <w:kern w:val="2"/>
          <w:szCs w:val="44"/>
        </w:rPr>
        <w:t>第五章  环境影响预测与评价</w:t>
      </w:r>
      <w:r>
        <w:tab/>
      </w:r>
      <w:r>
        <w:fldChar w:fldCharType="begin"/>
      </w:r>
      <w:r>
        <w:instrText xml:space="preserve"> PAGEREF _Toc6778 </w:instrText>
      </w:r>
      <w:r>
        <w:fldChar w:fldCharType="separate"/>
      </w:r>
      <w:r>
        <w:t>75</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_Toc1449 </w:instrText>
      </w:r>
      <w:r>
        <w:rPr>
          <w:rFonts w:ascii="Times New Roman" w:hAnsi="Times New Roman"/>
          <w:bCs/>
          <w:caps/>
          <w:kern w:val="0"/>
          <w:szCs w:val="21"/>
        </w:rPr>
        <w:fldChar w:fldCharType="separate"/>
      </w:r>
      <w:r>
        <w:rPr>
          <w:rFonts w:eastAsia="宋体"/>
          <w:szCs w:val="28"/>
        </w:rPr>
        <w:t>5.1大气环境影响预测与评价</w:t>
      </w:r>
      <w:r>
        <w:tab/>
      </w:r>
      <w:r>
        <w:fldChar w:fldCharType="begin"/>
      </w:r>
      <w:r>
        <w:instrText xml:space="preserve"> PAGEREF _Toc1449 </w:instrText>
      </w:r>
      <w:r>
        <w:fldChar w:fldCharType="separate"/>
      </w:r>
      <w:r>
        <w:t>75</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_Toc21573 </w:instrText>
      </w:r>
      <w:r>
        <w:rPr>
          <w:rFonts w:ascii="Times New Roman" w:hAnsi="Times New Roman"/>
          <w:bCs/>
          <w:caps/>
          <w:kern w:val="0"/>
          <w:szCs w:val="21"/>
        </w:rPr>
        <w:fldChar w:fldCharType="separate"/>
      </w:r>
      <w:r>
        <w:rPr>
          <w:rFonts w:eastAsia="宋体"/>
          <w:szCs w:val="28"/>
        </w:rPr>
        <w:t>5.2地表水环境影响分析</w:t>
      </w:r>
      <w:r>
        <w:tab/>
      </w:r>
      <w:r>
        <w:fldChar w:fldCharType="begin"/>
      </w:r>
      <w:r>
        <w:instrText xml:space="preserve"> PAGEREF _Toc21573 </w:instrText>
      </w:r>
      <w:r>
        <w:fldChar w:fldCharType="separate"/>
      </w:r>
      <w:r>
        <w:t>79</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_Toc3115 </w:instrText>
      </w:r>
      <w:r>
        <w:rPr>
          <w:rFonts w:ascii="Times New Roman" w:hAnsi="Times New Roman"/>
          <w:bCs/>
          <w:caps/>
          <w:kern w:val="0"/>
          <w:szCs w:val="21"/>
        </w:rPr>
        <w:fldChar w:fldCharType="separate"/>
      </w:r>
      <w:r>
        <w:rPr>
          <w:rFonts w:eastAsia="宋体"/>
          <w:szCs w:val="28"/>
        </w:rPr>
        <w:t>5.3声环境影响预测与评价</w:t>
      </w:r>
      <w:r>
        <w:tab/>
      </w:r>
      <w:r>
        <w:fldChar w:fldCharType="begin"/>
      </w:r>
      <w:r>
        <w:instrText xml:space="preserve"> PAGEREF _Toc3115 </w:instrText>
      </w:r>
      <w:r>
        <w:fldChar w:fldCharType="separate"/>
      </w:r>
      <w:r>
        <w:t>83</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_Toc15547 </w:instrText>
      </w:r>
      <w:r>
        <w:rPr>
          <w:rFonts w:ascii="Times New Roman" w:hAnsi="Times New Roman"/>
          <w:bCs/>
          <w:caps/>
          <w:kern w:val="0"/>
          <w:szCs w:val="21"/>
        </w:rPr>
        <w:fldChar w:fldCharType="separate"/>
      </w:r>
      <w:r>
        <w:rPr>
          <w:rFonts w:eastAsia="宋体"/>
          <w:szCs w:val="28"/>
        </w:rPr>
        <w:t>5.4固体废物影响分析</w:t>
      </w:r>
      <w:r>
        <w:tab/>
      </w:r>
      <w:r>
        <w:fldChar w:fldCharType="begin"/>
      </w:r>
      <w:r>
        <w:instrText xml:space="preserve"> PAGEREF _Toc15547 </w:instrText>
      </w:r>
      <w:r>
        <w:fldChar w:fldCharType="separate"/>
      </w:r>
      <w:r>
        <w:t>86</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_Toc6134 </w:instrText>
      </w:r>
      <w:r>
        <w:rPr>
          <w:rFonts w:ascii="Times New Roman" w:hAnsi="Times New Roman"/>
          <w:bCs/>
          <w:caps/>
          <w:kern w:val="0"/>
          <w:szCs w:val="21"/>
        </w:rPr>
        <w:fldChar w:fldCharType="separate"/>
      </w:r>
      <w:r>
        <w:rPr>
          <w:rFonts w:eastAsia="宋体"/>
          <w:szCs w:val="28"/>
        </w:rPr>
        <w:t>5.5生态环境影响</w:t>
      </w:r>
      <w:r>
        <w:rPr>
          <w:rFonts w:hint="eastAsia" w:eastAsia="宋体"/>
          <w:szCs w:val="28"/>
        </w:rPr>
        <w:t>预测与评价</w:t>
      </w:r>
      <w:r>
        <w:tab/>
      </w:r>
      <w:r>
        <w:fldChar w:fldCharType="begin"/>
      </w:r>
      <w:r>
        <w:instrText xml:space="preserve"> PAGEREF _Toc6134 </w:instrText>
      </w:r>
      <w:r>
        <w:fldChar w:fldCharType="separate"/>
      </w:r>
      <w:r>
        <w:t>87</w:t>
      </w:r>
      <w:r>
        <w:fldChar w:fldCharType="end"/>
      </w:r>
      <w:r>
        <w:rPr>
          <w:rFonts w:ascii="Times New Roman" w:hAnsi="Times New Roman"/>
          <w:bCs/>
          <w:caps/>
          <w:kern w:val="0"/>
          <w:szCs w:val="21"/>
        </w:rPr>
        <w:fldChar w:fldCharType="end"/>
      </w:r>
    </w:p>
    <w:p>
      <w:pPr>
        <w:pStyle w:val="60"/>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_Toc7795 </w:instrText>
      </w:r>
      <w:r>
        <w:rPr>
          <w:rFonts w:ascii="Times New Roman" w:hAnsi="Times New Roman"/>
          <w:bCs/>
          <w:caps/>
          <w:kern w:val="0"/>
          <w:szCs w:val="21"/>
        </w:rPr>
        <w:fldChar w:fldCharType="separate"/>
      </w:r>
      <w:r>
        <w:rPr>
          <w:rFonts w:eastAsia="黑体"/>
          <w:kern w:val="2"/>
          <w:szCs w:val="44"/>
        </w:rPr>
        <w:t>第六章  污染防治措施可行性分析</w:t>
      </w:r>
      <w:r>
        <w:tab/>
      </w:r>
      <w:r>
        <w:fldChar w:fldCharType="begin"/>
      </w:r>
      <w:r>
        <w:instrText xml:space="preserve"> PAGEREF _Toc7795 </w:instrText>
      </w:r>
      <w:r>
        <w:fldChar w:fldCharType="separate"/>
      </w:r>
      <w:r>
        <w:t>100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_Toc26014 </w:instrText>
      </w:r>
      <w:r>
        <w:rPr>
          <w:rFonts w:ascii="Times New Roman" w:hAnsi="Times New Roman"/>
          <w:bCs/>
          <w:caps/>
          <w:kern w:val="0"/>
          <w:szCs w:val="21"/>
        </w:rPr>
        <w:fldChar w:fldCharType="separate"/>
      </w:r>
      <w:r>
        <w:rPr>
          <w:rFonts w:eastAsia="宋体"/>
          <w:szCs w:val="28"/>
        </w:rPr>
        <w:t>6.1</w:t>
      </w:r>
      <w:r>
        <w:rPr>
          <w:rFonts w:hint="eastAsia" w:eastAsia="宋体"/>
          <w:szCs w:val="28"/>
        </w:rPr>
        <w:t>施工期污染防治措施</w:t>
      </w:r>
      <w:r>
        <w:tab/>
      </w:r>
      <w:r>
        <w:fldChar w:fldCharType="begin"/>
      </w:r>
      <w:r>
        <w:instrText xml:space="preserve"> PAGEREF _Toc26014 </w:instrText>
      </w:r>
      <w:r>
        <w:fldChar w:fldCharType="separate"/>
      </w:r>
      <w:r>
        <w:t>100</w:t>
      </w:r>
      <w:r>
        <w:fldChar w:fldCharType="end"/>
      </w:r>
      <w:r>
        <w:rPr>
          <w:rFonts w:ascii="Times New Roman" w:hAnsi="Times New Roman"/>
          <w:bCs/>
          <w:caps/>
          <w:kern w:val="0"/>
          <w:szCs w:val="21"/>
        </w:rPr>
        <w:fldChar w:fldCharType="end"/>
      </w:r>
    </w:p>
    <w:p>
      <w:pPr>
        <w:pStyle w:val="75"/>
        <w:tabs>
          <w:tab w:val="right" w:leader="dot" w:pos="9070"/>
          <w:tab w:val="clear" w:pos="9060"/>
        </w:tabs>
        <w:rPr>
          <w:rFonts w:ascii="Times New Roman" w:hAnsi="Times New Roman"/>
          <w:bCs/>
          <w:caps/>
          <w:kern w:val="0"/>
          <w:szCs w:val="21"/>
        </w:rPr>
        <w:sectPr>
          <w:headerReference r:id="rId4" w:type="default"/>
          <w:footerReference r:id="rId5" w:type="default"/>
          <w:pgSz w:w="11906" w:h="16838"/>
          <w:pgMar w:top="1247" w:right="1418" w:bottom="1247" w:left="1418" w:header="851" w:footer="992" w:gutter="0"/>
          <w:pgNumType w:start="1"/>
          <w:cols w:space="425" w:num="1"/>
          <w:docGrid w:linePitch="312" w:charSpace="0"/>
        </w:sectPr>
      </w:pP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_Toc22180 </w:instrText>
      </w:r>
      <w:r>
        <w:rPr>
          <w:rFonts w:ascii="Times New Roman" w:hAnsi="Times New Roman"/>
          <w:bCs/>
          <w:caps/>
          <w:kern w:val="0"/>
          <w:szCs w:val="21"/>
        </w:rPr>
        <w:fldChar w:fldCharType="separate"/>
      </w:r>
      <w:r>
        <w:rPr>
          <w:rFonts w:eastAsia="宋体"/>
          <w:szCs w:val="28"/>
        </w:rPr>
        <w:t>6.2</w:t>
      </w:r>
      <w:r>
        <w:rPr>
          <w:rFonts w:hint="eastAsia" w:eastAsia="宋体"/>
          <w:szCs w:val="28"/>
        </w:rPr>
        <w:t>运营期</w:t>
      </w:r>
      <w:r>
        <w:rPr>
          <w:rFonts w:eastAsia="宋体"/>
          <w:szCs w:val="28"/>
        </w:rPr>
        <w:t>污染防治措施</w:t>
      </w:r>
      <w:r>
        <w:tab/>
      </w:r>
      <w:r>
        <w:fldChar w:fldCharType="begin"/>
      </w:r>
      <w:r>
        <w:instrText xml:space="preserve"> PAGEREF _Toc22180 </w:instrText>
      </w:r>
      <w:r>
        <w:fldChar w:fldCharType="separate"/>
      </w:r>
      <w:r>
        <w:t>102</w:t>
      </w:r>
      <w:r>
        <w:fldChar w:fldCharType="end"/>
      </w:r>
      <w:r>
        <w:rPr>
          <w:rFonts w:ascii="Times New Roman" w:hAnsi="Times New Roman"/>
          <w:bCs/>
          <w:caps/>
          <w:kern w:val="0"/>
          <w:szCs w:val="21"/>
        </w:rPr>
        <w:fldChar w:fldCharType="end"/>
      </w:r>
    </w:p>
    <w:p>
      <w:pPr>
        <w:pStyle w:val="60"/>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_Toc27821 </w:instrText>
      </w:r>
      <w:r>
        <w:rPr>
          <w:rFonts w:ascii="Times New Roman" w:hAnsi="Times New Roman"/>
          <w:bCs/>
          <w:caps/>
          <w:kern w:val="0"/>
          <w:szCs w:val="21"/>
        </w:rPr>
        <w:fldChar w:fldCharType="separate"/>
      </w:r>
      <w:r>
        <w:rPr>
          <w:rFonts w:eastAsia="黑体"/>
          <w:kern w:val="2"/>
          <w:szCs w:val="44"/>
        </w:rPr>
        <w:t>第七章  环境</w:t>
      </w:r>
      <w:r>
        <w:rPr>
          <w:rFonts w:hint="eastAsia" w:eastAsia="黑体"/>
          <w:kern w:val="2"/>
          <w:szCs w:val="44"/>
        </w:rPr>
        <w:t>影响</w:t>
      </w:r>
      <w:r>
        <w:rPr>
          <w:rFonts w:eastAsia="黑体"/>
          <w:kern w:val="2"/>
          <w:szCs w:val="44"/>
        </w:rPr>
        <w:t>经济损益分析</w:t>
      </w:r>
      <w:r>
        <w:tab/>
      </w:r>
      <w:r>
        <w:fldChar w:fldCharType="begin"/>
      </w:r>
      <w:r>
        <w:instrText xml:space="preserve"> PAGEREF _Toc27821 </w:instrText>
      </w:r>
      <w:r>
        <w:fldChar w:fldCharType="separate"/>
      </w:r>
      <w:r>
        <w:t>107</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_Toc31029 </w:instrText>
      </w:r>
      <w:r>
        <w:rPr>
          <w:rFonts w:ascii="Times New Roman" w:hAnsi="Times New Roman"/>
          <w:bCs/>
          <w:caps/>
          <w:kern w:val="0"/>
          <w:szCs w:val="21"/>
        </w:rPr>
        <w:fldChar w:fldCharType="separate"/>
      </w:r>
      <w:r>
        <w:rPr>
          <w:rFonts w:eastAsia="宋体"/>
          <w:szCs w:val="28"/>
        </w:rPr>
        <w:t>7.1</w:t>
      </w:r>
      <w:r>
        <w:rPr>
          <w:rFonts w:hint="eastAsia" w:eastAsia="宋体"/>
          <w:szCs w:val="28"/>
        </w:rPr>
        <w:t>环境效益分析</w:t>
      </w:r>
      <w:r>
        <w:tab/>
      </w:r>
      <w:r>
        <w:fldChar w:fldCharType="begin"/>
      </w:r>
      <w:r>
        <w:instrText xml:space="preserve"> PAGEREF _Toc31029 </w:instrText>
      </w:r>
      <w:r>
        <w:fldChar w:fldCharType="separate"/>
      </w:r>
      <w:r>
        <w:t>107</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_Toc2532 </w:instrText>
      </w:r>
      <w:r>
        <w:rPr>
          <w:rFonts w:ascii="Times New Roman" w:hAnsi="Times New Roman"/>
          <w:bCs/>
          <w:caps/>
          <w:kern w:val="0"/>
          <w:szCs w:val="21"/>
        </w:rPr>
        <w:fldChar w:fldCharType="separate"/>
      </w:r>
      <w:r>
        <w:rPr>
          <w:rFonts w:eastAsia="宋体"/>
          <w:szCs w:val="28"/>
        </w:rPr>
        <w:t>7.2</w:t>
      </w:r>
      <w:r>
        <w:rPr>
          <w:rFonts w:hint="eastAsia" w:eastAsia="宋体"/>
          <w:szCs w:val="28"/>
        </w:rPr>
        <w:t>经济效益分析</w:t>
      </w:r>
      <w:r>
        <w:tab/>
      </w:r>
      <w:r>
        <w:fldChar w:fldCharType="begin"/>
      </w:r>
      <w:r>
        <w:instrText xml:space="preserve"> PAGEREF _Toc2532 </w:instrText>
      </w:r>
      <w:r>
        <w:fldChar w:fldCharType="separate"/>
      </w:r>
      <w:r>
        <w:t>108</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_Toc3697 </w:instrText>
      </w:r>
      <w:r>
        <w:rPr>
          <w:rFonts w:ascii="Times New Roman" w:hAnsi="Times New Roman"/>
          <w:bCs/>
          <w:caps/>
          <w:kern w:val="0"/>
          <w:szCs w:val="21"/>
        </w:rPr>
        <w:fldChar w:fldCharType="separate"/>
      </w:r>
      <w:r>
        <w:rPr>
          <w:rFonts w:eastAsia="宋体"/>
          <w:szCs w:val="28"/>
        </w:rPr>
        <w:t>7.</w:t>
      </w:r>
      <w:r>
        <w:rPr>
          <w:rFonts w:hint="eastAsia" w:eastAsia="宋体"/>
          <w:szCs w:val="28"/>
        </w:rPr>
        <w:t>3社会效益分析</w:t>
      </w:r>
      <w:r>
        <w:tab/>
      </w:r>
      <w:r>
        <w:fldChar w:fldCharType="begin"/>
      </w:r>
      <w:r>
        <w:instrText xml:space="preserve"> PAGEREF _Toc3697 </w:instrText>
      </w:r>
      <w:r>
        <w:fldChar w:fldCharType="separate"/>
      </w:r>
      <w:r>
        <w:t>108</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_Toc4270 </w:instrText>
      </w:r>
      <w:r>
        <w:rPr>
          <w:rFonts w:ascii="Times New Roman" w:hAnsi="Times New Roman"/>
          <w:bCs/>
          <w:caps/>
          <w:kern w:val="0"/>
          <w:szCs w:val="21"/>
        </w:rPr>
        <w:fldChar w:fldCharType="separate"/>
      </w:r>
      <w:r>
        <w:rPr>
          <w:rFonts w:eastAsia="宋体"/>
          <w:szCs w:val="28"/>
        </w:rPr>
        <w:t>7.</w:t>
      </w:r>
      <w:r>
        <w:rPr>
          <w:rFonts w:hint="eastAsia" w:eastAsia="宋体"/>
          <w:szCs w:val="28"/>
        </w:rPr>
        <w:t>4环境经济损益分析</w:t>
      </w:r>
      <w:r>
        <w:tab/>
      </w:r>
      <w:r>
        <w:fldChar w:fldCharType="begin"/>
      </w:r>
      <w:r>
        <w:instrText xml:space="preserve"> PAGEREF _Toc4270 </w:instrText>
      </w:r>
      <w:r>
        <w:fldChar w:fldCharType="separate"/>
      </w:r>
      <w:r>
        <w:t>109</w:t>
      </w:r>
      <w:r>
        <w:fldChar w:fldCharType="end"/>
      </w:r>
      <w:r>
        <w:rPr>
          <w:rFonts w:ascii="Times New Roman" w:hAnsi="Times New Roman"/>
          <w:bCs/>
          <w:caps/>
          <w:kern w:val="0"/>
          <w:szCs w:val="21"/>
        </w:rPr>
        <w:fldChar w:fldCharType="end"/>
      </w:r>
    </w:p>
    <w:p>
      <w:pPr>
        <w:pStyle w:val="60"/>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_Toc32571 </w:instrText>
      </w:r>
      <w:r>
        <w:rPr>
          <w:rFonts w:ascii="Times New Roman" w:hAnsi="Times New Roman"/>
          <w:bCs/>
          <w:caps/>
          <w:kern w:val="0"/>
          <w:szCs w:val="21"/>
        </w:rPr>
        <w:fldChar w:fldCharType="separate"/>
      </w:r>
      <w:r>
        <w:rPr>
          <w:rFonts w:eastAsia="黑体"/>
          <w:kern w:val="2"/>
          <w:szCs w:val="44"/>
        </w:rPr>
        <w:t>第八章  环境管理与监测计划</w:t>
      </w:r>
      <w:r>
        <w:tab/>
      </w:r>
      <w:r>
        <w:fldChar w:fldCharType="begin"/>
      </w:r>
      <w:r>
        <w:instrText xml:space="preserve"> PAGEREF _Toc32571 </w:instrText>
      </w:r>
      <w:r>
        <w:fldChar w:fldCharType="separate"/>
      </w:r>
      <w:r>
        <w:t>110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_Toc9468 </w:instrText>
      </w:r>
      <w:r>
        <w:rPr>
          <w:rFonts w:ascii="Times New Roman" w:hAnsi="Times New Roman"/>
          <w:bCs/>
          <w:caps/>
          <w:kern w:val="0"/>
          <w:szCs w:val="21"/>
        </w:rPr>
        <w:fldChar w:fldCharType="separate"/>
      </w:r>
      <w:r>
        <w:rPr>
          <w:kern w:val="2"/>
          <w:szCs w:val="28"/>
        </w:rPr>
        <w:t>8.1 环境管理</w:t>
      </w:r>
      <w:r>
        <w:tab/>
      </w:r>
      <w:r>
        <w:fldChar w:fldCharType="begin"/>
      </w:r>
      <w:r>
        <w:instrText xml:space="preserve"> PAGEREF _Toc9468 </w:instrText>
      </w:r>
      <w:r>
        <w:fldChar w:fldCharType="separate"/>
      </w:r>
      <w:r>
        <w:t>110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_Toc11248 </w:instrText>
      </w:r>
      <w:r>
        <w:rPr>
          <w:rFonts w:ascii="Times New Roman" w:hAnsi="Times New Roman"/>
          <w:bCs/>
          <w:caps/>
          <w:kern w:val="0"/>
          <w:szCs w:val="21"/>
        </w:rPr>
        <w:fldChar w:fldCharType="separate"/>
      </w:r>
      <w:r>
        <w:rPr>
          <w:kern w:val="2"/>
          <w:szCs w:val="28"/>
        </w:rPr>
        <w:t>8.2 环境监测</w:t>
      </w:r>
      <w:r>
        <w:tab/>
      </w:r>
      <w:r>
        <w:fldChar w:fldCharType="begin"/>
      </w:r>
      <w:r>
        <w:instrText xml:space="preserve"> PAGEREF _Toc11248 </w:instrText>
      </w:r>
      <w:r>
        <w:fldChar w:fldCharType="separate"/>
      </w:r>
      <w:r>
        <w:t>114</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_Toc2335 </w:instrText>
      </w:r>
      <w:r>
        <w:rPr>
          <w:rFonts w:ascii="Times New Roman" w:hAnsi="Times New Roman"/>
          <w:bCs/>
          <w:caps/>
          <w:kern w:val="0"/>
          <w:szCs w:val="21"/>
        </w:rPr>
        <w:fldChar w:fldCharType="separate"/>
      </w:r>
      <w:r>
        <w:rPr>
          <w:kern w:val="2"/>
          <w:szCs w:val="28"/>
          <w:lang w:val="zh-CN"/>
        </w:rPr>
        <w:t>8.3污染物排放清单</w:t>
      </w:r>
      <w:r>
        <w:tab/>
      </w:r>
      <w:r>
        <w:fldChar w:fldCharType="begin"/>
      </w:r>
      <w:r>
        <w:instrText xml:space="preserve"> PAGEREF _Toc2335 </w:instrText>
      </w:r>
      <w:r>
        <w:fldChar w:fldCharType="separate"/>
      </w:r>
      <w:r>
        <w:t>116</w:t>
      </w:r>
      <w:r>
        <w:fldChar w:fldCharType="end"/>
      </w:r>
      <w:r>
        <w:rPr>
          <w:rFonts w:ascii="Times New Roman" w:hAnsi="Times New Roman"/>
          <w:bCs/>
          <w:caps/>
          <w:kern w:val="0"/>
          <w:szCs w:val="21"/>
        </w:rPr>
        <w:fldChar w:fldCharType="end"/>
      </w:r>
    </w:p>
    <w:p>
      <w:pPr>
        <w:pStyle w:val="60"/>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_Toc19297 </w:instrText>
      </w:r>
      <w:r>
        <w:rPr>
          <w:rFonts w:ascii="Times New Roman" w:hAnsi="Times New Roman"/>
          <w:bCs/>
          <w:caps/>
          <w:kern w:val="0"/>
          <w:szCs w:val="21"/>
        </w:rPr>
        <w:fldChar w:fldCharType="separate"/>
      </w:r>
      <w:r>
        <w:rPr>
          <w:rFonts w:eastAsia="黑体"/>
          <w:kern w:val="2"/>
          <w:szCs w:val="44"/>
        </w:rPr>
        <w:t>第九章  评价结论</w:t>
      </w:r>
      <w:r>
        <w:tab/>
      </w:r>
      <w:r>
        <w:fldChar w:fldCharType="begin"/>
      </w:r>
      <w:r>
        <w:instrText xml:space="preserve"> PAGEREF _Toc19297 </w:instrText>
      </w:r>
      <w:r>
        <w:fldChar w:fldCharType="separate"/>
      </w:r>
      <w:r>
        <w:t>117</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_Toc10079 </w:instrText>
      </w:r>
      <w:r>
        <w:rPr>
          <w:rFonts w:ascii="Times New Roman" w:hAnsi="Times New Roman"/>
          <w:bCs/>
          <w:caps/>
          <w:kern w:val="0"/>
          <w:szCs w:val="21"/>
        </w:rPr>
        <w:fldChar w:fldCharType="separate"/>
      </w:r>
      <w:r>
        <w:rPr>
          <w:rFonts w:eastAsia="宋体"/>
          <w:szCs w:val="28"/>
        </w:rPr>
        <w:t>9.1</w:t>
      </w:r>
      <w:r>
        <w:rPr>
          <w:rFonts w:hint="eastAsia" w:eastAsia="宋体"/>
          <w:szCs w:val="28"/>
        </w:rPr>
        <w:t>建设</w:t>
      </w:r>
      <w:r>
        <w:rPr>
          <w:rFonts w:eastAsia="宋体"/>
          <w:szCs w:val="28"/>
        </w:rPr>
        <w:t>项目概况</w:t>
      </w:r>
      <w:r>
        <w:tab/>
      </w:r>
      <w:r>
        <w:fldChar w:fldCharType="begin"/>
      </w:r>
      <w:r>
        <w:instrText xml:space="preserve"> PAGEREF _Toc10079 </w:instrText>
      </w:r>
      <w:r>
        <w:fldChar w:fldCharType="separate"/>
      </w:r>
      <w:r>
        <w:t>117</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_Toc23173 </w:instrText>
      </w:r>
      <w:r>
        <w:rPr>
          <w:rFonts w:ascii="Times New Roman" w:hAnsi="Times New Roman"/>
          <w:bCs/>
          <w:caps/>
          <w:kern w:val="0"/>
          <w:szCs w:val="21"/>
        </w:rPr>
        <w:fldChar w:fldCharType="separate"/>
      </w:r>
      <w:r>
        <w:rPr>
          <w:rFonts w:eastAsia="宋体"/>
          <w:szCs w:val="28"/>
        </w:rPr>
        <w:t>9.2</w:t>
      </w:r>
      <w:r>
        <w:rPr>
          <w:rFonts w:hint="eastAsia" w:eastAsia="宋体"/>
          <w:szCs w:val="28"/>
        </w:rPr>
        <w:t>评价区环境质量现状</w:t>
      </w:r>
      <w:r>
        <w:tab/>
      </w:r>
      <w:r>
        <w:fldChar w:fldCharType="begin"/>
      </w:r>
      <w:r>
        <w:instrText xml:space="preserve"> PAGEREF _Toc23173 </w:instrText>
      </w:r>
      <w:r>
        <w:fldChar w:fldCharType="separate"/>
      </w:r>
      <w:r>
        <w:t>117</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_Toc7520 </w:instrText>
      </w:r>
      <w:r>
        <w:rPr>
          <w:rFonts w:ascii="Times New Roman" w:hAnsi="Times New Roman"/>
          <w:bCs/>
          <w:caps/>
          <w:kern w:val="0"/>
          <w:szCs w:val="21"/>
        </w:rPr>
        <w:fldChar w:fldCharType="separate"/>
      </w:r>
      <w:r>
        <w:rPr>
          <w:rFonts w:eastAsia="宋体"/>
          <w:szCs w:val="28"/>
        </w:rPr>
        <w:t>9.3</w:t>
      </w:r>
      <w:r>
        <w:rPr>
          <w:rFonts w:hint="eastAsia" w:eastAsia="宋体"/>
          <w:szCs w:val="28"/>
        </w:rPr>
        <w:t>污染物排放情况</w:t>
      </w:r>
      <w:r>
        <w:tab/>
      </w:r>
      <w:r>
        <w:fldChar w:fldCharType="begin"/>
      </w:r>
      <w:r>
        <w:instrText xml:space="preserve"> PAGEREF _Toc7520 </w:instrText>
      </w:r>
      <w:r>
        <w:fldChar w:fldCharType="separate"/>
      </w:r>
      <w:r>
        <w:t>118</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_Toc27350 </w:instrText>
      </w:r>
      <w:r>
        <w:rPr>
          <w:rFonts w:ascii="Times New Roman" w:hAnsi="Times New Roman"/>
          <w:bCs/>
          <w:caps/>
          <w:kern w:val="0"/>
          <w:szCs w:val="21"/>
        </w:rPr>
        <w:fldChar w:fldCharType="separate"/>
      </w:r>
      <w:r>
        <w:rPr>
          <w:rFonts w:eastAsia="宋体"/>
          <w:szCs w:val="28"/>
        </w:rPr>
        <w:t>9.4</w:t>
      </w:r>
      <w:r>
        <w:rPr>
          <w:rFonts w:hint="eastAsia" w:eastAsia="宋体"/>
          <w:szCs w:val="28"/>
        </w:rPr>
        <w:t>主要环境影响分析</w:t>
      </w:r>
      <w:r>
        <w:tab/>
      </w:r>
      <w:r>
        <w:fldChar w:fldCharType="begin"/>
      </w:r>
      <w:r>
        <w:instrText xml:space="preserve"> PAGEREF _Toc27350 </w:instrText>
      </w:r>
      <w:r>
        <w:fldChar w:fldCharType="separate"/>
      </w:r>
      <w:r>
        <w:t>118</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_Toc32659 </w:instrText>
      </w:r>
      <w:r>
        <w:rPr>
          <w:rFonts w:ascii="Times New Roman" w:hAnsi="Times New Roman"/>
          <w:bCs/>
          <w:caps/>
          <w:kern w:val="0"/>
          <w:szCs w:val="21"/>
        </w:rPr>
        <w:fldChar w:fldCharType="separate"/>
      </w:r>
      <w:r>
        <w:rPr>
          <w:rFonts w:eastAsia="宋体"/>
          <w:szCs w:val="28"/>
        </w:rPr>
        <w:t>9.5</w:t>
      </w:r>
      <w:r>
        <w:rPr>
          <w:rFonts w:hint="eastAsia" w:eastAsia="宋体"/>
          <w:szCs w:val="28"/>
        </w:rPr>
        <w:t>环境保护措施</w:t>
      </w:r>
      <w:r>
        <w:tab/>
      </w:r>
      <w:r>
        <w:fldChar w:fldCharType="begin"/>
      </w:r>
      <w:r>
        <w:instrText xml:space="preserve"> PAGEREF _Toc32659 </w:instrText>
      </w:r>
      <w:r>
        <w:fldChar w:fldCharType="separate"/>
      </w:r>
      <w:r>
        <w:t>119</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_Toc19570 </w:instrText>
      </w:r>
      <w:r>
        <w:rPr>
          <w:rFonts w:ascii="Times New Roman" w:hAnsi="Times New Roman"/>
          <w:bCs/>
          <w:caps/>
          <w:kern w:val="0"/>
          <w:szCs w:val="21"/>
        </w:rPr>
        <w:fldChar w:fldCharType="separate"/>
      </w:r>
      <w:r>
        <w:rPr>
          <w:rFonts w:eastAsia="宋体"/>
          <w:szCs w:val="28"/>
        </w:rPr>
        <w:t>9.6</w:t>
      </w:r>
      <w:r>
        <w:rPr>
          <w:rFonts w:hint="eastAsia" w:eastAsia="宋体"/>
          <w:szCs w:val="28"/>
        </w:rPr>
        <w:t>公众意见采纳情况</w:t>
      </w:r>
      <w:r>
        <w:tab/>
      </w:r>
      <w:r>
        <w:fldChar w:fldCharType="begin"/>
      </w:r>
      <w:r>
        <w:instrText xml:space="preserve"> PAGEREF _Toc19570 </w:instrText>
      </w:r>
      <w:r>
        <w:fldChar w:fldCharType="separate"/>
      </w:r>
      <w:r>
        <w:t>120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_Toc32065 </w:instrText>
      </w:r>
      <w:r>
        <w:rPr>
          <w:rFonts w:ascii="Times New Roman" w:hAnsi="Times New Roman"/>
          <w:bCs/>
          <w:caps/>
          <w:kern w:val="0"/>
          <w:szCs w:val="21"/>
        </w:rPr>
        <w:fldChar w:fldCharType="separate"/>
      </w:r>
      <w:r>
        <w:rPr>
          <w:rFonts w:eastAsia="宋体"/>
          <w:szCs w:val="28"/>
        </w:rPr>
        <w:t>9.</w:t>
      </w:r>
      <w:r>
        <w:rPr>
          <w:rFonts w:hint="eastAsia" w:eastAsia="宋体"/>
          <w:szCs w:val="28"/>
        </w:rPr>
        <w:t>7环境经济损益分析</w:t>
      </w:r>
      <w:r>
        <w:tab/>
      </w:r>
      <w:r>
        <w:fldChar w:fldCharType="begin"/>
      </w:r>
      <w:r>
        <w:instrText xml:space="preserve"> PAGEREF _Toc32065 </w:instrText>
      </w:r>
      <w:r>
        <w:fldChar w:fldCharType="separate"/>
      </w:r>
      <w:r>
        <w:t>120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_Toc14973 </w:instrText>
      </w:r>
      <w:r>
        <w:rPr>
          <w:rFonts w:ascii="Times New Roman" w:hAnsi="Times New Roman"/>
          <w:bCs/>
          <w:caps/>
          <w:kern w:val="0"/>
          <w:szCs w:val="21"/>
        </w:rPr>
        <w:fldChar w:fldCharType="separate"/>
      </w:r>
      <w:r>
        <w:rPr>
          <w:rFonts w:eastAsia="宋体"/>
          <w:szCs w:val="28"/>
        </w:rPr>
        <w:t>9.</w:t>
      </w:r>
      <w:r>
        <w:rPr>
          <w:rFonts w:hint="eastAsia" w:eastAsia="宋体"/>
          <w:szCs w:val="28"/>
        </w:rPr>
        <w:t>8</w:t>
      </w:r>
      <w:r>
        <w:rPr>
          <w:rFonts w:eastAsia="宋体"/>
          <w:szCs w:val="28"/>
        </w:rPr>
        <w:t xml:space="preserve"> 环境管理与监测计划</w:t>
      </w:r>
      <w:r>
        <w:tab/>
      </w:r>
      <w:r>
        <w:fldChar w:fldCharType="begin"/>
      </w:r>
      <w:r>
        <w:instrText xml:space="preserve"> PAGEREF _Toc14973 </w:instrText>
      </w:r>
      <w:r>
        <w:fldChar w:fldCharType="separate"/>
      </w:r>
      <w:r>
        <w:t>120</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_Toc4605 </w:instrText>
      </w:r>
      <w:r>
        <w:rPr>
          <w:rFonts w:ascii="Times New Roman" w:hAnsi="Times New Roman"/>
          <w:bCs/>
          <w:caps/>
          <w:kern w:val="0"/>
          <w:szCs w:val="21"/>
        </w:rPr>
        <w:fldChar w:fldCharType="separate"/>
      </w:r>
      <w:r>
        <w:rPr>
          <w:rFonts w:eastAsia="宋体"/>
          <w:szCs w:val="28"/>
        </w:rPr>
        <w:t>9.</w:t>
      </w:r>
      <w:r>
        <w:rPr>
          <w:rFonts w:hint="eastAsia" w:eastAsia="宋体"/>
          <w:szCs w:val="28"/>
        </w:rPr>
        <w:t>9</w:t>
      </w:r>
      <w:r>
        <w:rPr>
          <w:rFonts w:eastAsia="宋体"/>
          <w:szCs w:val="28"/>
        </w:rPr>
        <w:t xml:space="preserve"> </w:t>
      </w:r>
      <w:r>
        <w:rPr>
          <w:rFonts w:hint="eastAsia" w:eastAsia="宋体"/>
          <w:szCs w:val="28"/>
        </w:rPr>
        <w:t>选址合理性</w:t>
      </w:r>
      <w:r>
        <w:tab/>
      </w:r>
      <w:r>
        <w:fldChar w:fldCharType="begin"/>
      </w:r>
      <w:r>
        <w:instrText xml:space="preserve"> PAGEREF _Toc4605 </w:instrText>
      </w:r>
      <w:r>
        <w:fldChar w:fldCharType="separate"/>
      </w:r>
      <w:r>
        <w:t>121</w:t>
      </w:r>
      <w:r>
        <w:fldChar w:fldCharType="end"/>
      </w:r>
      <w:r>
        <w:rPr>
          <w:rFonts w:ascii="Times New Roman" w:hAnsi="Times New Roman"/>
          <w:bCs/>
          <w:caps/>
          <w:kern w:val="0"/>
          <w:szCs w:val="21"/>
        </w:rPr>
        <w:fldChar w:fldCharType="end"/>
      </w:r>
    </w:p>
    <w:p>
      <w:pPr>
        <w:pStyle w:val="75"/>
        <w:tabs>
          <w:tab w:val="right" w:leader="dot" w:pos="9070"/>
          <w:tab w:val="clear" w:pos="9060"/>
        </w:tabs>
      </w:pPr>
      <w:r>
        <w:rPr>
          <w:rFonts w:ascii="Times New Roman" w:hAnsi="Times New Roman"/>
          <w:bCs/>
          <w:caps/>
          <w:kern w:val="0"/>
          <w:szCs w:val="21"/>
        </w:rPr>
        <w:fldChar w:fldCharType="begin"/>
      </w:r>
      <w:r>
        <w:rPr>
          <w:rFonts w:ascii="Times New Roman" w:hAnsi="Times New Roman"/>
          <w:bCs/>
          <w:caps/>
          <w:kern w:val="0"/>
          <w:szCs w:val="21"/>
        </w:rPr>
        <w:instrText xml:space="preserve"> HYPERLINK \l _Toc9045 </w:instrText>
      </w:r>
      <w:r>
        <w:rPr>
          <w:rFonts w:ascii="Times New Roman" w:hAnsi="Times New Roman"/>
          <w:bCs/>
          <w:caps/>
          <w:kern w:val="0"/>
          <w:szCs w:val="21"/>
        </w:rPr>
        <w:fldChar w:fldCharType="separate"/>
      </w:r>
      <w:r>
        <w:rPr>
          <w:rFonts w:eastAsia="宋体"/>
          <w:szCs w:val="28"/>
        </w:rPr>
        <w:t>9.</w:t>
      </w:r>
      <w:r>
        <w:rPr>
          <w:rFonts w:hint="eastAsia" w:eastAsia="宋体"/>
          <w:szCs w:val="28"/>
        </w:rPr>
        <w:t>10</w:t>
      </w:r>
      <w:r>
        <w:rPr>
          <w:rFonts w:eastAsia="宋体"/>
          <w:szCs w:val="28"/>
        </w:rPr>
        <w:t xml:space="preserve"> </w:t>
      </w:r>
      <w:r>
        <w:rPr>
          <w:rFonts w:hint="eastAsia" w:eastAsia="宋体"/>
          <w:szCs w:val="28"/>
        </w:rPr>
        <w:t>环境影响评价结论</w:t>
      </w:r>
      <w:r>
        <w:tab/>
      </w:r>
      <w:r>
        <w:fldChar w:fldCharType="begin"/>
      </w:r>
      <w:r>
        <w:instrText xml:space="preserve"> PAGEREF _Toc9045 </w:instrText>
      </w:r>
      <w:r>
        <w:fldChar w:fldCharType="separate"/>
      </w:r>
      <w:r>
        <w:t>121</w:t>
      </w:r>
      <w:r>
        <w:fldChar w:fldCharType="end"/>
      </w:r>
      <w:r>
        <w:rPr>
          <w:rFonts w:ascii="Times New Roman" w:hAnsi="Times New Roman"/>
          <w:bCs/>
          <w:caps/>
          <w:kern w:val="0"/>
          <w:szCs w:val="21"/>
        </w:rPr>
        <w:fldChar w:fldCharType="end"/>
      </w:r>
    </w:p>
    <w:p>
      <w:pPr>
        <w:pStyle w:val="46"/>
        <w:adjustRightInd w:val="0"/>
        <w:snapToGrid w:val="0"/>
        <w:spacing w:line="340" w:lineRule="exact"/>
        <w:rPr>
          <w:rFonts w:ascii="Times New Roman" w:hAnsi="Times New Roman"/>
          <w:bCs/>
          <w:caps/>
          <w:kern w:val="0"/>
          <w:szCs w:val="21"/>
        </w:rPr>
      </w:pPr>
      <w:r>
        <w:rPr>
          <w:rFonts w:ascii="Times New Roman" w:hAnsi="Times New Roman"/>
          <w:bCs/>
          <w:caps/>
          <w:kern w:val="0"/>
          <w:szCs w:val="21"/>
        </w:rPr>
        <w:fldChar w:fldCharType="end"/>
      </w:r>
    </w:p>
    <w:p>
      <w:pPr>
        <w:pStyle w:val="46"/>
        <w:adjustRightInd w:val="0"/>
        <w:snapToGrid w:val="0"/>
        <w:spacing w:line="340" w:lineRule="exact"/>
        <w:rPr>
          <w:rFonts w:ascii="Times New Roman" w:hAnsi="Times New Roman"/>
          <w:bCs/>
          <w:caps/>
          <w:kern w:val="0"/>
          <w:szCs w:val="21"/>
        </w:rPr>
      </w:pPr>
    </w:p>
    <w:p>
      <w:pPr>
        <w:pStyle w:val="46"/>
        <w:adjustRightInd w:val="0"/>
        <w:snapToGrid w:val="0"/>
        <w:spacing w:line="340" w:lineRule="exact"/>
        <w:rPr>
          <w:rFonts w:ascii="Times New Roman" w:hAnsi="Times New Roman"/>
          <w:b/>
          <w:sz w:val="24"/>
          <w:szCs w:val="24"/>
        </w:rPr>
      </w:pPr>
      <w:r>
        <w:rPr>
          <w:rFonts w:ascii="Times New Roman" w:hAnsi="Times New Roman"/>
          <w:b/>
          <w:sz w:val="24"/>
          <w:szCs w:val="24"/>
        </w:rPr>
        <w:t>附件：</w:t>
      </w:r>
    </w:p>
    <w:p>
      <w:pPr>
        <w:pStyle w:val="46"/>
        <w:adjustRightInd w:val="0"/>
        <w:snapToGrid w:val="0"/>
        <w:spacing w:line="440" w:lineRule="exact"/>
        <w:rPr>
          <w:rFonts w:ascii="Times New Roman" w:hAnsi="Times New Roman"/>
          <w:sz w:val="24"/>
          <w:szCs w:val="24"/>
        </w:rPr>
      </w:pPr>
      <w:r>
        <w:rPr>
          <w:rFonts w:ascii="Times New Roman" w:hAnsi="Times New Roman"/>
          <w:sz w:val="24"/>
          <w:szCs w:val="24"/>
        </w:rPr>
        <w:t>附件1  委托书</w:t>
      </w:r>
    </w:p>
    <w:p>
      <w:pPr>
        <w:pStyle w:val="46"/>
        <w:adjustRightInd w:val="0"/>
        <w:snapToGrid w:val="0"/>
        <w:spacing w:line="440" w:lineRule="exact"/>
        <w:rPr>
          <w:rFonts w:ascii="Times New Roman" w:hAnsi="Times New Roman"/>
          <w:sz w:val="24"/>
          <w:szCs w:val="24"/>
        </w:rPr>
      </w:pPr>
      <w:r>
        <w:rPr>
          <w:rFonts w:ascii="Times New Roman" w:hAnsi="Times New Roman"/>
          <w:sz w:val="24"/>
          <w:szCs w:val="24"/>
        </w:rPr>
        <w:t xml:space="preserve">附件2  </w:t>
      </w:r>
      <w:r>
        <w:rPr>
          <w:rFonts w:hint="eastAsia" w:ascii="Times New Roman" w:hAnsi="Times New Roman"/>
          <w:sz w:val="24"/>
          <w:szCs w:val="24"/>
        </w:rPr>
        <w:t>营业执照</w:t>
      </w:r>
    </w:p>
    <w:p>
      <w:pPr>
        <w:pStyle w:val="46"/>
        <w:adjustRightInd w:val="0"/>
        <w:snapToGrid w:val="0"/>
        <w:spacing w:line="440" w:lineRule="exact"/>
        <w:rPr>
          <w:rFonts w:ascii="Times New Roman" w:hAnsi="Times New Roman"/>
          <w:sz w:val="24"/>
          <w:szCs w:val="24"/>
        </w:rPr>
      </w:pPr>
      <w:r>
        <w:rPr>
          <w:rFonts w:hint="eastAsia" w:ascii="Times New Roman" w:hAnsi="Times New Roman"/>
          <w:sz w:val="24"/>
          <w:szCs w:val="24"/>
        </w:rPr>
        <w:t>附件3  繁峙县国土资源局关于资源储量的备案证明（</w:t>
      </w:r>
      <w:r>
        <w:rPr>
          <w:rFonts w:eastAsiaTheme="minorEastAsia"/>
          <w:sz w:val="24"/>
          <w:szCs w:val="24"/>
        </w:rPr>
        <w:t>繁国土资储备字【2012】07号</w:t>
      </w:r>
      <w:r>
        <w:rPr>
          <w:rFonts w:hint="eastAsia" w:ascii="Times New Roman" w:hAnsi="Times New Roman"/>
          <w:sz w:val="24"/>
          <w:szCs w:val="24"/>
        </w:rPr>
        <w:t>）</w:t>
      </w:r>
    </w:p>
    <w:p>
      <w:pPr>
        <w:pStyle w:val="46"/>
        <w:adjustRightInd w:val="0"/>
        <w:snapToGrid w:val="0"/>
        <w:spacing w:line="440" w:lineRule="exact"/>
        <w:rPr>
          <w:rFonts w:ascii="Times New Roman" w:hAnsi="Times New Roman"/>
          <w:sz w:val="24"/>
          <w:szCs w:val="24"/>
        </w:rPr>
      </w:pPr>
      <w:r>
        <w:rPr>
          <w:rFonts w:hint="eastAsia" w:ascii="Times New Roman" w:hAnsi="Times New Roman"/>
          <w:sz w:val="24"/>
          <w:szCs w:val="24"/>
        </w:rPr>
        <w:t>附件4  采矿许可证</w:t>
      </w:r>
    </w:p>
    <w:p>
      <w:pPr>
        <w:pStyle w:val="46"/>
        <w:adjustRightInd w:val="0"/>
        <w:snapToGrid w:val="0"/>
        <w:spacing w:line="440" w:lineRule="exact"/>
        <w:rPr>
          <w:rFonts w:ascii="Times New Roman" w:hAnsi="Times New Roman"/>
          <w:sz w:val="24"/>
          <w:szCs w:val="24"/>
        </w:rPr>
      </w:pPr>
      <w:r>
        <w:rPr>
          <w:rFonts w:hint="eastAsia" w:ascii="Times New Roman" w:hAnsi="Times New Roman"/>
          <w:sz w:val="24"/>
          <w:szCs w:val="24"/>
        </w:rPr>
        <w:t>附件5  繁峙县申请采矿权部门联合审核意见表</w:t>
      </w:r>
    </w:p>
    <w:p>
      <w:pPr>
        <w:pStyle w:val="46"/>
        <w:adjustRightInd w:val="0"/>
        <w:snapToGrid w:val="0"/>
        <w:spacing w:line="440" w:lineRule="exact"/>
        <w:rPr>
          <w:rFonts w:ascii="Times New Roman" w:hAnsi="Times New Roman" w:eastAsiaTheme="minorEastAsia"/>
          <w:sz w:val="24"/>
          <w:szCs w:val="24"/>
        </w:rPr>
      </w:pPr>
      <w:r>
        <w:rPr>
          <w:rFonts w:hint="eastAsia" w:ascii="Times New Roman" w:hAnsi="Times New Roman"/>
          <w:sz w:val="24"/>
          <w:szCs w:val="24"/>
        </w:rPr>
        <w:t xml:space="preserve">附件6  </w:t>
      </w:r>
      <w:r>
        <w:rPr>
          <w:rFonts w:eastAsiaTheme="minorEastAsia"/>
          <w:sz w:val="24"/>
          <w:szCs w:val="24"/>
        </w:rPr>
        <w:t>《山西省繁峙县东胜砖厂砖瓦用粘土矿矿山矿产资源开发利用、地质环境保护与治理恢复、土地复垦方案》</w:t>
      </w:r>
      <w:r>
        <w:rPr>
          <w:rFonts w:hint="eastAsia" w:eastAsiaTheme="minorEastAsia"/>
          <w:sz w:val="24"/>
          <w:szCs w:val="24"/>
        </w:rPr>
        <w:t>评审意见书</w:t>
      </w:r>
    </w:p>
    <w:p>
      <w:pPr>
        <w:pStyle w:val="46"/>
        <w:adjustRightInd w:val="0"/>
        <w:snapToGrid w:val="0"/>
        <w:spacing w:line="440" w:lineRule="exact"/>
        <w:rPr>
          <w:rFonts w:ascii="Times New Roman" w:hAnsi="Times New Roman"/>
          <w:sz w:val="24"/>
          <w:szCs w:val="24"/>
        </w:rPr>
      </w:pPr>
      <w:r>
        <w:rPr>
          <w:rFonts w:hint="eastAsia" w:ascii="Times New Roman" w:hAnsi="Times New Roman"/>
          <w:sz w:val="24"/>
          <w:szCs w:val="24"/>
        </w:rPr>
        <w:t>附件7  环境质量现状监测报告（晋仪环监字【2019】第546号）</w:t>
      </w:r>
    </w:p>
    <w:p>
      <w:pPr>
        <w:pStyle w:val="46"/>
        <w:adjustRightInd w:val="0"/>
        <w:snapToGrid w:val="0"/>
        <w:spacing w:line="440" w:lineRule="exact"/>
        <w:rPr>
          <w:rFonts w:hint="default" w:ascii="Times New Roman" w:hAnsi="Times New Roman" w:eastAsia="宋体"/>
          <w:sz w:val="24"/>
          <w:szCs w:val="24"/>
          <w:lang w:val="en-US" w:eastAsia="zh-CN"/>
        </w:rPr>
      </w:pPr>
      <w:r>
        <w:rPr>
          <w:rFonts w:hint="eastAsia" w:ascii="Times New Roman" w:hAnsi="Times New Roman"/>
          <w:sz w:val="24"/>
          <w:szCs w:val="24"/>
          <w:lang w:eastAsia="zh-CN"/>
        </w:rPr>
        <w:t>附件</w:t>
      </w:r>
      <w:r>
        <w:rPr>
          <w:rFonts w:hint="eastAsia" w:ascii="Times New Roman" w:hAnsi="Times New Roman"/>
          <w:sz w:val="24"/>
          <w:szCs w:val="24"/>
          <w:lang w:val="en-US" w:eastAsia="zh-CN"/>
        </w:rPr>
        <w:t>8  技术审查意见</w:t>
      </w:r>
    </w:p>
    <w:p>
      <w:pPr>
        <w:pStyle w:val="46"/>
        <w:adjustRightInd w:val="0"/>
        <w:snapToGrid w:val="0"/>
        <w:spacing w:line="440" w:lineRule="exact"/>
        <w:rPr>
          <w:rFonts w:ascii="Times New Roman" w:hAnsi="Times New Roman"/>
          <w:sz w:val="24"/>
          <w:szCs w:val="24"/>
        </w:rPr>
      </w:pPr>
      <w:r>
        <w:rPr>
          <w:rFonts w:hint="eastAsia" w:ascii="Times New Roman" w:hAnsi="Times New Roman"/>
          <w:sz w:val="24"/>
          <w:szCs w:val="24"/>
        </w:rPr>
        <w:t>建设项目环评审批基础信息表</w:t>
      </w:r>
    </w:p>
    <w:p>
      <w:pPr>
        <w:pStyle w:val="46"/>
        <w:adjustRightInd w:val="0"/>
        <w:snapToGrid w:val="0"/>
        <w:spacing w:line="440" w:lineRule="exact"/>
        <w:ind w:firstLine="480" w:firstLineChars="200"/>
        <w:rPr>
          <w:rFonts w:ascii="Times New Roman" w:hAnsi="Times New Roman"/>
          <w:sz w:val="24"/>
          <w:szCs w:val="24"/>
        </w:rPr>
        <w:sectPr>
          <w:footerReference r:id="rId6" w:type="default"/>
          <w:pgSz w:w="11906" w:h="16838"/>
          <w:pgMar w:top="1247" w:right="1418" w:bottom="1247" w:left="1418" w:header="851" w:footer="992" w:gutter="0"/>
          <w:pgNumType w:start="1"/>
          <w:cols w:space="425" w:num="1"/>
          <w:docGrid w:linePitch="312" w:charSpace="0"/>
        </w:sectPr>
      </w:pPr>
    </w:p>
    <w:bookmarkEnd w:id="1"/>
    <w:bookmarkEnd w:id="2"/>
    <w:bookmarkEnd w:id="3"/>
    <w:bookmarkEnd w:id="4"/>
    <w:bookmarkEnd w:id="5"/>
    <w:bookmarkEnd w:id="6"/>
    <w:bookmarkEnd w:id="7"/>
    <w:bookmarkEnd w:id="8"/>
    <w:p>
      <w:pPr>
        <w:keepNext/>
        <w:keepLines/>
        <w:widowControl w:val="0"/>
        <w:adjustRightInd w:val="0"/>
        <w:snapToGrid w:val="0"/>
        <w:spacing w:before="382" w:beforeLines="100" w:after="382" w:afterLines="100"/>
        <w:jc w:val="center"/>
        <w:outlineLvl w:val="0"/>
        <w:rPr>
          <w:rFonts w:eastAsia="黑体"/>
          <w:b/>
          <w:kern w:val="2"/>
          <w:sz w:val="44"/>
          <w:szCs w:val="44"/>
        </w:rPr>
      </w:pPr>
      <w:bookmarkStart w:id="11" w:name="_Toc27104"/>
      <w:r>
        <w:rPr>
          <w:rFonts w:eastAsia="黑体"/>
          <w:b/>
          <w:kern w:val="2"/>
          <w:sz w:val="44"/>
          <w:szCs w:val="44"/>
        </w:rPr>
        <w:t>概述</w:t>
      </w:r>
      <w:bookmarkEnd w:id="11"/>
    </w:p>
    <w:p>
      <w:pPr>
        <w:widowControl w:val="0"/>
        <w:adjustRightInd w:val="0"/>
        <w:snapToGrid w:val="0"/>
        <w:spacing w:after="191" w:afterLines="50"/>
        <w:jc w:val="both"/>
        <w:outlineLvl w:val="1"/>
        <w:rPr>
          <w:b/>
          <w:kern w:val="2"/>
          <w:sz w:val="28"/>
          <w:szCs w:val="28"/>
        </w:rPr>
      </w:pPr>
      <w:bookmarkStart w:id="12" w:name="_Toc396395400"/>
      <w:bookmarkStart w:id="13" w:name="_Toc399150337"/>
      <w:bookmarkStart w:id="14" w:name="_Toc535262544"/>
      <w:bookmarkStart w:id="15" w:name="_Toc61250935"/>
      <w:bookmarkStart w:id="16" w:name="_Toc81006316"/>
      <w:bookmarkStart w:id="17" w:name="_Toc245721942"/>
      <w:bookmarkStart w:id="18" w:name="_Toc65566930"/>
      <w:bookmarkStart w:id="19" w:name="_Toc81007056"/>
      <w:bookmarkStart w:id="20" w:name="_Toc65331931"/>
      <w:bookmarkStart w:id="21" w:name="_Toc395801183"/>
      <w:bookmarkStart w:id="22" w:name="_Toc535797317"/>
      <w:bookmarkStart w:id="23" w:name="_Toc3748"/>
      <w:r>
        <w:rPr>
          <w:b/>
          <w:kern w:val="2"/>
          <w:sz w:val="28"/>
          <w:szCs w:val="28"/>
        </w:rPr>
        <w:t>一、</w:t>
      </w:r>
      <w:bookmarkEnd w:id="12"/>
      <w:bookmarkEnd w:id="13"/>
      <w:bookmarkEnd w:id="14"/>
      <w:bookmarkEnd w:id="15"/>
      <w:bookmarkEnd w:id="16"/>
      <w:bookmarkEnd w:id="17"/>
      <w:bookmarkEnd w:id="18"/>
      <w:bookmarkEnd w:id="19"/>
      <w:bookmarkEnd w:id="20"/>
      <w:bookmarkEnd w:id="21"/>
      <w:bookmarkEnd w:id="22"/>
      <w:r>
        <w:rPr>
          <w:b/>
          <w:kern w:val="2"/>
          <w:sz w:val="28"/>
          <w:szCs w:val="28"/>
        </w:rPr>
        <w:t>项目建设背景及由来</w:t>
      </w:r>
      <w:bookmarkEnd w:id="23"/>
    </w:p>
    <w:p>
      <w:pPr>
        <w:pStyle w:val="245"/>
        <w:spacing w:line="440" w:lineRule="exact"/>
        <w:ind w:firstLine="480"/>
        <w:rPr>
          <w:rFonts w:eastAsiaTheme="minorEastAsia"/>
          <w:sz w:val="24"/>
          <w:szCs w:val="24"/>
        </w:rPr>
      </w:pPr>
      <w:bookmarkStart w:id="24" w:name="_Hlk520286041"/>
      <w:r>
        <w:rPr>
          <w:rFonts w:eastAsiaTheme="minorEastAsia"/>
          <w:sz w:val="24"/>
          <w:szCs w:val="24"/>
        </w:rPr>
        <w:t>繁峙县东胜砖瓦厂</w:t>
      </w:r>
      <w:r>
        <w:rPr>
          <w:rFonts w:hint="eastAsia" w:eastAsiaTheme="minorEastAsia"/>
          <w:sz w:val="24"/>
          <w:szCs w:val="24"/>
        </w:rPr>
        <w:t>粘土矿</w:t>
      </w:r>
      <w:r>
        <w:rPr>
          <w:rFonts w:eastAsiaTheme="minorEastAsia"/>
          <w:sz w:val="24"/>
          <w:szCs w:val="24"/>
        </w:rPr>
        <w:t>位于繁峙县横涧乡</w:t>
      </w:r>
      <w:r>
        <w:rPr>
          <w:rFonts w:hint="eastAsia" w:eastAsiaTheme="minorEastAsia"/>
          <w:sz w:val="24"/>
          <w:szCs w:val="24"/>
        </w:rPr>
        <w:t>前所村</w:t>
      </w:r>
      <w:r>
        <w:rPr>
          <w:rFonts w:eastAsiaTheme="minorEastAsia"/>
          <w:sz w:val="24"/>
          <w:szCs w:val="24"/>
        </w:rPr>
        <w:t>。矿区距繁峙县城</w:t>
      </w:r>
      <w:r>
        <w:rPr>
          <w:rFonts w:hint="eastAsia" w:eastAsiaTheme="minorEastAsia"/>
          <w:sz w:val="24"/>
          <w:szCs w:val="24"/>
        </w:rPr>
        <w:t>4</w:t>
      </w:r>
      <w:r>
        <w:rPr>
          <w:rFonts w:eastAsiaTheme="minorEastAsia"/>
          <w:sz w:val="24"/>
          <w:szCs w:val="24"/>
        </w:rPr>
        <w:t>8km，南至京原铁路东庄车站1.5km，南距108国道3.0km，有简易公路与矿区相通，交通较为便利。</w:t>
      </w:r>
    </w:p>
    <w:p>
      <w:pPr>
        <w:pStyle w:val="245"/>
        <w:spacing w:line="440" w:lineRule="exact"/>
        <w:ind w:firstLine="480"/>
        <w:rPr>
          <w:rFonts w:eastAsiaTheme="minorEastAsia"/>
          <w:sz w:val="24"/>
          <w:szCs w:val="24"/>
        </w:rPr>
      </w:pPr>
      <w:r>
        <w:rPr>
          <w:rFonts w:eastAsiaTheme="minorEastAsia"/>
          <w:sz w:val="24"/>
          <w:szCs w:val="24"/>
        </w:rPr>
        <w:t>2015年，</w:t>
      </w:r>
      <w:r>
        <w:rPr>
          <w:rFonts w:hint="eastAsia" w:eastAsiaTheme="minorEastAsia"/>
          <w:sz w:val="24"/>
          <w:szCs w:val="24"/>
        </w:rPr>
        <w:t>繁峙县东胜砖厂取得了</w:t>
      </w:r>
      <w:r>
        <w:rPr>
          <w:rFonts w:eastAsiaTheme="minorEastAsia"/>
          <w:sz w:val="24"/>
          <w:szCs w:val="24"/>
        </w:rPr>
        <w:t>繁峙县国土资源局颁发</w:t>
      </w:r>
      <w:r>
        <w:rPr>
          <w:rFonts w:hint="eastAsia" w:eastAsiaTheme="minorEastAsia"/>
          <w:sz w:val="24"/>
          <w:szCs w:val="24"/>
        </w:rPr>
        <w:t>的</w:t>
      </w:r>
      <w:r>
        <w:rPr>
          <w:rFonts w:eastAsiaTheme="minorEastAsia"/>
          <w:sz w:val="24"/>
          <w:szCs w:val="24"/>
        </w:rPr>
        <w:t>矿山采矿许可证，证号为C1409242010057130065775，开采方式为露天开采，开采矿种</w:t>
      </w:r>
      <w:r>
        <w:rPr>
          <w:rFonts w:hint="eastAsia" w:eastAsiaTheme="minorEastAsia"/>
          <w:sz w:val="24"/>
          <w:szCs w:val="24"/>
        </w:rPr>
        <w:t>为</w:t>
      </w:r>
      <w:r>
        <w:rPr>
          <w:rFonts w:eastAsiaTheme="minorEastAsia"/>
          <w:sz w:val="24"/>
          <w:szCs w:val="24"/>
        </w:rPr>
        <w:t>砖瓦用粘土矿，生产规模1.50万</w:t>
      </w:r>
      <w:r>
        <w:rPr>
          <w:rFonts w:hint="eastAsia" w:eastAsiaTheme="minorEastAsia"/>
          <w:sz w:val="24"/>
          <w:szCs w:val="24"/>
        </w:rPr>
        <w:t>m</w:t>
      </w:r>
      <w:r>
        <w:rPr>
          <w:rFonts w:hint="eastAsia" w:eastAsiaTheme="minorEastAsia"/>
          <w:sz w:val="24"/>
          <w:szCs w:val="24"/>
          <w:vertAlign w:val="superscript"/>
        </w:rPr>
        <w:t>3</w:t>
      </w:r>
      <w:r>
        <w:rPr>
          <w:rFonts w:eastAsiaTheme="minorEastAsia"/>
          <w:sz w:val="24"/>
          <w:szCs w:val="24"/>
        </w:rPr>
        <w:t>/年，矿区面积0.0508km</w:t>
      </w:r>
      <w:r>
        <w:rPr>
          <w:rFonts w:eastAsiaTheme="minorEastAsia"/>
          <w:sz w:val="24"/>
          <w:szCs w:val="24"/>
          <w:vertAlign w:val="superscript"/>
        </w:rPr>
        <w:t>2</w:t>
      </w:r>
      <w:r>
        <w:rPr>
          <w:rFonts w:eastAsiaTheme="minorEastAsia"/>
          <w:sz w:val="24"/>
          <w:szCs w:val="24"/>
        </w:rPr>
        <w:t>，有效期为2015年5月27日至2017至5月27日，开采深度</w:t>
      </w:r>
      <w:r>
        <w:rPr>
          <w:rFonts w:hint="eastAsia" w:eastAsiaTheme="minorEastAsia"/>
          <w:sz w:val="24"/>
          <w:szCs w:val="24"/>
        </w:rPr>
        <w:t>为</w:t>
      </w:r>
      <w:r>
        <w:rPr>
          <w:rFonts w:eastAsiaTheme="minorEastAsia"/>
          <w:sz w:val="24"/>
          <w:szCs w:val="24"/>
        </w:rPr>
        <w:t>1270米-1262米标高。矿区地理坐标为：东经113°51′44″-113°51′59″，北纬39°17′05″-39°17′11″。矿区中心点坐标为东经113°51′51.5″，北纬39°17′7.5″。</w:t>
      </w:r>
      <w:r>
        <w:rPr>
          <w:rFonts w:hint="eastAsia" w:eastAsiaTheme="minorEastAsia"/>
          <w:sz w:val="24"/>
          <w:szCs w:val="24"/>
        </w:rPr>
        <w:t>目前，采矿许可证到期，矿山仍未开采完毕，本次进行环境影响评价，延续采矿许可证。</w:t>
      </w:r>
    </w:p>
    <w:p>
      <w:pPr>
        <w:pStyle w:val="245"/>
        <w:spacing w:line="440" w:lineRule="exact"/>
        <w:ind w:firstLine="480"/>
        <w:rPr>
          <w:rFonts w:eastAsiaTheme="minorEastAsia"/>
          <w:sz w:val="24"/>
          <w:szCs w:val="24"/>
        </w:rPr>
      </w:pPr>
      <w:r>
        <w:rPr>
          <w:rFonts w:eastAsiaTheme="minorEastAsia"/>
          <w:sz w:val="24"/>
          <w:szCs w:val="24"/>
        </w:rPr>
        <w:t>根据山西中地地质工程有限公司2018年12月提交的《山西省繁峙县东胜</w:t>
      </w:r>
      <w:r>
        <w:rPr>
          <w:rFonts w:hint="eastAsia" w:eastAsiaTheme="minorEastAsia"/>
          <w:sz w:val="24"/>
          <w:szCs w:val="24"/>
          <w:lang w:eastAsia="zh-CN"/>
        </w:rPr>
        <w:t>砖厂</w:t>
      </w:r>
      <w:r>
        <w:rPr>
          <w:rFonts w:eastAsiaTheme="minorEastAsia"/>
          <w:sz w:val="24"/>
          <w:szCs w:val="24"/>
        </w:rPr>
        <w:t>砖瓦用粘土矿二零一八年度矿山储量年报》，截</w:t>
      </w:r>
      <w:r>
        <w:rPr>
          <w:rFonts w:hint="eastAsia" w:eastAsiaTheme="minorEastAsia"/>
          <w:sz w:val="24"/>
          <w:szCs w:val="24"/>
        </w:rPr>
        <w:t>止</w:t>
      </w:r>
      <w:r>
        <w:rPr>
          <w:rFonts w:eastAsiaTheme="minorEastAsia"/>
          <w:sz w:val="24"/>
          <w:szCs w:val="24"/>
        </w:rPr>
        <w:t>2018年底，矿区累计查明砖瓦用粘土矿122b+333资源储量6.21万m</w:t>
      </w:r>
      <w:r>
        <w:rPr>
          <w:rFonts w:eastAsiaTheme="minorEastAsia"/>
          <w:sz w:val="24"/>
          <w:szCs w:val="24"/>
          <w:vertAlign w:val="superscript"/>
        </w:rPr>
        <w:t>3</w:t>
      </w:r>
      <w:r>
        <w:rPr>
          <w:rFonts w:eastAsiaTheme="minorEastAsia"/>
          <w:sz w:val="24"/>
          <w:szCs w:val="24"/>
        </w:rPr>
        <w:t>，累计动用2.12万m</w:t>
      </w:r>
      <w:r>
        <w:rPr>
          <w:rFonts w:eastAsiaTheme="minorEastAsia"/>
          <w:sz w:val="24"/>
          <w:szCs w:val="24"/>
          <w:vertAlign w:val="superscript"/>
        </w:rPr>
        <w:t>3</w:t>
      </w:r>
      <w:r>
        <w:rPr>
          <w:rFonts w:eastAsiaTheme="minorEastAsia"/>
          <w:sz w:val="24"/>
          <w:szCs w:val="24"/>
        </w:rPr>
        <w:t>，保有资源储量4.09万m</w:t>
      </w:r>
      <w:r>
        <w:rPr>
          <w:rFonts w:eastAsiaTheme="minorEastAsia"/>
          <w:sz w:val="24"/>
          <w:szCs w:val="24"/>
          <w:vertAlign w:val="superscript"/>
        </w:rPr>
        <w:t>3</w:t>
      </w:r>
      <w:r>
        <w:rPr>
          <w:rFonts w:eastAsiaTheme="minorEastAsia"/>
          <w:sz w:val="24"/>
          <w:szCs w:val="24"/>
        </w:rPr>
        <w:t>。</w:t>
      </w:r>
    </w:p>
    <w:p>
      <w:pPr>
        <w:pStyle w:val="245"/>
        <w:spacing w:line="440" w:lineRule="exact"/>
        <w:ind w:firstLine="480"/>
        <w:rPr>
          <w:rFonts w:eastAsiaTheme="minorEastAsia"/>
          <w:sz w:val="24"/>
          <w:szCs w:val="24"/>
        </w:rPr>
      </w:pPr>
      <w:r>
        <w:rPr>
          <w:rFonts w:eastAsiaTheme="minorEastAsia"/>
          <w:sz w:val="24"/>
          <w:szCs w:val="24"/>
        </w:rPr>
        <w:t>2019年5月，依据《山西省国土资源厅关于实行矿产资源开发利用方案、地质环境保护与治理恢复方案、土地复垦方案编制及评审工作“三合一”的通知》（晋国土资函[2016]430号）要求，繁峙县东胜砖厂委托山西中地地质工程有限公司编制《山西省繁峙县东胜砖厂砖瓦用粘土矿矿山矿产资源开发利用、地质环境保护与治理恢复、土地复垦方案》。方案设计利用资源储量为4.01万m</w:t>
      </w:r>
      <w:r>
        <w:rPr>
          <w:rFonts w:eastAsiaTheme="minorEastAsia"/>
          <w:sz w:val="24"/>
          <w:szCs w:val="24"/>
          <w:vertAlign w:val="superscript"/>
        </w:rPr>
        <w:t>3</w:t>
      </w:r>
      <w:r>
        <w:rPr>
          <w:rFonts w:eastAsiaTheme="minorEastAsia"/>
          <w:sz w:val="24"/>
          <w:szCs w:val="24"/>
        </w:rPr>
        <w:t>，设计损失资源储量0.08万m</w:t>
      </w:r>
      <w:r>
        <w:rPr>
          <w:rFonts w:eastAsiaTheme="minorEastAsia"/>
          <w:sz w:val="24"/>
          <w:szCs w:val="24"/>
          <w:vertAlign w:val="superscript"/>
        </w:rPr>
        <w:t>3</w:t>
      </w:r>
      <w:r>
        <w:rPr>
          <w:rFonts w:eastAsiaTheme="minorEastAsia"/>
          <w:sz w:val="24"/>
          <w:szCs w:val="24"/>
        </w:rPr>
        <w:t>。按照回采率98%计算，可采储量3.93万m</w:t>
      </w:r>
      <w:r>
        <w:rPr>
          <w:rFonts w:eastAsiaTheme="minorEastAsia"/>
          <w:sz w:val="24"/>
          <w:szCs w:val="24"/>
          <w:vertAlign w:val="superscript"/>
        </w:rPr>
        <w:t>3</w:t>
      </w:r>
      <w:r>
        <w:rPr>
          <w:rFonts w:eastAsiaTheme="minorEastAsia"/>
          <w:sz w:val="24"/>
          <w:szCs w:val="24"/>
        </w:rPr>
        <w:t>，生产规模为1.50万m</w:t>
      </w:r>
      <w:r>
        <w:rPr>
          <w:rFonts w:eastAsiaTheme="minorEastAsia"/>
          <w:sz w:val="24"/>
          <w:szCs w:val="24"/>
          <w:vertAlign w:val="superscript"/>
        </w:rPr>
        <w:t>3</w:t>
      </w:r>
      <w:r>
        <w:rPr>
          <w:rFonts w:eastAsiaTheme="minorEastAsia"/>
          <w:sz w:val="24"/>
          <w:szCs w:val="24"/>
        </w:rPr>
        <w:t>/年，矿山服务年限为3年。</w:t>
      </w:r>
    </w:p>
    <w:bookmarkEnd w:id="24"/>
    <w:p>
      <w:pPr>
        <w:widowControl w:val="0"/>
        <w:adjustRightInd w:val="0"/>
        <w:snapToGrid w:val="0"/>
        <w:spacing w:before="191" w:beforeLines="50" w:after="191" w:afterLines="50"/>
        <w:jc w:val="both"/>
        <w:outlineLvl w:val="1"/>
        <w:rPr>
          <w:b/>
          <w:kern w:val="2"/>
          <w:sz w:val="28"/>
          <w:szCs w:val="28"/>
        </w:rPr>
      </w:pPr>
      <w:bookmarkStart w:id="25" w:name="_Toc31044"/>
      <w:r>
        <w:rPr>
          <w:rFonts w:hint="eastAsia"/>
          <w:b/>
          <w:kern w:val="2"/>
          <w:sz w:val="28"/>
          <w:szCs w:val="28"/>
        </w:rPr>
        <w:t>二、评价任务由来</w:t>
      </w:r>
      <w:bookmarkEnd w:id="25"/>
    </w:p>
    <w:p>
      <w:pPr>
        <w:pStyle w:val="361"/>
        <w:spacing w:line="440" w:lineRule="exact"/>
        <w:ind w:firstLineChars="200"/>
        <w:jc w:val="both"/>
        <w:rPr>
          <w:rFonts w:eastAsia="宋体"/>
        </w:rPr>
      </w:pPr>
      <w:r>
        <w:rPr>
          <w:rFonts w:eastAsia="宋体"/>
        </w:rPr>
        <w:t>根据《中华人民共和国环境保护法》、《中华人民共和国环境影响评价法》以及《建设项目环境保护管理条例》的要求</w:t>
      </w:r>
      <w:r>
        <w:rPr>
          <w:rFonts w:hint="eastAsia" w:eastAsia="宋体"/>
        </w:rPr>
        <w:t>，</w:t>
      </w:r>
      <w:r>
        <w:rPr>
          <w:rFonts w:eastAsia="宋体"/>
        </w:rPr>
        <w:t>繁峙县</w:t>
      </w:r>
      <w:r>
        <w:rPr>
          <w:rFonts w:hint="eastAsia" w:eastAsia="宋体"/>
        </w:rPr>
        <w:t>东胜砖厂年开采1.5万m</w:t>
      </w:r>
      <w:r>
        <w:rPr>
          <w:rFonts w:hint="eastAsia" w:eastAsia="宋体"/>
          <w:vertAlign w:val="superscript"/>
        </w:rPr>
        <w:t>3</w:t>
      </w:r>
      <w:r>
        <w:rPr>
          <w:rFonts w:hint="eastAsia" w:eastAsia="宋体"/>
        </w:rPr>
        <w:t>砖瓦用粘土矿</w:t>
      </w:r>
      <w:r>
        <w:rPr>
          <w:rFonts w:eastAsia="宋体"/>
        </w:rPr>
        <w:t>建设项目需进行环境影响评价</w:t>
      </w:r>
      <w:r>
        <w:rPr>
          <w:rFonts w:hint="eastAsia" w:eastAsia="宋体"/>
        </w:rPr>
        <w:t>。</w:t>
      </w:r>
    </w:p>
    <w:p>
      <w:pPr>
        <w:pStyle w:val="361"/>
        <w:spacing w:line="440" w:lineRule="exact"/>
        <w:ind w:firstLineChars="200"/>
        <w:jc w:val="both"/>
        <w:rPr>
          <w:rFonts w:eastAsia="宋体"/>
        </w:rPr>
      </w:pPr>
      <w:r>
        <w:rPr>
          <w:rFonts w:eastAsia="宋体"/>
        </w:rPr>
        <w:t>根据《建设项目环境影响评价分类管理名录》有关规定</w:t>
      </w:r>
      <w:r>
        <w:rPr>
          <w:rFonts w:hint="eastAsia" w:eastAsia="宋体"/>
        </w:rPr>
        <w:t>，</w:t>
      </w:r>
      <w:r>
        <w:rPr>
          <w:rFonts w:eastAsia="宋体"/>
        </w:rPr>
        <w:t>该项目</w:t>
      </w:r>
      <w:r>
        <w:rPr>
          <w:rFonts w:hint="eastAsia" w:eastAsia="宋体"/>
        </w:rPr>
        <w:t>属于“</w:t>
      </w:r>
      <w:r>
        <w:rPr>
          <w:rFonts w:eastAsia="宋体"/>
        </w:rPr>
        <w:t>四十五、非金属矿采选业 137 土砂石、石材开采加工</w:t>
      </w:r>
      <w:r>
        <w:rPr>
          <w:rFonts w:hint="eastAsia" w:eastAsia="宋体"/>
        </w:rPr>
        <w:t>”</w:t>
      </w:r>
      <w:r>
        <w:rPr>
          <w:rFonts w:eastAsia="宋体"/>
        </w:rPr>
        <w:t>，</w:t>
      </w:r>
      <w:r>
        <w:rPr>
          <w:rFonts w:hint="eastAsia" w:eastAsia="宋体"/>
        </w:rPr>
        <w:t>项目所在地</w:t>
      </w:r>
      <w:r>
        <w:rPr>
          <w:rFonts w:eastAsia="宋体"/>
        </w:rPr>
        <w:t>涉及环境敏感区</w:t>
      </w:r>
      <w:r>
        <w:rPr>
          <w:rFonts w:hint="eastAsia" w:eastAsia="宋体"/>
        </w:rPr>
        <w:t>（</w:t>
      </w:r>
      <w:r>
        <w:rPr>
          <w:rFonts w:eastAsia="宋体"/>
        </w:rPr>
        <w:t>繁峙县</w:t>
      </w:r>
      <w:r>
        <w:rPr>
          <w:rFonts w:hint="eastAsia" w:eastAsia="宋体"/>
        </w:rPr>
        <w:t>属于太行山国家级</w:t>
      </w:r>
      <w:r>
        <w:rPr>
          <w:rFonts w:eastAsia="宋体"/>
        </w:rPr>
        <w:t>水土流失重点治理区</w:t>
      </w:r>
      <w:r>
        <w:rPr>
          <w:rFonts w:hint="eastAsia" w:eastAsia="宋体"/>
        </w:rPr>
        <w:t>），因此，本项目</w:t>
      </w:r>
      <w:r>
        <w:rPr>
          <w:rFonts w:eastAsia="宋体"/>
        </w:rPr>
        <w:t>需编制环境影响报告书</w:t>
      </w:r>
      <w:r>
        <w:rPr>
          <w:rFonts w:hint="eastAsia" w:eastAsia="宋体"/>
        </w:rPr>
        <w:t>。</w:t>
      </w:r>
      <w:r>
        <w:rPr>
          <w:rFonts w:eastAsia="宋体"/>
        </w:rPr>
        <w:t>繁峙县</w:t>
      </w:r>
      <w:r>
        <w:rPr>
          <w:rFonts w:hint="eastAsia" w:eastAsia="宋体"/>
        </w:rPr>
        <w:t>东胜砖厂</w:t>
      </w:r>
      <w:r>
        <w:rPr>
          <w:rFonts w:eastAsia="宋体"/>
        </w:rPr>
        <w:t>于2019年</w:t>
      </w:r>
      <w:r>
        <w:rPr>
          <w:rFonts w:hint="eastAsia" w:eastAsia="宋体"/>
        </w:rPr>
        <w:t>10</w:t>
      </w:r>
      <w:r>
        <w:rPr>
          <w:rFonts w:eastAsia="宋体"/>
        </w:rPr>
        <w:t>月</w:t>
      </w:r>
      <w:r>
        <w:rPr>
          <w:rFonts w:hint="eastAsia" w:eastAsia="宋体"/>
        </w:rPr>
        <w:t>10</w:t>
      </w:r>
      <w:r>
        <w:rPr>
          <w:rFonts w:eastAsia="宋体"/>
        </w:rPr>
        <w:t>日正式委托山西清源环境咨询有限公司承担本项目的环境影响评价</w:t>
      </w:r>
      <w:r>
        <w:rPr>
          <w:rFonts w:hint="eastAsia" w:eastAsia="宋体"/>
        </w:rPr>
        <w:t>工作（委托书见附件1）。</w:t>
      </w:r>
    </w:p>
    <w:p>
      <w:pPr>
        <w:pStyle w:val="361"/>
        <w:spacing w:line="440" w:lineRule="exact"/>
        <w:ind w:firstLineChars="200"/>
        <w:jc w:val="both"/>
        <w:rPr>
          <w:rFonts w:eastAsia="宋体"/>
        </w:rPr>
      </w:pPr>
      <w:r>
        <w:rPr>
          <w:rFonts w:eastAsia="宋体"/>
        </w:rPr>
        <w:t>接受委托后环评工作组成员对项目位置、项目周边的环境敏感目标、</w:t>
      </w:r>
      <w:r>
        <w:rPr>
          <w:rFonts w:hint="eastAsia" w:eastAsia="宋体"/>
        </w:rPr>
        <w:t>项目</w:t>
      </w:r>
      <w:r>
        <w:rPr>
          <w:rFonts w:eastAsia="宋体"/>
        </w:rPr>
        <w:t>所在区域的自然环境、</w:t>
      </w:r>
      <w:r>
        <w:rPr>
          <w:rFonts w:hint="eastAsia" w:eastAsia="宋体"/>
        </w:rPr>
        <w:t>生态</w:t>
      </w:r>
      <w:r>
        <w:rPr>
          <w:rFonts w:eastAsia="宋体"/>
        </w:rPr>
        <w:t>环境进行</w:t>
      </w:r>
      <w:r>
        <w:rPr>
          <w:rFonts w:hint="eastAsia" w:eastAsia="宋体"/>
        </w:rPr>
        <w:t>了</w:t>
      </w:r>
      <w:r>
        <w:rPr>
          <w:rFonts w:eastAsia="宋体"/>
        </w:rPr>
        <w:t>全面调查。通过现场调查、咨询相关部门及资料的收集和分析，进行了环境影响因素识别和评价因子的筛选，结合项目排污特征及周边环境敏感点、污染源分布，确定环境影响评价工作等级，在此基础上制订了项目环境质量现状监测方案。</w:t>
      </w:r>
    </w:p>
    <w:p>
      <w:pPr>
        <w:pStyle w:val="361"/>
        <w:spacing w:line="440" w:lineRule="exact"/>
        <w:ind w:firstLineChars="200"/>
        <w:jc w:val="both"/>
        <w:rPr>
          <w:rFonts w:eastAsia="宋体"/>
        </w:rPr>
      </w:pPr>
      <w:r>
        <w:rPr>
          <w:rFonts w:hint="eastAsia" w:eastAsia="宋体"/>
        </w:rPr>
        <w:t>现场踏勘了解到，项目未取得环境影响评价批复文件擅自开工建设，属于未批先建项目，忻州市生态环境局繁峙分局按照《中华人民共和国环境影响评价法》有关规定，对</w:t>
      </w:r>
      <w:r>
        <w:rPr>
          <w:rFonts w:eastAsia="宋体"/>
        </w:rPr>
        <w:t>繁峙县泰兴新型墙体节能建材有限公司</w:t>
      </w:r>
      <w:r>
        <w:rPr>
          <w:rFonts w:hint="eastAsia" w:eastAsia="宋体"/>
        </w:rPr>
        <w:t>作出了行政处罚</w:t>
      </w:r>
      <w:r>
        <w:rPr>
          <w:rFonts w:hint="eastAsia" w:eastAsia="宋体"/>
          <w:lang w:eastAsia="zh-CN"/>
        </w:rPr>
        <w:t>（见附件</w:t>
      </w:r>
      <w:r>
        <w:rPr>
          <w:rFonts w:hint="eastAsia" w:eastAsia="宋体"/>
          <w:lang w:val="en-US" w:eastAsia="zh-CN"/>
        </w:rPr>
        <w:t>7）</w:t>
      </w:r>
      <w:r>
        <w:rPr>
          <w:rFonts w:hint="eastAsia" w:eastAsia="宋体"/>
        </w:rPr>
        <w:t>。</w:t>
      </w:r>
    </w:p>
    <w:p>
      <w:pPr>
        <w:pStyle w:val="361"/>
        <w:spacing w:line="440" w:lineRule="exact"/>
        <w:ind w:firstLineChars="200"/>
        <w:jc w:val="both"/>
        <w:rPr>
          <w:rFonts w:eastAsia="宋体"/>
        </w:rPr>
      </w:pPr>
      <w:r>
        <w:rPr>
          <w:rFonts w:eastAsia="宋体"/>
        </w:rPr>
        <w:t>评价依据建设项目工程分析、根据环境影响评价相关导则及技术规范，本着“客观、公正、科学、规范”的精神，编制完成</w:t>
      </w:r>
      <w:r>
        <w:rPr>
          <w:rFonts w:hint="eastAsia" w:eastAsia="宋体"/>
        </w:rPr>
        <w:t>了</w:t>
      </w:r>
      <w:r>
        <w:rPr>
          <w:rFonts w:eastAsia="宋体"/>
        </w:rPr>
        <w:t>《繁峙县</w:t>
      </w:r>
      <w:r>
        <w:rPr>
          <w:rFonts w:hint="eastAsia" w:eastAsia="宋体"/>
        </w:rPr>
        <w:t>东胜砖厂年开采1.5万m</w:t>
      </w:r>
      <w:r>
        <w:rPr>
          <w:rFonts w:hint="eastAsia" w:eastAsia="宋体"/>
          <w:vertAlign w:val="superscript"/>
        </w:rPr>
        <w:t>3</w:t>
      </w:r>
      <w:r>
        <w:rPr>
          <w:rFonts w:hint="eastAsia" w:eastAsia="宋体"/>
        </w:rPr>
        <w:t>砖瓦用粘土矿</w:t>
      </w:r>
      <w:r>
        <w:rPr>
          <w:rFonts w:eastAsia="宋体"/>
        </w:rPr>
        <w:t>建设项目环境影响报告书》。</w:t>
      </w:r>
    </w:p>
    <w:p>
      <w:pPr>
        <w:pStyle w:val="46"/>
        <w:spacing w:line="440" w:lineRule="exact"/>
        <w:ind w:firstLine="480" w:firstLineChars="200"/>
        <w:rPr>
          <w:rFonts w:hint="default" w:ascii="Times New Roman" w:hAnsi="Times New Roman" w:eastAsia="宋体" w:cs="Times New Roman"/>
          <w:bCs/>
          <w:sz w:val="24"/>
          <w:szCs w:val="24"/>
          <w:lang w:val="en-US" w:eastAsia="zh-CN"/>
        </w:rPr>
      </w:pPr>
      <w:r>
        <w:rPr>
          <w:rFonts w:hint="default" w:ascii="Times New Roman" w:hAnsi="Times New Roman" w:cs="Times New Roman"/>
          <w:bCs/>
          <w:sz w:val="24"/>
          <w:szCs w:val="24"/>
          <w:lang w:val="en-US" w:eastAsia="zh-CN"/>
        </w:rPr>
        <w:t>繁峙县东胜砖厂于2019年12月26日在繁峙县组织召开了</w:t>
      </w:r>
      <w:r>
        <w:rPr>
          <w:rFonts w:hint="default" w:ascii="Times New Roman" w:hAnsi="Times New Roman" w:eastAsia="宋体" w:cs="Times New Roman"/>
          <w:bCs/>
          <w:sz w:val="24"/>
        </w:rPr>
        <w:t>《</w:t>
      </w:r>
      <w:r>
        <w:rPr>
          <w:rFonts w:hint="default" w:ascii="Times New Roman" w:hAnsi="Times New Roman" w:cs="Times New Roman"/>
          <w:bCs/>
          <w:sz w:val="24"/>
        </w:rPr>
        <w:t>繁峙县东胜砖厂年开采1.5万m</w:t>
      </w:r>
      <w:r>
        <w:rPr>
          <w:rFonts w:hint="default" w:ascii="Times New Roman" w:hAnsi="Times New Roman" w:cs="Times New Roman"/>
          <w:bCs/>
          <w:sz w:val="24"/>
          <w:vertAlign w:val="superscript"/>
        </w:rPr>
        <w:t>3</w:t>
      </w:r>
      <w:r>
        <w:rPr>
          <w:rFonts w:hint="default" w:ascii="Times New Roman" w:hAnsi="Times New Roman" w:cs="Times New Roman"/>
          <w:bCs/>
          <w:sz w:val="24"/>
        </w:rPr>
        <w:t>砖瓦用粘土矿建设项目</w:t>
      </w:r>
      <w:r>
        <w:rPr>
          <w:rFonts w:hint="default" w:ascii="Times New Roman" w:hAnsi="Times New Roman" w:eastAsia="宋体" w:cs="Times New Roman"/>
          <w:b w:val="0"/>
          <w:bCs/>
          <w:sz w:val="24"/>
          <w:szCs w:val="24"/>
        </w:rPr>
        <w:t>环境影响报告书</w:t>
      </w:r>
      <w:r>
        <w:rPr>
          <w:rFonts w:hint="default" w:ascii="Times New Roman" w:hAnsi="Times New Roman" w:eastAsia="宋体" w:cs="Times New Roman"/>
          <w:bCs/>
          <w:sz w:val="24"/>
        </w:rPr>
        <w:t>》(以下简称报告</w:t>
      </w:r>
      <w:r>
        <w:rPr>
          <w:rFonts w:hint="default" w:ascii="Times New Roman" w:hAnsi="Times New Roman" w:cs="Times New Roman"/>
          <w:bCs/>
          <w:sz w:val="24"/>
          <w:lang w:eastAsia="zh-CN"/>
        </w:rPr>
        <w:t>书</w:t>
      </w:r>
      <w:r>
        <w:rPr>
          <w:rFonts w:hint="default" w:ascii="Times New Roman" w:hAnsi="Times New Roman" w:eastAsia="宋体" w:cs="Times New Roman"/>
          <w:bCs/>
          <w:sz w:val="24"/>
        </w:rPr>
        <w:t>)技术审查会</w:t>
      </w:r>
      <w:r>
        <w:rPr>
          <w:rFonts w:hint="default" w:ascii="Times New Roman" w:hAnsi="Times New Roman" w:cs="Times New Roman"/>
          <w:bCs/>
          <w:sz w:val="24"/>
          <w:szCs w:val="24"/>
          <w:lang w:val="en-US" w:eastAsia="zh-CN"/>
        </w:rPr>
        <w:t>，</w:t>
      </w:r>
      <w:r>
        <w:rPr>
          <w:rFonts w:hint="default" w:ascii="Times New Roman" w:hAnsi="Times New Roman" w:eastAsia="宋体" w:cs="Times New Roman"/>
          <w:sz w:val="24"/>
        </w:rPr>
        <w:t>环评技术人员根据技术审查意见对报告进行了修改完善，现形成报批本，由建设单位提交环境保护管理部门申请批复。</w:t>
      </w:r>
    </w:p>
    <w:p>
      <w:pPr>
        <w:widowControl w:val="0"/>
        <w:adjustRightInd w:val="0"/>
        <w:snapToGrid w:val="0"/>
        <w:spacing w:before="191" w:beforeLines="50" w:after="191" w:afterLines="50"/>
        <w:jc w:val="both"/>
        <w:outlineLvl w:val="1"/>
        <w:rPr>
          <w:b/>
          <w:kern w:val="2"/>
          <w:sz w:val="28"/>
          <w:szCs w:val="28"/>
        </w:rPr>
      </w:pPr>
      <w:bookmarkStart w:id="26" w:name="_Toc11533"/>
      <w:r>
        <w:rPr>
          <w:rFonts w:hint="eastAsia"/>
          <w:b/>
          <w:kern w:val="2"/>
          <w:sz w:val="28"/>
          <w:szCs w:val="28"/>
        </w:rPr>
        <w:t>三、环境影响评价工作过程</w:t>
      </w:r>
      <w:bookmarkEnd w:id="26"/>
    </w:p>
    <w:p>
      <w:pPr>
        <w:pStyle w:val="303"/>
        <w:spacing w:line="440" w:lineRule="exact"/>
        <w:rPr>
          <w:rFonts w:cs="Times New Roman"/>
          <w:snapToGrid w:val="0"/>
        </w:rPr>
      </w:pPr>
      <w:r>
        <w:rPr>
          <w:rFonts w:cs="Times New Roman"/>
          <w:snapToGrid w:val="0"/>
        </w:rPr>
        <w:t>环境影响评价工作一般分为三个阶段，即前期准备、调研和工作方案阶段，分析论证和预测评价阶段，环境影响评价文件编制阶段。评价工作程序见图1。</w:t>
      </w:r>
    </w:p>
    <w:p>
      <w:pPr>
        <w:pStyle w:val="303"/>
        <w:spacing w:line="240" w:lineRule="auto"/>
        <w:ind w:firstLine="422"/>
        <w:rPr>
          <w:rFonts w:cs="Times New Roman"/>
          <w:snapToGrid w:val="0"/>
          <w:sz w:val="21"/>
          <w:szCs w:val="21"/>
        </w:rPr>
      </w:pPr>
      <w:r>
        <w:rPr>
          <w:b/>
          <w:sz w:val="21"/>
          <w:szCs w:val="21"/>
        </w:rPr>
        <w:drawing>
          <wp:inline distT="0" distB="0" distL="114935" distR="114935">
            <wp:extent cx="5676265" cy="5456555"/>
            <wp:effectExtent l="0" t="0" r="635" b="1079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5"/>
                    <a:stretch>
                      <a:fillRect/>
                    </a:stretch>
                  </pic:blipFill>
                  <pic:spPr>
                    <a:xfrm>
                      <a:off x="0" y="0"/>
                      <a:ext cx="5676265" cy="5456555"/>
                    </a:xfrm>
                    <a:prstGeom prst="rect">
                      <a:avLst/>
                    </a:prstGeom>
                    <a:noFill/>
                    <a:ln>
                      <a:noFill/>
                    </a:ln>
                  </pic:spPr>
                </pic:pic>
              </a:graphicData>
            </a:graphic>
          </wp:inline>
        </w:drawing>
      </w:r>
    </w:p>
    <w:p>
      <w:pPr>
        <w:pStyle w:val="349"/>
        <w:rPr>
          <w:rFonts w:ascii="黑体" w:hAnsi="黑体" w:eastAsia="黑体" w:cs="黑体"/>
        </w:rPr>
      </w:pPr>
      <w:r>
        <w:rPr>
          <w:rFonts w:hint="eastAsia" w:ascii="黑体" w:hAnsi="黑体" w:eastAsia="黑体" w:cs="黑体"/>
        </w:rPr>
        <w:t>图1  评价工作程序</w:t>
      </w:r>
    </w:p>
    <w:p>
      <w:pPr>
        <w:widowControl w:val="0"/>
        <w:adjustRightInd w:val="0"/>
        <w:snapToGrid w:val="0"/>
        <w:spacing w:before="191" w:beforeLines="50" w:after="191" w:afterLines="50"/>
        <w:jc w:val="both"/>
        <w:outlineLvl w:val="1"/>
        <w:rPr>
          <w:b/>
          <w:kern w:val="2"/>
          <w:sz w:val="28"/>
          <w:szCs w:val="28"/>
        </w:rPr>
      </w:pPr>
      <w:bookmarkStart w:id="27" w:name="_Toc31590"/>
      <w:r>
        <w:rPr>
          <w:rFonts w:hint="eastAsia"/>
          <w:b/>
          <w:kern w:val="2"/>
          <w:sz w:val="28"/>
          <w:szCs w:val="28"/>
        </w:rPr>
        <w:t>四、关注的主要环境问题</w:t>
      </w:r>
      <w:bookmarkEnd w:id="27"/>
    </w:p>
    <w:p>
      <w:pPr>
        <w:pStyle w:val="303"/>
        <w:spacing w:line="440" w:lineRule="exact"/>
        <w:rPr>
          <w:rFonts w:cs="Times New Roman"/>
          <w:snapToGrid w:val="0"/>
        </w:rPr>
      </w:pPr>
      <w:r>
        <w:rPr>
          <w:rFonts w:hint="eastAsia" w:cs="Times New Roman"/>
          <w:snapToGrid w:val="0"/>
        </w:rPr>
        <w:t>1、废气</w:t>
      </w:r>
    </w:p>
    <w:p>
      <w:pPr>
        <w:pStyle w:val="303"/>
        <w:spacing w:line="440" w:lineRule="exact"/>
        <w:rPr>
          <w:rFonts w:cs="Times New Roman"/>
          <w:snapToGrid w:val="0"/>
        </w:rPr>
      </w:pPr>
      <w:r>
        <w:rPr>
          <w:rFonts w:hint="eastAsia" w:cs="Times New Roman"/>
          <w:snapToGrid w:val="0"/>
        </w:rPr>
        <w:t>本项目废气主要关注采装作业粉尘、原料库粉尘、排土场粉尘和道路运输扬尘。</w:t>
      </w:r>
    </w:p>
    <w:p>
      <w:pPr>
        <w:pStyle w:val="303"/>
        <w:spacing w:line="440" w:lineRule="exact"/>
        <w:rPr>
          <w:rFonts w:cs="Times New Roman"/>
          <w:snapToGrid w:val="0"/>
        </w:rPr>
      </w:pPr>
      <w:r>
        <w:rPr>
          <w:rFonts w:hint="eastAsia" w:cs="Times New Roman"/>
          <w:snapToGrid w:val="0"/>
        </w:rPr>
        <w:t>2、废水</w:t>
      </w:r>
    </w:p>
    <w:p>
      <w:pPr>
        <w:pStyle w:val="303"/>
        <w:spacing w:line="440" w:lineRule="exact"/>
        <w:rPr>
          <w:rFonts w:cs="Times New Roman"/>
          <w:snapToGrid w:val="0"/>
        </w:rPr>
      </w:pPr>
      <w:r>
        <w:rPr>
          <w:rFonts w:hint="eastAsia" w:cs="Times New Roman"/>
          <w:snapToGrid w:val="0"/>
        </w:rPr>
        <w:t>本项目废水主要关注职工生活污水和洗车废水。</w:t>
      </w:r>
    </w:p>
    <w:p>
      <w:pPr>
        <w:pStyle w:val="303"/>
        <w:spacing w:line="440" w:lineRule="exact"/>
        <w:rPr>
          <w:rFonts w:cs="Times New Roman"/>
          <w:snapToGrid w:val="0"/>
        </w:rPr>
      </w:pPr>
      <w:r>
        <w:rPr>
          <w:rFonts w:hint="eastAsia" w:cs="Times New Roman"/>
          <w:snapToGrid w:val="0"/>
        </w:rPr>
        <w:t>3、噪声</w:t>
      </w:r>
    </w:p>
    <w:p>
      <w:pPr>
        <w:pStyle w:val="303"/>
        <w:spacing w:line="440" w:lineRule="exact"/>
        <w:rPr>
          <w:rFonts w:cs="Times New Roman"/>
          <w:snapToGrid w:val="0"/>
        </w:rPr>
      </w:pPr>
      <w:r>
        <w:rPr>
          <w:rFonts w:hint="eastAsia" w:cs="Times New Roman"/>
          <w:snapToGrid w:val="0"/>
        </w:rPr>
        <w:t>本项目噪声主要关注挖掘机、装载机、雾炮机、水泵等产生的机械动力性噪声。</w:t>
      </w:r>
    </w:p>
    <w:p>
      <w:pPr>
        <w:pStyle w:val="303"/>
        <w:spacing w:line="440" w:lineRule="exact"/>
        <w:rPr>
          <w:rFonts w:cs="Times New Roman"/>
          <w:snapToGrid w:val="0"/>
        </w:rPr>
      </w:pPr>
      <w:r>
        <w:rPr>
          <w:rFonts w:hint="eastAsia" w:cs="Times New Roman"/>
          <w:snapToGrid w:val="0"/>
        </w:rPr>
        <w:t>4、固体废物</w:t>
      </w:r>
    </w:p>
    <w:p>
      <w:pPr>
        <w:pStyle w:val="303"/>
        <w:spacing w:line="440" w:lineRule="exact"/>
        <w:rPr>
          <w:rFonts w:cs="Times New Roman"/>
          <w:snapToGrid w:val="0"/>
        </w:rPr>
      </w:pPr>
      <w:r>
        <w:rPr>
          <w:rFonts w:hint="eastAsia" w:cs="Times New Roman"/>
          <w:snapToGrid w:val="0"/>
        </w:rPr>
        <w:t>本项目固体废物主要为开采剥离渣土、职工生活垃圾和设备维修产生的废机油。</w:t>
      </w:r>
    </w:p>
    <w:p>
      <w:pPr>
        <w:widowControl w:val="0"/>
        <w:adjustRightInd w:val="0"/>
        <w:snapToGrid w:val="0"/>
        <w:spacing w:before="191" w:beforeLines="50" w:after="191" w:afterLines="50"/>
        <w:jc w:val="both"/>
        <w:outlineLvl w:val="1"/>
        <w:rPr>
          <w:b/>
          <w:kern w:val="2"/>
          <w:sz w:val="28"/>
          <w:szCs w:val="28"/>
        </w:rPr>
      </w:pPr>
      <w:bookmarkStart w:id="28" w:name="_Toc17712"/>
      <w:r>
        <w:rPr>
          <w:rFonts w:hint="eastAsia"/>
          <w:b/>
          <w:kern w:val="2"/>
          <w:sz w:val="28"/>
          <w:szCs w:val="28"/>
        </w:rPr>
        <w:t>五</w:t>
      </w:r>
      <w:r>
        <w:rPr>
          <w:b/>
          <w:kern w:val="2"/>
          <w:sz w:val="28"/>
          <w:szCs w:val="28"/>
        </w:rPr>
        <w:t>、环境影响评价主要结论</w:t>
      </w:r>
      <w:bookmarkEnd w:id="28"/>
    </w:p>
    <w:p>
      <w:pPr>
        <w:pStyle w:val="361"/>
        <w:spacing w:line="440" w:lineRule="exact"/>
        <w:ind w:firstLineChars="200"/>
        <w:jc w:val="both"/>
        <w:rPr>
          <w:rFonts w:eastAsia="宋体"/>
        </w:rPr>
      </w:pPr>
      <w:r>
        <w:rPr>
          <w:rFonts w:eastAsia="宋体"/>
        </w:rPr>
        <w:t>繁峙县</w:t>
      </w:r>
      <w:r>
        <w:rPr>
          <w:rFonts w:hint="eastAsia" w:eastAsia="宋体"/>
        </w:rPr>
        <w:t>东胜砖厂年开采1.5万m</w:t>
      </w:r>
      <w:r>
        <w:rPr>
          <w:rFonts w:hint="eastAsia" w:eastAsia="宋体"/>
          <w:vertAlign w:val="superscript"/>
        </w:rPr>
        <w:t>3</w:t>
      </w:r>
      <w:r>
        <w:rPr>
          <w:rFonts w:hint="eastAsia" w:eastAsia="宋体"/>
        </w:rPr>
        <w:t>砖瓦用粘土矿建设</w:t>
      </w:r>
      <w:r>
        <w:rPr>
          <w:rFonts w:eastAsia="宋体"/>
        </w:rPr>
        <w:t>项目位于</w:t>
      </w:r>
      <w:r>
        <w:rPr>
          <w:rFonts w:hint="eastAsia" w:eastAsia="宋体"/>
        </w:rPr>
        <w:t>繁峙县横涧乡前所村北，</w:t>
      </w:r>
      <w:r>
        <w:rPr>
          <w:rFonts w:eastAsia="宋体"/>
        </w:rPr>
        <w:t>项目建设符合国家和地方产业政策要求</w:t>
      </w:r>
      <w:r>
        <w:rPr>
          <w:rFonts w:hint="eastAsia" w:eastAsia="宋体"/>
        </w:rPr>
        <w:t>，</w:t>
      </w:r>
      <w:r>
        <w:rPr>
          <w:rFonts w:eastAsia="宋体"/>
        </w:rPr>
        <w:t>选址符合</w:t>
      </w:r>
      <w:r>
        <w:rPr>
          <w:rFonts w:hint="eastAsia" w:eastAsia="宋体"/>
        </w:rPr>
        <w:t>山西省主体功能区划、山西省矿产资源总体规划、繁峙县县城总体规划</w:t>
      </w:r>
      <w:r>
        <w:rPr>
          <w:rFonts w:eastAsia="宋体"/>
        </w:rPr>
        <w:t>、</w:t>
      </w:r>
      <w:r>
        <w:rPr>
          <w:rFonts w:hint="eastAsia" w:eastAsia="宋体"/>
        </w:rPr>
        <w:t>繁峙县</w:t>
      </w:r>
      <w:r>
        <w:rPr>
          <w:rFonts w:eastAsia="宋体"/>
        </w:rPr>
        <w:t>生态功能区划、生态经济区划等相关规划要求</w:t>
      </w:r>
      <w:r>
        <w:rPr>
          <w:rFonts w:hint="eastAsia" w:eastAsia="宋体"/>
        </w:rPr>
        <w:t>。</w:t>
      </w:r>
      <w:r>
        <w:rPr>
          <w:rFonts w:eastAsia="宋体"/>
        </w:rPr>
        <w:t>同时</w:t>
      </w:r>
      <w:r>
        <w:rPr>
          <w:rFonts w:hint="eastAsia" w:eastAsia="宋体"/>
        </w:rPr>
        <w:t>，</w:t>
      </w:r>
      <w:r>
        <w:rPr>
          <w:rFonts w:eastAsia="宋体"/>
        </w:rPr>
        <w:t>项目建设不涉及饮用水源保护区、自然保护区、风景名胜区、文物古迹等环境敏感区</w:t>
      </w:r>
      <w:r>
        <w:rPr>
          <w:rFonts w:hint="eastAsia" w:eastAsia="宋体"/>
        </w:rPr>
        <w:t>，</w:t>
      </w:r>
      <w:r>
        <w:rPr>
          <w:rFonts w:eastAsia="宋体"/>
        </w:rPr>
        <w:t>公众对项目的建设也表示支持和赞成</w:t>
      </w:r>
      <w:r>
        <w:rPr>
          <w:rFonts w:hint="eastAsia" w:eastAsia="宋体"/>
        </w:rPr>
        <w:t>。</w:t>
      </w:r>
    </w:p>
    <w:p>
      <w:pPr>
        <w:pStyle w:val="361"/>
        <w:spacing w:line="440" w:lineRule="exact"/>
        <w:ind w:firstLineChars="200"/>
        <w:jc w:val="both"/>
        <w:rPr>
          <w:rFonts w:eastAsia="宋体"/>
        </w:rPr>
      </w:pPr>
      <w:r>
        <w:rPr>
          <w:rFonts w:eastAsia="宋体"/>
        </w:rPr>
        <w:t>项目废气、噪声达标排放</w:t>
      </w:r>
      <w:r>
        <w:rPr>
          <w:rFonts w:hint="eastAsia" w:eastAsia="宋体"/>
        </w:rPr>
        <w:t>，无</w:t>
      </w:r>
      <w:r>
        <w:rPr>
          <w:rFonts w:eastAsia="宋体"/>
        </w:rPr>
        <w:t>废水外排</w:t>
      </w:r>
      <w:r>
        <w:rPr>
          <w:rFonts w:hint="eastAsia" w:eastAsia="宋体"/>
        </w:rPr>
        <w:t>，</w:t>
      </w:r>
      <w:r>
        <w:rPr>
          <w:rFonts w:eastAsia="宋体"/>
        </w:rPr>
        <w:t>对大气环境、水环境、声环境影响不大</w:t>
      </w:r>
      <w:r>
        <w:rPr>
          <w:rFonts w:hint="eastAsia" w:eastAsia="宋体"/>
        </w:rPr>
        <w:t>，</w:t>
      </w:r>
      <w:r>
        <w:rPr>
          <w:rFonts w:eastAsia="宋体"/>
        </w:rPr>
        <w:t>固体废物全部妥善处置</w:t>
      </w:r>
      <w:r>
        <w:rPr>
          <w:rFonts w:hint="eastAsia" w:eastAsia="宋体"/>
        </w:rPr>
        <w:t>；</w:t>
      </w:r>
      <w:r>
        <w:rPr>
          <w:rFonts w:eastAsia="宋体"/>
        </w:rPr>
        <w:t>项目投产后水、大气、声环境可达到相应环境功能区划要求</w:t>
      </w:r>
      <w:r>
        <w:rPr>
          <w:rFonts w:hint="eastAsia" w:eastAsia="宋体"/>
        </w:rPr>
        <w:t>，</w:t>
      </w:r>
      <w:r>
        <w:rPr>
          <w:rFonts w:eastAsia="宋体"/>
        </w:rPr>
        <w:t>生态影响降至最低</w:t>
      </w:r>
      <w:r>
        <w:rPr>
          <w:rFonts w:hint="eastAsia" w:eastAsia="宋体"/>
        </w:rPr>
        <w:t>。</w:t>
      </w:r>
      <w:r>
        <w:rPr>
          <w:rFonts w:eastAsia="宋体"/>
        </w:rPr>
        <w:t>采取风险防控措施后</w:t>
      </w:r>
      <w:r>
        <w:rPr>
          <w:rFonts w:hint="eastAsia" w:eastAsia="宋体"/>
        </w:rPr>
        <w:t>，</w:t>
      </w:r>
      <w:r>
        <w:rPr>
          <w:rFonts w:eastAsia="宋体"/>
        </w:rPr>
        <w:t>环境风险水平处于可接受的水平</w:t>
      </w:r>
      <w:r>
        <w:rPr>
          <w:rFonts w:hint="eastAsia" w:eastAsia="宋体"/>
        </w:rPr>
        <w:t>。</w:t>
      </w:r>
    </w:p>
    <w:p>
      <w:pPr>
        <w:pStyle w:val="361"/>
        <w:spacing w:line="440" w:lineRule="exact"/>
        <w:ind w:firstLineChars="200"/>
        <w:jc w:val="both"/>
        <w:rPr>
          <w:rFonts w:eastAsia="宋体"/>
        </w:rPr>
        <w:sectPr>
          <w:headerReference r:id="rId7" w:type="default"/>
          <w:footerReference r:id="rId8" w:type="default"/>
          <w:pgSz w:w="11906" w:h="16838"/>
          <w:pgMar w:top="1440" w:right="1080" w:bottom="1440" w:left="1080" w:header="851" w:footer="992" w:gutter="0"/>
          <w:pgNumType w:start="1"/>
          <w:cols w:space="720" w:num="1"/>
          <w:docGrid w:type="lines" w:linePitch="382" w:charSpace="0"/>
        </w:sectPr>
      </w:pPr>
      <w:r>
        <w:rPr>
          <w:rFonts w:eastAsia="宋体"/>
        </w:rPr>
        <w:t>在切实落实报告书提出的生态保护和污染防治措施</w:t>
      </w:r>
      <w:r>
        <w:rPr>
          <w:rFonts w:hint="eastAsia" w:eastAsia="宋体"/>
        </w:rPr>
        <w:t>，</w:t>
      </w:r>
      <w:r>
        <w:rPr>
          <w:rFonts w:eastAsia="宋体"/>
        </w:rPr>
        <w:t>确保污染物达标排放的前提下</w:t>
      </w:r>
      <w:r>
        <w:rPr>
          <w:rFonts w:hint="eastAsia" w:eastAsia="宋体"/>
        </w:rPr>
        <w:t>，</w:t>
      </w:r>
      <w:r>
        <w:rPr>
          <w:rFonts w:eastAsia="宋体"/>
        </w:rPr>
        <w:t>从环境保护角度分析</w:t>
      </w:r>
      <w:r>
        <w:rPr>
          <w:rFonts w:hint="eastAsia" w:eastAsia="宋体"/>
        </w:rPr>
        <w:t>，</w:t>
      </w:r>
      <w:r>
        <w:rPr>
          <w:rFonts w:eastAsia="宋体"/>
        </w:rPr>
        <w:t>本项目建设是可行的</w:t>
      </w:r>
      <w:r>
        <w:rPr>
          <w:rFonts w:hint="eastAsia" w:eastAsia="宋体"/>
        </w:rPr>
        <w:t>。</w:t>
      </w:r>
    </w:p>
    <w:p>
      <w:pPr>
        <w:widowControl w:val="0"/>
        <w:adjustRightInd w:val="0"/>
        <w:snapToGrid w:val="0"/>
        <w:spacing w:before="240" w:beforeLines="100" w:after="240" w:afterLines="100"/>
        <w:jc w:val="center"/>
        <w:outlineLvl w:val="0"/>
        <w:rPr>
          <w:rFonts w:eastAsia="黑体"/>
          <w:b/>
          <w:kern w:val="2"/>
          <w:sz w:val="44"/>
          <w:szCs w:val="44"/>
        </w:rPr>
      </w:pPr>
      <w:bookmarkStart w:id="29" w:name="_Toc13186"/>
      <w:r>
        <w:rPr>
          <w:rFonts w:eastAsia="黑体"/>
          <w:b/>
          <w:kern w:val="2"/>
          <w:sz w:val="44"/>
          <w:szCs w:val="44"/>
        </w:rPr>
        <w:t>第一章  总</w:t>
      </w:r>
      <w:r>
        <w:rPr>
          <w:rFonts w:hint="eastAsia" w:eastAsia="黑体"/>
          <w:b/>
          <w:kern w:val="2"/>
          <w:sz w:val="44"/>
          <w:szCs w:val="44"/>
        </w:rPr>
        <w:t>则</w:t>
      </w:r>
      <w:bookmarkEnd w:id="29"/>
    </w:p>
    <w:p>
      <w:pPr>
        <w:widowControl w:val="0"/>
        <w:adjustRightInd w:val="0"/>
        <w:snapToGrid w:val="0"/>
        <w:spacing w:before="120" w:beforeLines="50" w:after="120" w:afterLines="50"/>
        <w:jc w:val="both"/>
        <w:outlineLvl w:val="1"/>
        <w:rPr>
          <w:b/>
          <w:kern w:val="2"/>
          <w:sz w:val="28"/>
          <w:szCs w:val="28"/>
        </w:rPr>
      </w:pPr>
      <w:bookmarkStart w:id="30" w:name="_Toc61250937"/>
      <w:bookmarkStart w:id="31" w:name="_Toc245721944"/>
      <w:bookmarkStart w:id="32" w:name="_Toc65331933"/>
      <w:bookmarkStart w:id="33" w:name="_Toc396395401"/>
      <w:bookmarkStart w:id="34" w:name="_Toc65566932"/>
      <w:bookmarkStart w:id="35" w:name="_Toc395801184"/>
      <w:bookmarkStart w:id="36" w:name="_Toc1768"/>
      <w:bookmarkStart w:id="37" w:name="_Toc81007058"/>
      <w:bookmarkStart w:id="38" w:name="_Toc512845174"/>
      <w:bookmarkStart w:id="39" w:name="_Toc81006318"/>
      <w:bookmarkStart w:id="40" w:name="_Toc399150338"/>
      <w:bookmarkStart w:id="41" w:name="_Toc535797319"/>
      <w:bookmarkStart w:id="42" w:name="_Toc535262546"/>
      <w:r>
        <w:rPr>
          <w:b/>
          <w:kern w:val="2"/>
          <w:sz w:val="28"/>
          <w:szCs w:val="28"/>
        </w:rPr>
        <w:t>1.1编制依据</w:t>
      </w:r>
      <w:bookmarkEnd w:id="30"/>
      <w:bookmarkEnd w:id="31"/>
      <w:bookmarkEnd w:id="32"/>
      <w:bookmarkEnd w:id="33"/>
      <w:bookmarkEnd w:id="34"/>
      <w:bookmarkEnd w:id="35"/>
      <w:bookmarkEnd w:id="36"/>
      <w:bookmarkEnd w:id="37"/>
      <w:bookmarkEnd w:id="38"/>
      <w:bookmarkEnd w:id="39"/>
      <w:bookmarkEnd w:id="40"/>
      <w:bookmarkEnd w:id="41"/>
      <w:bookmarkEnd w:id="42"/>
    </w:p>
    <w:p>
      <w:pPr>
        <w:widowControl w:val="0"/>
        <w:adjustRightInd w:val="0"/>
        <w:snapToGrid w:val="0"/>
        <w:spacing w:before="120" w:beforeLines="50" w:after="120" w:afterLines="50"/>
        <w:jc w:val="both"/>
        <w:outlineLvl w:val="2"/>
        <w:rPr>
          <w:b/>
          <w:kern w:val="2"/>
        </w:rPr>
      </w:pPr>
      <w:bookmarkStart w:id="43" w:name="_Toc245721945"/>
      <w:bookmarkStart w:id="44" w:name="_Toc87349378"/>
      <w:bookmarkStart w:id="45" w:name="_Toc395801185"/>
      <w:bookmarkStart w:id="46" w:name="_Toc399150339"/>
      <w:r>
        <w:rPr>
          <w:b/>
          <w:kern w:val="2"/>
        </w:rPr>
        <w:t>1.1.1法律</w:t>
      </w:r>
      <w:bookmarkEnd w:id="43"/>
      <w:bookmarkEnd w:id="44"/>
      <w:r>
        <w:rPr>
          <w:b/>
          <w:kern w:val="2"/>
        </w:rPr>
        <w:t>依据</w:t>
      </w:r>
      <w:bookmarkEnd w:id="45"/>
      <w:bookmarkEnd w:id="46"/>
    </w:p>
    <w:p>
      <w:pPr>
        <w:adjustRightInd w:val="0"/>
        <w:snapToGrid w:val="0"/>
        <w:spacing w:line="440" w:lineRule="exact"/>
        <w:ind w:firstLine="480" w:firstLineChars="200"/>
        <w:jc w:val="both"/>
        <w:rPr>
          <w:bCs/>
        </w:rPr>
      </w:pPr>
      <w:bookmarkStart w:id="47" w:name="_Toc399150340"/>
      <w:bookmarkStart w:id="48" w:name="_Toc395801186"/>
      <w:bookmarkStart w:id="49" w:name="_Toc245721946"/>
      <w:r>
        <w:rPr>
          <w:rFonts w:hint="eastAsia"/>
          <w:bCs/>
        </w:rPr>
        <w:t>（1）《中华人民共和国环境保护法》(2014年4月24日修订，自2015年1月1日起施行)；</w:t>
      </w:r>
    </w:p>
    <w:p>
      <w:pPr>
        <w:adjustRightInd w:val="0"/>
        <w:snapToGrid w:val="0"/>
        <w:spacing w:line="440" w:lineRule="exact"/>
        <w:ind w:firstLine="480" w:firstLineChars="200"/>
        <w:jc w:val="both"/>
        <w:rPr>
          <w:bCs/>
        </w:rPr>
      </w:pPr>
      <w:r>
        <w:rPr>
          <w:rFonts w:hint="eastAsia"/>
          <w:bCs/>
        </w:rPr>
        <w:t>（2）《中华人民共和国环境影响评价法》( 2018年12月29日修订并施行)；</w:t>
      </w:r>
    </w:p>
    <w:p>
      <w:pPr>
        <w:adjustRightInd w:val="0"/>
        <w:snapToGrid w:val="0"/>
        <w:spacing w:line="440" w:lineRule="exact"/>
        <w:ind w:firstLine="480" w:firstLineChars="200"/>
        <w:jc w:val="both"/>
        <w:rPr>
          <w:bCs/>
        </w:rPr>
      </w:pPr>
      <w:r>
        <w:rPr>
          <w:rFonts w:hint="eastAsia"/>
          <w:bCs/>
        </w:rPr>
        <w:t>（3）《中华人民共和国大气污染防治法》(2018年10月26日修订并施行) ；</w:t>
      </w:r>
    </w:p>
    <w:p>
      <w:pPr>
        <w:adjustRightInd w:val="0"/>
        <w:snapToGrid w:val="0"/>
        <w:spacing w:line="440" w:lineRule="exact"/>
        <w:ind w:firstLine="480" w:firstLineChars="200"/>
        <w:jc w:val="both"/>
        <w:rPr>
          <w:bCs/>
        </w:rPr>
      </w:pPr>
      <w:r>
        <w:rPr>
          <w:rFonts w:hint="eastAsia"/>
          <w:bCs/>
        </w:rPr>
        <w:t>（4）《中华人民共和国水污染防治法》(2017年6月27修订，自2018年1月1日起施行)；</w:t>
      </w:r>
    </w:p>
    <w:p>
      <w:pPr>
        <w:adjustRightInd w:val="0"/>
        <w:snapToGrid w:val="0"/>
        <w:spacing w:line="440" w:lineRule="exact"/>
        <w:ind w:firstLine="480" w:firstLineChars="200"/>
        <w:jc w:val="both"/>
        <w:rPr>
          <w:bCs/>
        </w:rPr>
      </w:pPr>
      <w:r>
        <w:rPr>
          <w:rFonts w:hint="eastAsia"/>
          <w:bCs/>
        </w:rPr>
        <w:t>（5）《中华人民共和国环境噪声污染防治法》( 2018年12月29日修订并施行)；</w:t>
      </w:r>
    </w:p>
    <w:p>
      <w:pPr>
        <w:adjustRightInd w:val="0"/>
        <w:snapToGrid w:val="0"/>
        <w:spacing w:line="440" w:lineRule="exact"/>
        <w:ind w:firstLine="480" w:firstLineChars="200"/>
        <w:jc w:val="both"/>
        <w:rPr>
          <w:bCs/>
        </w:rPr>
      </w:pPr>
      <w:r>
        <w:rPr>
          <w:rFonts w:hint="eastAsia"/>
          <w:bCs/>
        </w:rPr>
        <w:t xml:space="preserve">（6）《中华人民共和国固体废物污染环境防治法》(2016年11月7日修订，自公布之日起施行)； </w:t>
      </w:r>
    </w:p>
    <w:p>
      <w:pPr>
        <w:adjustRightInd w:val="0"/>
        <w:snapToGrid w:val="0"/>
        <w:spacing w:line="440" w:lineRule="exact"/>
        <w:ind w:firstLine="480" w:firstLineChars="200"/>
        <w:jc w:val="both"/>
        <w:rPr>
          <w:bCs/>
        </w:rPr>
      </w:pPr>
      <w:r>
        <w:rPr>
          <w:rFonts w:hint="eastAsia"/>
          <w:bCs/>
        </w:rPr>
        <w:t>（7）</w:t>
      </w:r>
      <w:r>
        <w:rPr>
          <w:bCs/>
        </w:rPr>
        <w:t>《中华人民共和国循环经济促进法》</w:t>
      </w:r>
      <w:r>
        <w:rPr>
          <w:rFonts w:hint="eastAsia"/>
          <w:bCs/>
        </w:rPr>
        <w:t>(</w:t>
      </w:r>
      <w:r>
        <w:rPr>
          <w:bCs/>
        </w:rPr>
        <w:t>2018年10月26日修订并施行</w:t>
      </w:r>
      <w:r>
        <w:rPr>
          <w:rFonts w:hint="eastAsia"/>
          <w:bCs/>
        </w:rPr>
        <w:t>)</w:t>
      </w:r>
      <w:r>
        <w:rPr>
          <w:bCs/>
        </w:rPr>
        <w:t>；</w:t>
      </w:r>
    </w:p>
    <w:p>
      <w:pPr>
        <w:adjustRightInd w:val="0"/>
        <w:snapToGrid w:val="0"/>
        <w:spacing w:line="440" w:lineRule="exact"/>
        <w:ind w:firstLine="480" w:firstLineChars="200"/>
        <w:jc w:val="both"/>
        <w:rPr>
          <w:bCs/>
        </w:rPr>
      </w:pPr>
      <w:r>
        <w:rPr>
          <w:rFonts w:hint="eastAsia"/>
          <w:bCs/>
        </w:rPr>
        <w:t>（8）</w:t>
      </w:r>
      <w:r>
        <w:t>《中华人民共和国清洁生产促进法》</w:t>
      </w:r>
      <w:r>
        <w:rPr>
          <w:rFonts w:hint="eastAsia"/>
        </w:rPr>
        <w:t>（</w:t>
      </w:r>
      <w:r>
        <w:t>2012年7月1日施行</w:t>
      </w:r>
      <w:r>
        <w:rPr>
          <w:rFonts w:hint="eastAsia"/>
        </w:rPr>
        <w:t>）；</w:t>
      </w:r>
    </w:p>
    <w:p>
      <w:pPr>
        <w:adjustRightInd w:val="0"/>
        <w:snapToGrid w:val="0"/>
        <w:spacing w:line="440" w:lineRule="exact"/>
        <w:ind w:firstLine="480" w:firstLineChars="200"/>
        <w:jc w:val="both"/>
        <w:rPr>
          <w:bCs/>
        </w:rPr>
      </w:pPr>
      <w:r>
        <w:rPr>
          <w:rFonts w:hint="eastAsia"/>
          <w:bCs/>
        </w:rPr>
        <w:t>（9）《中华人民共和国土地管理法》(2004年8月28日修订并施行)；</w:t>
      </w:r>
    </w:p>
    <w:p>
      <w:pPr>
        <w:adjustRightInd w:val="0"/>
        <w:snapToGrid w:val="0"/>
        <w:spacing w:line="440" w:lineRule="exact"/>
        <w:ind w:firstLine="480" w:firstLineChars="200"/>
        <w:jc w:val="both"/>
        <w:rPr>
          <w:bCs/>
        </w:rPr>
      </w:pPr>
      <w:r>
        <w:rPr>
          <w:rFonts w:hint="eastAsia"/>
          <w:bCs/>
        </w:rPr>
        <w:t>（10）</w:t>
      </w:r>
      <w:r>
        <w:rPr>
          <w:bCs/>
        </w:rPr>
        <w:t>《中华人民共和国节约能源法》</w:t>
      </w:r>
      <w:r>
        <w:rPr>
          <w:rFonts w:hint="eastAsia"/>
          <w:bCs/>
        </w:rPr>
        <w:t>(</w:t>
      </w:r>
      <w:r>
        <w:rPr>
          <w:bCs/>
        </w:rPr>
        <w:t>2018年10月26日修订并施行</w:t>
      </w:r>
      <w:r>
        <w:rPr>
          <w:rFonts w:hint="eastAsia"/>
          <w:bCs/>
        </w:rPr>
        <w:t>)</w:t>
      </w:r>
      <w:r>
        <w:rPr>
          <w:bCs/>
        </w:rPr>
        <w:t>；</w:t>
      </w:r>
    </w:p>
    <w:p>
      <w:pPr>
        <w:adjustRightInd w:val="0"/>
        <w:snapToGrid w:val="0"/>
        <w:spacing w:line="440" w:lineRule="exact"/>
        <w:ind w:firstLine="480" w:firstLineChars="200"/>
        <w:jc w:val="both"/>
        <w:rPr>
          <w:bCs/>
        </w:rPr>
      </w:pPr>
      <w:r>
        <w:rPr>
          <w:rFonts w:hint="eastAsia"/>
          <w:bCs/>
        </w:rPr>
        <w:t>（</w:t>
      </w:r>
      <w:r>
        <w:rPr>
          <w:bCs/>
        </w:rPr>
        <w:t>1</w:t>
      </w:r>
      <w:r>
        <w:rPr>
          <w:rFonts w:hint="eastAsia"/>
          <w:bCs/>
        </w:rPr>
        <w:t>1）</w:t>
      </w:r>
      <w:r>
        <w:t>《中华人民共和国水土保持法》</w:t>
      </w:r>
      <w:r>
        <w:rPr>
          <w:rFonts w:hint="eastAsia"/>
        </w:rPr>
        <w:t>（</w:t>
      </w:r>
      <w:r>
        <w:t>2011年3月1日施行</w:t>
      </w:r>
      <w:r>
        <w:rPr>
          <w:rFonts w:hint="eastAsia"/>
        </w:rPr>
        <w:t>）；</w:t>
      </w:r>
    </w:p>
    <w:p>
      <w:pPr>
        <w:widowControl w:val="0"/>
        <w:adjustRightInd w:val="0"/>
        <w:snapToGrid w:val="0"/>
        <w:spacing w:before="120" w:beforeLines="50" w:after="120" w:afterLines="50"/>
        <w:jc w:val="both"/>
        <w:outlineLvl w:val="2"/>
        <w:rPr>
          <w:b/>
          <w:kern w:val="2"/>
        </w:rPr>
      </w:pPr>
      <w:r>
        <w:rPr>
          <w:b/>
          <w:kern w:val="2"/>
        </w:rPr>
        <w:t>1.1.2法规依据</w:t>
      </w:r>
      <w:bookmarkEnd w:id="47"/>
      <w:bookmarkEnd w:id="48"/>
      <w:bookmarkEnd w:id="49"/>
    </w:p>
    <w:p>
      <w:pPr>
        <w:adjustRightInd w:val="0"/>
        <w:snapToGrid w:val="0"/>
        <w:spacing w:line="440" w:lineRule="exact"/>
        <w:ind w:firstLine="480" w:firstLineChars="200"/>
        <w:jc w:val="both"/>
        <w:rPr>
          <w:bCs/>
        </w:rPr>
      </w:pPr>
      <w:bookmarkStart w:id="50" w:name="_Toc399150341"/>
      <w:bookmarkStart w:id="51" w:name="_Toc395801187"/>
      <w:bookmarkStart w:id="52" w:name="_Toc245721948"/>
      <w:r>
        <w:rPr>
          <w:bCs/>
        </w:rPr>
        <w:t>（1）</w:t>
      </w:r>
      <w:r>
        <w:rPr>
          <w:rFonts w:hint="eastAsia"/>
          <w:bCs/>
        </w:rPr>
        <w:t>《建设项目环境保护管理条例》（国务院令第682号，2017年7月16日发布，自2017年10月1日起施行）；</w:t>
      </w:r>
    </w:p>
    <w:p>
      <w:pPr>
        <w:adjustRightInd w:val="0"/>
        <w:snapToGrid w:val="0"/>
        <w:spacing w:line="440" w:lineRule="exact"/>
        <w:ind w:firstLine="480" w:firstLineChars="200"/>
        <w:jc w:val="both"/>
        <w:rPr>
          <w:bCs/>
        </w:rPr>
      </w:pPr>
      <w:r>
        <w:rPr>
          <w:bCs/>
        </w:rPr>
        <w:t>（2）《建设项目环境影响评价分类管理名录》</w:t>
      </w:r>
      <w:r>
        <w:rPr>
          <w:rFonts w:hint="eastAsia"/>
          <w:bCs/>
        </w:rPr>
        <w:t>（2</w:t>
      </w:r>
      <w:r>
        <w:rPr>
          <w:bCs/>
        </w:rPr>
        <w:t>018</w:t>
      </w:r>
      <w:r>
        <w:rPr>
          <w:rFonts w:hint="eastAsia"/>
          <w:bCs/>
        </w:rPr>
        <w:t>版</w:t>
      </w:r>
      <w:r>
        <w:rPr>
          <w:bCs/>
        </w:rPr>
        <w:t>，2018年4月28日</w:t>
      </w:r>
      <w:r>
        <w:rPr>
          <w:rFonts w:hint="eastAsia"/>
          <w:bCs/>
        </w:rPr>
        <w:t>发布并施行）</w:t>
      </w:r>
      <w:r>
        <w:rPr>
          <w:bCs/>
        </w:rPr>
        <w:t>；</w:t>
      </w:r>
    </w:p>
    <w:p>
      <w:pPr>
        <w:adjustRightInd w:val="0"/>
        <w:snapToGrid w:val="0"/>
        <w:spacing w:line="440" w:lineRule="exact"/>
        <w:ind w:firstLine="480" w:firstLineChars="200"/>
        <w:jc w:val="both"/>
        <w:rPr>
          <w:bCs/>
        </w:rPr>
      </w:pPr>
      <w:r>
        <w:rPr>
          <w:bCs/>
        </w:rPr>
        <w:t>（3）中华人民共和国国家发展改革委第2</w:t>
      </w:r>
      <w:r>
        <w:rPr>
          <w:rFonts w:hint="eastAsia"/>
          <w:bCs/>
          <w:lang w:val="en-US" w:eastAsia="zh-CN"/>
        </w:rPr>
        <w:t>9</w:t>
      </w:r>
      <w:r>
        <w:rPr>
          <w:bCs/>
        </w:rPr>
        <w:t>号令公布的《产业结构调整指导目录（201</w:t>
      </w:r>
      <w:r>
        <w:rPr>
          <w:rFonts w:hint="eastAsia"/>
          <w:bCs/>
          <w:lang w:val="en-US" w:eastAsia="zh-CN"/>
        </w:rPr>
        <w:t>9</w:t>
      </w:r>
      <w:r>
        <w:rPr>
          <w:bCs/>
        </w:rPr>
        <w:t>年本</w:t>
      </w:r>
      <w:r>
        <w:rPr>
          <w:rFonts w:hint="eastAsia"/>
          <w:bCs/>
          <w:lang w:eastAsia="zh-CN"/>
        </w:rPr>
        <w:t>）</w:t>
      </w:r>
      <w:r>
        <w:rPr>
          <w:bCs/>
        </w:rPr>
        <w:t>》</w:t>
      </w:r>
      <w:r>
        <w:rPr>
          <w:rFonts w:hint="eastAsia"/>
          <w:bCs/>
        </w:rPr>
        <w:t>（201</w:t>
      </w:r>
      <w:r>
        <w:rPr>
          <w:rFonts w:hint="eastAsia"/>
          <w:bCs/>
          <w:lang w:val="en-US" w:eastAsia="zh-CN"/>
        </w:rPr>
        <w:t>9</w:t>
      </w:r>
      <w:r>
        <w:rPr>
          <w:rFonts w:hint="eastAsia"/>
          <w:bCs/>
        </w:rPr>
        <w:t>年</w:t>
      </w:r>
      <w:r>
        <w:rPr>
          <w:rFonts w:hint="eastAsia"/>
          <w:bCs/>
          <w:lang w:val="en-US" w:eastAsia="zh-CN"/>
        </w:rPr>
        <w:t>10</w:t>
      </w:r>
      <w:r>
        <w:rPr>
          <w:rFonts w:hint="eastAsia"/>
          <w:bCs/>
        </w:rPr>
        <w:t>月</w:t>
      </w:r>
      <w:r>
        <w:rPr>
          <w:rFonts w:hint="eastAsia"/>
          <w:bCs/>
          <w:lang w:val="en-US" w:eastAsia="zh-CN"/>
        </w:rPr>
        <w:t>30</w:t>
      </w:r>
      <w:r>
        <w:rPr>
          <w:rFonts w:hint="eastAsia"/>
          <w:bCs/>
        </w:rPr>
        <w:t>日发布，自20</w:t>
      </w:r>
      <w:r>
        <w:rPr>
          <w:rFonts w:hint="eastAsia"/>
          <w:bCs/>
          <w:lang w:val="en-US" w:eastAsia="zh-CN"/>
        </w:rPr>
        <w:t>20</w:t>
      </w:r>
      <w:r>
        <w:rPr>
          <w:rFonts w:hint="eastAsia"/>
          <w:bCs/>
        </w:rPr>
        <w:t>年</w:t>
      </w:r>
      <w:r>
        <w:rPr>
          <w:rFonts w:hint="eastAsia"/>
          <w:bCs/>
          <w:lang w:val="en-US" w:eastAsia="zh-CN"/>
        </w:rPr>
        <w:t>1</w:t>
      </w:r>
      <w:r>
        <w:rPr>
          <w:rFonts w:hint="eastAsia"/>
          <w:bCs/>
        </w:rPr>
        <w:t>月1日起施行）</w:t>
      </w:r>
      <w:r>
        <w:rPr>
          <w:bCs/>
        </w:rPr>
        <w:t>；</w:t>
      </w:r>
    </w:p>
    <w:p>
      <w:pPr>
        <w:adjustRightInd w:val="0"/>
        <w:snapToGrid w:val="0"/>
        <w:spacing w:line="440" w:lineRule="exact"/>
        <w:ind w:firstLine="480" w:firstLineChars="200"/>
        <w:jc w:val="both"/>
        <w:rPr>
          <w:bCs/>
        </w:rPr>
      </w:pPr>
      <w:r>
        <w:rPr>
          <w:bCs/>
        </w:rPr>
        <w:t>（</w:t>
      </w:r>
      <w:r>
        <w:rPr>
          <w:rFonts w:hint="eastAsia"/>
          <w:bCs/>
          <w:lang w:val="en-US" w:eastAsia="zh-CN"/>
        </w:rPr>
        <w:t>4</w:t>
      </w:r>
      <w:r>
        <w:rPr>
          <w:bCs/>
        </w:rPr>
        <w:t>）</w:t>
      </w:r>
      <w:r>
        <w:rPr>
          <w:rFonts w:hint="eastAsia"/>
          <w:bCs/>
        </w:rPr>
        <w:t>《环境影响评价公众参与办法》（生态环境部 部令 第4号，2019年1月1日起施行）；</w:t>
      </w:r>
    </w:p>
    <w:p>
      <w:pPr>
        <w:adjustRightInd w:val="0"/>
        <w:snapToGrid w:val="0"/>
        <w:spacing w:line="440" w:lineRule="exact"/>
        <w:ind w:firstLine="480" w:firstLineChars="200"/>
        <w:jc w:val="both"/>
        <w:rPr>
          <w:bCs/>
        </w:rPr>
      </w:pPr>
      <w:r>
        <w:rPr>
          <w:bCs/>
        </w:rPr>
        <w:t>（</w:t>
      </w:r>
      <w:r>
        <w:rPr>
          <w:rFonts w:hint="eastAsia"/>
          <w:bCs/>
          <w:lang w:val="en-US" w:eastAsia="zh-CN"/>
        </w:rPr>
        <w:t>5</w:t>
      </w:r>
      <w:r>
        <w:rPr>
          <w:bCs/>
        </w:rPr>
        <w:t>）《</w:t>
      </w:r>
      <w:r>
        <w:rPr>
          <w:rFonts w:hint="eastAsia"/>
          <w:bCs/>
        </w:rPr>
        <w:t>国务院关于印发</w:t>
      </w:r>
      <w:r>
        <w:rPr>
          <w:bCs/>
        </w:rPr>
        <w:t>大气污染防治</w:t>
      </w:r>
      <w:r>
        <w:rPr>
          <w:rFonts w:hint="eastAsia"/>
          <w:bCs/>
        </w:rPr>
        <w:t>行动计划的通知</w:t>
      </w:r>
      <w:r>
        <w:rPr>
          <w:bCs/>
        </w:rPr>
        <w:t>》</w:t>
      </w:r>
      <w:r>
        <w:rPr>
          <w:rFonts w:hint="eastAsia"/>
          <w:bCs/>
        </w:rPr>
        <w:t>（国发〔2013〕37号，</w:t>
      </w:r>
      <w:r>
        <w:rPr>
          <w:bCs/>
        </w:rPr>
        <w:t>2013年</w:t>
      </w:r>
      <w:r>
        <w:rPr>
          <w:rFonts w:hint="eastAsia"/>
          <w:bCs/>
        </w:rPr>
        <w:t>9</w:t>
      </w:r>
      <w:r>
        <w:rPr>
          <w:bCs/>
        </w:rPr>
        <w:t>月1</w:t>
      </w:r>
      <w:r>
        <w:rPr>
          <w:rFonts w:hint="eastAsia"/>
          <w:bCs/>
        </w:rPr>
        <w:t>0</w:t>
      </w:r>
      <w:r>
        <w:rPr>
          <w:bCs/>
        </w:rPr>
        <w:t>日</w:t>
      </w:r>
      <w:r>
        <w:rPr>
          <w:rFonts w:hint="eastAsia"/>
          <w:bCs/>
        </w:rPr>
        <w:t>发布）</w:t>
      </w:r>
      <w:r>
        <w:rPr>
          <w:bCs/>
        </w:rPr>
        <w:t>；</w:t>
      </w:r>
    </w:p>
    <w:p>
      <w:pPr>
        <w:adjustRightInd w:val="0"/>
        <w:snapToGrid w:val="0"/>
        <w:spacing w:line="440" w:lineRule="exact"/>
        <w:ind w:firstLine="480" w:firstLineChars="200"/>
        <w:jc w:val="both"/>
        <w:rPr>
          <w:bCs/>
        </w:rPr>
      </w:pPr>
      <w:r>
        <w:rPr>
          <w:rFonts w:hint="eastAsia"/>
          <w:bCs/>
        </w:rPr>
        <w:t>（</w:t>
      </w:r>
      <w:r>
        <w:rPr>
          <w:rFonts w:hint="eastAsia"/>
          <w:bCs/>
          <w:lang w:val="en-US" w:eastAsia="zh-CN"/>
        </w:rPr>
        <w:t>6</w:t>
      </w:r>
      <w:r>
        <w:rPr>
          <w:rFonts w:hint="eastAsia"/>
          <w:bCs/>
        </w:rPr>
        <w:t>）《国务院关于印发水污染防治行动计划的通知》（国发〔2015〕17号，2015年4月2日发布）</w:t>
      </w:r>
      <w:r>
        <w:rPr>
          <w:bCs/>
        </w:rPr>
        <w:t>；</w:t>
      </w:r>
    </w:p>
    <w:p>
      <w:pPr>
        <w:adjustRightInd w:val="0"/>
        <w:snapToGrid w:val="0"/>
        <w:spacing w:line="440" w:lineRule="exact"/>
        <w:ind w:firstLine="480" w:firstLineChars="200"/>
        <w:jc w:val="both"/>
        <w:rPr>
          <w:bCs/>
        </w:rPr>
      </w:pPr>
      <w:r>
        <w:rPr>
          <w:bCs/>
        </w:rPr>
        <w:t>（</w:t>
      </w:r>
      <w:r>
        <w:rPr>
          <w:rFonts w:hint="eastAsia"/>
          <w:bCs/>
          <w:lang w:val="en-US" w:eastAsia="zh-CN"/>
        </w:rPr>
        <w:t>7</w:t>
      </w:r>
      <w:r>
        <w:rPr>
          <w:bCs/>
        </w:rPr>
        <w:t>）《</w:t>
      </w:r>
      <w:r>
        <w:rPr>
          <w:rFonts w:hint="eastAsia"/>
          <w:bCs/>
        </w:rPr>
        <w:t>国务院关于印发土</w:t>
      </w:r>
      <w:r>
        <w:rPr>
          <w:bCs/>
        </w:rPr>
        <w:t>壤污染防治行动计划</w:t>
      </w:r>
      <w:r>
        <w:rPr>
          <w:rFonts w:hint="eastAsia"/>
          <w:bCs/>
        </w:rPr>
        <w:t>的通知</w:t>
      </w:r>
      <w:r>
        <w:rPr>
          <w:bCs/>
        </w:rPr>
        <w:t>》</w:t>
      </w:r>
      <w:r>
        <w:rPr>
          <w:rFonts w:hint="eastAsia"/>
          <w:bCs/>
        </w:rPr>
        <w:t>(</w:t>
      </w:r>
      <w:r>
        <w:t>国发</w:t>
      </w:r>
      <w:r>
        <w:rPr>
          <w:rFonts w:hint="eastAsia"/>
          <w:bCs/>
        </w:rPr>
        <w:t>〔201</w:t>
      </w:r>
      <w:r>
        <w:rPr>
          <w:bCs/>
        </w:rPr>
        <w:t>6</w:t>
      </w:r>
      <w:r>
        <w:rPr>
          <w:rFonts w:hint="eastAsia"/>
          <w:bCs/>
        </w:rPr>
        <w:t>〕</w:t>
      </w:r>
      <w:r>
        <w:t>31号</w:t>
      </w:r>
      <w:r>
        <w:rPr>
          <w:rFonts w:hint="eastAsia"/>
        </w:rPr>
        <w:t>，</w:t>
      </w:r>
      <w:r>
        <w:rPr>
          <w:bCs/>
        </w:rPr>
        <w:t>2016年5月</w:t>
      </w:r>
      <w:r>
        <w:rPr>
          <w:rFonts w:hint="eastAsia"/>
          <w:bCs/>
        </w:rPr>
        <w:t>31</w:t>
      </w:r>
      <w:r>
        <w:rPr>
          <w:bCs/>
        </w:rPr>
        <w:t>日</w:t>
      </w:r>
      <w:r>
        <w:rPr>
          <w:rFonts w:hint="eastAsia"/>
          <w:bCs/>
        </w:rPr>
        <w:t>发布)；</w:t>
      </w:r>
    </w:p>
    <w:p>
      <w:pPr>
        <w:adjustRightInd w:val="0"/>
        <w:snapToGrid w:val="0"/>
        <w:spacing w:line="440" w:lineRule="exact"/>
        <w:ind w:firstLine="480" w:firstLineChars="200"/>
        <w:jc w:val="both"/>
        <w:rPr>
          <w:bCs/>
        </w:rPr>
      </w:pPr>
      <w:r>
        <w:rPr>
          <w:bCs/>
        </w:rPr>
        <w:t>（</w:t>
      </w:r>
      <w:r>
        <w:rPr>
          <w:rFonts w:hint="eastAsia"/>
          <w:bCs/>
          <w:lang w:val="en-US" w:eastAsia="zh-CN"/>
        </w:rPr>
        <w:t>8</w:t>
      </w:r>
      <w:r>
        <w:rPr>
          <w:bCs/>
        </w:rPr>
        <w:t>）</w:t>
      </w:r>
      <w:r>
        <w:rPr>
          <w:rFonts w:hint="eastAsia"/>
          <w:bCs/>
        </w:rPr>
        <w:t>《关于落实大气污染防治行动计划严格环境影响评价准入的通知》（环办[2014]30号，2014年3月25日发布）；</w:t>
      </w:r>
    </w:p>
    <w:p>
      <w:pPr>
        <w:adjustRightInd w:val="0"/>
        <w:snapToGrid w:val="0"/>
        <w:spacing w:line="440" w:lineRule="exact"/>
        <w:ind w:firstLine="480" w:firstLineChars="200"/>
        <w:jc w:val="both"/>
        <w:rPr>
          <w:bCs/>
        </w:rPr>
      </w:pPr>
      <w:r>
        <w:rPr>
          <w:rFonts w:hint="eastAsia"/>
          <w:bCs/>
        </w:rPr>
        <w:t>（</w:t>
      </w:r>
      <w:r>
        <w:rPr>
          <w:rFonts w:hint="eastAsia"/>
          <w:bCs/>
          <w:lang w:val="en-US" w:eastAsia="zh-CN"/>
        </w:rPr>
        <w:t>9</w:t>
      </w:r>
      <w:r>
        <w:rPr>
          <w:rFonts w:hint="eastAsia"/>
          <w:bCs/>
        </w:rPr>
        <w:t>）《关于以改善环境质量为核心加强环境影响评价管理的通知》（环环评[2016]150号，2016年10月26日发布）；</w:t>
      </w:r>
    </w:p>
    <w:p>
      <w:pPr>
        <w:adjustRightInd w:val="0"/>
        <w:snapToGrid w:val="0"/>
        <w:spacing w:line="440" w:lineRule="exact"/>
        <w:ind w:firstLine="480" w:firstLineChars="200"/>
        <w:jc w:val="both"/>
        <w:rPr>
          <w:rFonts w:eastAsia="宋体"/>
        </w:rPr>
      </w:pPr>
      <w:r>
        <w:rPr>
          <w:rFonts w:hint="eastAsia"/>
          <w:bCs/>
        </w:rPr>
        <w:t>（1</w:t>
      </w:r>
      <w:r>
        <w:rPr>
          <w:rFonts w:hint="eastAsia"/>
          <w:bCs/>
          <w:lang w:val="en-US" w:eastAsia="zh-CN"/>
        </w:rPr>
        <w:t>0</w:t>
      </w:r>
      <w:r>
        <w:rPr>
          <w:rFonts w:hint="eastAsia"/>
          <w:bCs/>
        </w:rPr>
        <w:t>）《打赢蓝天保卫战三年行动计划》（国发〔2018〕22号，2018年6月27日发布）；</w:t>
      </w:r>
    </w:p>
    <w:p>
      <w:pPr>
        <w:adjustRightInd w:val="0"/>
        <w:snapToGrid w:val="0"/>
        <w:spacing w:line="440" w:lineRule="exact"/>
        <w:ind w:firstLine="480" w:firstLineChars="200"/>
        <w:jc w:val="both"/>
        <w:rPr>
          <w:bCs/>
        </w:rPr>
      </w:pPr>
      <w:r>
        <w:rPr>
          <w:rFonts w:hint="eastAsia"/>
          <w:bCs/>
          <w:color w:val="auto"/>
        </w:rPr>
        <w:t>（1</w:t>
      </w:r>
      <w:r>
        <w:rPr>
          <w:rFonts w:hint="eastAsia"/>
          <w:bCs/>
          <w:color w:val="auto"/>
          <w:lang w:val="en-US" w:eastAsia="zh-CN"/>
        </w:rPr>
        <w:t>1</w:t>
      </w:r>
      <w:r>
        <w:rPr>
          <w:rFonts w:hint="eastAsia"/>
          <w:bCs/>
          <w:color w:val="auto"/>
        </w:rPr>
        <w:t>）</w:t>
      </w:r>
      <w:r>
        <w:rPr>
          <w:color w:val="auto"/>
        </w:rPr>
        <w:t>《限制用地项目目录</w:t>
      </w:r>
      <w:r>
        <w:rPr>
          <w:rFonts w:hint="eastAsia"/>
          <w:color w:val="auto"/>
        </w:rPr>
        <w:t>（</w:t>
      </w:r>
      <w:r>
        <w:rPr>
          <w:color w:val="auto"/>
        </w:rPr>
        <w:t>2</w:t>
      </w:r>
      <w:r>
        <w:t>012年本</w:t>
      </w:r>
      <w:r>
        <w:rPr>
          <w:rFonts w:hint="eastAsia"/>
        </w:rPr>
        <w:t>）</w:t>
      </w:r>
      <w:r>
        <w:t>》、《禁止用地项目目录</w:t>
      </w:r>
      <w:r>
        <w:rPr>
          <w:rFonts w:hint="eastAsia"/>
        </w:rPr>
        <w:t>（</w:t>
      </w:r>
      <w:r>
        <w:t>2012年本</w:t>
      </w:r>
      <w:r>
        <w:rPr>
          <w:rFonts w:hint="eastAsia"/>
        </w:rPr>
        <w:t>）</w:t>
      </w:r>
      <w:r>
        <w:t>》</w:t>
      </w:r>
      <w:r>
        <w:rPr>
          <w:rFonts w:hint="eastAsia"/>
        </w:rPr>
        <w:t>（</w:t>
      </w:r>
      <w:r>
        <w:t>国土资源部 国家发展和改革委员会</w:t>
      </w:r>
      <w:r>
        <w:rPr>
          <w:rFonts w:hint="eastAsia"/>
        </w:rPr>
        <w:t>，</w:t>
      </w:r>
      <w:r>
        <w:t>2012年5月23日</w:t>
      </w:r>
      <w:r>
        <w:rPr>
          <w:rFonts w:hint="eastAsia"/>
        </w:rPr>
        <w:t>）</w:t>
      </w:r>
      <w:r>
        <w:rPr>
          <w:bCs/>
        </w:rPr>
        <w:t>；</w:t>
      </w:r>
    </w:p>
    <w:p>
      <w:pPr>
        <w:pStyle w:val="361"/>
        <w:spacing w:line="440" w:lineRule="exact"/>
        <w:ind w:firstLineChars="200"/>
        <w:jc w:val="both"/>
        <w:rPr>
          <w:rFonts w:eastAsia="宋体"/>
        </w:rPr>
      </w:pPr>
      <w:r>
        <w:rPr>
          <w:rFonts w:hint="eastAsia" w:eastAsia="宋体"/>
        </w:rPr>
        <w:t>（1</w:t>
      </w:r>
      <w:r>
        <w:rPr>
          <w:rFonts w:hint="eastAsia" w:eastAsia="宋体"/>
          <w:lang w:val="en-US" w:eastAsia="zh-CN"/>
        </w:rPr>
        <w:t>2</w:t>
      </w:r>
      <w:r>
        <w:rPr>
          <w:rFonts w:hint="eastAsia" w:eastAsia="宋体"/>
        </w:rPr>
        <w:t>）</w:t>
      </w:r>
      <w:r>
        <w:rPr>
          <w:rFonts w:eastAsia="宋体"/>
        </w:rPr>
        <w:t>《中共中央国务院关于加快推进生态文明建设的意见》</w:t>
      </w:r>
      <w:r>
        <w:rPr>
          <w:rFonts w:hint="eastAsia" w:eastAsia="宋体"/>
        </w:rPr>
        <w:t>（</w:t>
      </w:r>
      <w:r>
        <w:rPr>
          <w:rFonts w:eastAsia="宋体"/>
        </w:rPr>
        <w:t>2015年4月25日</w:t>
      </w:r>
      <w:r>
        <w:rPr>
          <w:rFonts w:hint="eastAsia" w:eastAsia="宋体"/>
        </w:rPr>
        <w:t>）；</w:t>
      </w:r>
    </w:p>
    <w:p>
      <w:pPr>
        <w:pStyle w:val="361"/>
        <w:spacing w:line="440" w:lineRule="exact"/>
        <w:ind w:firstLineChars="200"/>
        <w:jc w:val="both"/>
        <w:rPr>
          <w:rFonts w:eastAsia="宋体"/>
        </w:rPr>
      </w:pPr>
      <w:r>
        <w:rPr>
          <w:rFonts w:hint="eastAsia" w:eastAsia="宋体"/>
        </w:rPr>
        <w:t>（1</w:t>
      </w:r>
      <w:r>
        <w:rPr>
          <w:rFonts w:hint="eastAsia" w:eastAsia="宋体"/>
          <w:lang w:val="en-US" w:eastAsia="zh-CN"/>
        </w:rPr>
        <w:t>3</w:t>
      </w:r>
      <w:r>
        <w:rPr>
          <w:rFonts w:hint="eastAsia" w:eastAsia="宋体"/>
        </w:rPr>
        <w:t>）</w:t>
      </w:r>
      <w:r>
        <w:rPr>
          <w:rFonts w:eastAsia="宋体"/>
        </w:rPr>
        <w:t>《中共中央国务院印发&lt;生态文明体制改革总体方案&gt;》</w:t>
      </w:r>
      <w:r>
        <w:rPr>
          <w:rFonts w:hint="eastAsia" w:eastAsia="宋体"/>
        </w:rPr>
        <w:t>（</w:t>
      </w:r>
      <w:r>
        <w:rPr>
          <w:rFonts w:eastAsia="宋体"/>
        </w:rPr>
        <w:t>2015年9月21日</w:t>
      </w:r>
      <w:r>
        <w:rPr>
          <w:rFonts w:hint="eastAsia" w:eastAsia="宋体"/>
        </w:rPr>
        <w:t>）；</w:t>
      </w:r>
    </w:p>
    <w:p>
      <w:pPr>
        <w:pStyle w:val="361"/>
        <w:spacing w:line="440" w:lineRule="exact"/>
        <w:ind w:firstLineChars="200"/>
        <w:jc w:val="both"/>
        <w:rPr>
          <w:rFonts w:eastAsia="宋体"/>
        </w:rPr>
      </w:pPr>
      <w:r>
        <w:rPr>
          <w:rFonts w:hint="eastAsia" w:eastAsia="宋体"/>
        </w:rPr>
        <w:t>（</w:t>
      </w:r>
      <w:r>
        <w:rPr>
          <w:rFonts w:hint="eastAsia" w:eastAsia="宋体"/>
          <w:lang w:val="en-US" w:eastAsia="zh-CN"/>
        </w:rPr>
        <w:t>14</w:t>
      </w:r>
      <w:r>
        <w:rPr>
          <w:rFonts w:hint="eastAsia" w:eastAsia="宋体"/>
        </w:rPr>
        <w:t>）</w:t>
      </w:r>
      <w:r>
        <w:rPr>
          <w:rFonts w:eastAsia="宋体"/>
        </w:rPr>
        <w:t>《关于印发国家重点生态功能保护区规划纲要的通知》</w:t>
      </w:r>
      <w:r>
        <w:rPr>
          <w:rFonts w:hint="eastAsia" w:eastAsia="宋体"/>
        </w:rPr>
        <w:t>（</w:t>
      </w:r>
      <w:r>
        <w:rPr>
          <w:rFonts w:eastAsia="宋体"/>
        </w:rPr>
        <w:t>环发[2007]165号</w:t>
      </w:r>
      <w:r>
        <w:rPr>
          <w:rFonts w:hint="eastAsia" w:eastAsia="宋体"/>
        </w:rPr>
        <w:t>，</w:t>
      </w:r>
      <w:r>
        <w:rPr>
          <w:rFonts w:eastAsia="宋体"/>
        </w:rPr>
        <w:t>2007年11月3</w:t>
      </w:r>
      <w:r>
        <w:rPr>
          <w:rFonts w:hint="eastAsia" w:eastAsia="宋体"/>
          <w:lang w:val="en-US" w:eastAsia="zh-CN"/>
        </w:rPr>
        <w:t>0</w:t>
      </w:r>
      <w:r>
        <w:rPr>
          <w:rFonts w:eastAsia="宋体"/>
        </w:rPr>
        <w:t>日</w:t>
      </w:r>
      <w:r>
        <w:rPr>
          <w:rFonts w:hint="eastAsia" w:eastAsia="宋体"/>
        </w:rPr>
        <w:t>）</w:t>
      </w:r>
    </w:p>
    <w:p>
      <w:pPr>
        <w:pStyle w:val="361"/>
        <w:spacing w:line="440" w:lineRule="exact"/>
        <w:ind w:firstLineChars="200"/>
        <w:jc w:val="both"/>
        <w:rPr>
          <w:rFonts w:eastAsia="宋体"/>
        </w:rPr>
      </w:pPr>
      <w:r>
        <w:rPr>
          <w:rFonts w:hint="eastAsia" w:eastAsia="宋体"/>
        </w:rPr>
        <w:t>（</w:t>
      </w:r>
      <w:r>
        <w:rPr>
          <w:rFonts w:hint="eastAsia" w:eastAsia="宋体"/>
          <w:lang w:val="en-US" w:eastAsia="zh-CN"/>
        </w:rPr>
        <w:t>15</w:t>
      </w:r>
      <w:r>
        <w:rPr>
          <w:rFonts w:hint="eastAsia" w:eastAsia="宋体"/>
        </w:rPr>
        <w:t>）</w:t>
      </w:r>
      <w:r>
        <w:rPr>
          <w:rFonts w:eastAsia="宋体"/>
        </w:rPr>
        <w:t>《关于印发全国生态脆弱区保护规划纲要的通知》</w:t>
      </w:r>
      <w:r>
        <w:rPr>
          <w:rFonts w:hint="eastAsia" w:eastAsia="宋体"/>
        </w:rPr>
        <w:t>（</w:t>
      </w:r>
      <w:r>
        <w:rPr>
          <w:rFonts w:eastAsia="宋体"/>
        </w:rPr>
        <w:t>环发[2008]92号</w:t>
      </w:r>
      <w:r>
        <w:rPr>
          <w:rFonts w:hint="eastAsia" w:eastAsia="宋体"/>
        </w:rPr>
        <w:t>，</w:t>
      </w:r>
      <w:r>
        <w:rPr>
          <w:rFonts w:eastAsia="宋体"/>
        </w:rPr>
        <w:t>2008年9月27日</w:t>
      </w:r>
      <w:r>
        <w:rPr>
          <w:rFonts w:hint="eastAsia" w:eastAsia="宋体"/>
        </w:rPr>
        <w:t>）</w:t>
      </w:r>
    </w:p>
    <w:p>
      <w:pPr>
        <w:pStyle w:val="361"/>
        <w:spacing w:line="440" w:lineRule="exact"/>
        <w:ind w:firstLineChars="200"/>
        <w:jc w:val="both"/>
        <w:rPr>
          <w:rFonts w:eastAsia="宋体"/>
        </w:rPr>
      </w:pPr>
      <w:r>
        <w:rPr>
          <w:rFonts w:hint="eastAsia" w:eastAsia="宋体"/>
        </w:rPr>
        <w:t>（</w:t>
      </w:r>
      <w:r>
        <w:rPr>
          <w:rFonts w:hint="eastAsia" w:eastAsia="宋体"/>
          <w:lang w:val="en-US" w:eastAsia="zh-CN"/>
        </w:rPr>
        <w:t>16</w:t>
      </w:r>
      <w:r>
        <w:rPr>
          <w:rFonts w:hint="eastAsia" w:eastAsia="宋体"/>
        </w:rPr>
        <w:t>）</w:t>
      </w:r>
      <w:r>
        <w:rPr>
          <w:rFonts w:eastAsia="宋体"/>
        </w:rPr>
        <w:t>《国务院关于印发全国主体功能区规划的通知》</w:t>
      </w:r>
      <w:r>
        <w:rPr>
          <w:rFonts w:hint="eastAsia" w:eastAsia="宋体"/>
        </w:rPr>
        <w:t>（</w:t>
      </w:r>
      <w:r>
        <w:rPr>
          <w:rFonts w:eastAsia="宋体"/>
        </w:rPr>
        <w:t>国发〔2010〕46号</w:t>
      </w:r>
      <w:r>
        <w:rPr>
          <w:rFonts w:hint="eastAsia" w:eastAsia="宋体"/>
        </w:rPr>
        <w:t>，</w:t>
      </w:r>
      <w:r>
        <w:rPr>
          <w:rFonts w:eastAsia="宋体"/>
        </w:rPr>
        <w:t>2010年12月21日</w:t>
      </w:r>
      <w:r>
        <w:rPr>
          <w:rFonts w:hint="eastAsia" w:eastAsia="宋体"/>
        </w:rPr>
        <w:t>）；</w:t>
      </w:r>
    </w:p>
    <w:p>
      <w:pPr>
        <w:pStyle w:val="361"/>
        <w:spacing w:line="440" w:lineRule="exact"/>
        <w:ind w:firstLineChars="200"/>
        <w:jc w:val="both"/>
        <w:rPr>
          <w:rFonts w:eastAsia="宋体"/>
          <w:color w:val="auto"/>
        </w:rPr>
      </w:pPr>
      <w:r>
        <w:rPr>
          <w:rFonts w:hint="eastAsia" w:eastAsia="宋体"/>
          <w:color w:val="auto"/>
        </w:rPr>
        <w:t>（</w:t>
      </w:r>
      <w:r>
        <w:rPr>
          <w:rFonts w:hint="eastAsia" w:eastAsia="宋体"/>
          <w:color w:val="auto"/>
          <w:lang w:val="en-US" w:eastAsia="zh-CN"/>
        </w:rPr>
        <w:t>17</w:t>
      </w:r>
      <w:r>
        <w:rPr>
          <w:rFonts w:hint="eastAsia" w:eastAsia="宋体"/>
          <w:color w:val="auto"/>
        </w:rPr>
        <w:t>）</w:t>
      </w:r>
      <w:r>
        <w:rPr>
          <w:rFonts w:eastAsia="宋体"/>
          <w:color w:val="auto"/>
        </w:rPr>
        <w:t>《水利部办公厅关于印发&lt;全国水土保持规划国家级水土流失重点预防区和重点治理区复核划分成果&gt;的通知》</w:t>
      </w:r>
      <w:r>
        <w:rPr>
          <w:rFonts w:hint="eastAsia" w:eastAsia="宋体"/>
          <w:color w:val="auto"/>
        </w:rPr>
        <w:t>（</w:t>
      </w:r>
      <w:r>
        <w:rPr>
          <w:rFonts w:eastAsia="宋体"/>
          <w:color w:val="auto"/>
        </w:rPr>
        <w:t>办水保[2013]188号</w:t>
      </w:r>
      <w:r>
        <w:rPr>
          <w:rFonts w:hint="eastAsia" w:eastAsia="宋体"/>
          <w:color w:val="auto"/>
        </w:rPr>
        <w:t>，</w:t>
      </w:r>
      <w:r>
        <w:rPr>
          <w:rFonts w:eastAsia="宋体"/>
          <w:color w:val="auto"/>
        </w:rPr>
        <w:t>2013年8月12日</w:t>
      </w:r>
      <w:r>
        <w:rPr>
          <w:rFonts w:hint="eastAsia" w:eastAsia="宋体"/>
          <w:color w:val="auto"/>
        </w:rPr>
        <w:t>）；</w:t>
      </w:r>
    </w:p>
    <w:p>
      <w:pPr>
        <w:adjustRightInd w:val="0"/>
        <w:snapToGrid w:val="0"/>
        <w:spacing w:line="440" w:lineRule="exact"/>
        <w:ind w:firstLine="480" w:firstLineChars="200"/>
        <w:jc w:val="both"/>
        <w:rPr>
          <w:bCs/>
        </w:rPr>
      </w:pPr>
      <w:r>
        <w:rPr>
          <w:bCs/>
        </w:rPr>
        <w:t>（</w:t>
      </w:r>
      <w:r>
        <w:rPr>
          <w:rFonts w:hint="eastAsia"/>
          <w:bCs/>
          <w:lang w:val="en-US" w:eastAsia="zh-CN"/>
        </w:rPr>
        <w:t>18</w:t>
      </w:r>
      <w:r>
        <w:rPr>
          <w:bCs/>
        </w:rPr>
        <w:t>）《山西省环境保护条例》</w:t>
      </w:r>
      <w:r>
        <w:rPr>
          <w:rFonts w:hint="eastAsia"/>
          <w:bCs/>
        </w:rPr>
        <w:t>（ 2016年12月8日修订，自2017年3月1日起施行）；</w:t>
      </w:r>
    </w:p>
    <w:p>
      <w:pPr>
        <w:adjustRightInd w:val="0"/>
        <w:snapToGrid w:val="0"/>
        <w:spacing w:line="440" w:lineRule="exact"/>
        <w:ind w:firstLine="480" w:firstLineChars="200"/>
        <w:jc w:val="both"/>
        <w:rPr>
          <w:bCs/>
        </w:rPr>
      </w:pPr>
      <w:r>
        <w:rPr>
          <w:bCs/>
        </w:rPr>
        <w:t>（</w:t>
      </w:r>
      <w:r>
        <w:rPr>
          <w:rFonts w:hint="eastAsia"/>
          <w:bCs/>
          <w:lang w:val="en-US" w:eastAsia="zh-CN"/>
        </w:rPr>
        <w:t>19</w:t>
      </w:r>
      <w:r>
        <w:rPr>
          <w:bCs/>
        </w:rPr>
        <w:t>）</w:t>
      </w:r>
      <w:r>
        <w:rPr>
          <w:rFonts w:hint="eastAsia"/>
          <w:bCs/>
        </w:rPr>
        <w:t>《山西省地表水水环境功能区划》（DB14/67-2019）（2019年11月1日发布，自2019年11月1日起施行）；</w:t>
      </w:r>
    </w:p>
    <w:p>
      <w:pPr>
        <w:adjustRightInd w:val="0"/>
        <w:snapToGrid w:val="0"/>
        <w:spacing w:line="440" w:lineRule="exact"/>
        <w:ind w:firstLine="480" w:firstLineChars="200"/>
        <w:jc w:val="both"/>
        <w:rPr>
          <w:bCs/>
        </w:rPr>
      </w:pPr>
      <w:r>
        <w:rPr>
          <w:bCs/>
        </w:rPr>
        <w:t>（2</w:t>
      </w:r>
      <w:r>
        <w:rPr>
          <w:rFonts w:hint="eastAsia"/>
          <w:bCs/>
          <w:lang w:val="en-US" w:eastAsia="zh-CN"/>
        </w:rPr>
        <w:t>0</w:t>
      </w:r>
      <w:r>
        <w:rPr>
          <w:bCs/>
        </w:rPr>
        <w:t>）山西省环境保护厅 “关于转发《关于进一步加强环境影响评价管理防范环境风险的通知》”</w:t>
      </w:r>
      <w:r>
        <w:rPr>
          <w:rFonts w:hint="eastAsia"/>
          <w:bCs/>
        </w:rPr>
        <w:t>（</w:t>
      </w:r>
      <w:r>
        <w:rPr>
          <w:bCs/>
        </w:rPr>
        <w:t>晋环发</w:t>
      </w:r>
      <w:r>
        <w:rPr>
          <w:rFonts w:hint="eastAsia"/>
          <w:bCs/>
        </w:rPr>
        <w:t>〔201</w:t>
      </w:r>
      <w:r>
        <w:rPr>
          <w:bCs/>
        </w:rPr>
        <w:t>2</w:t>
      </w:r>
      <w:r>
        <w:rPr>
          <w:rFonts w:hint="eastAsia"/>
          <w:bCs/>
        </w:rPr>
        <w:t>〕</w:t>
      </w:r>
      <w:r>
        <w:rPr>
          <w:bCs/>
        </w:rPr>
        <w:t>309号</w:t>
      </w:r>
      <w:r>
        <w:rPr>
          <w:rFonts w:hint="eastAsia"/>
          <w:bCs/>
        </w:rPr>
        <w:t>，</w:t>
      </w:r>
      <w:r>
        <w:rPr>
          <w:bCs/>
        </w:rPr>
        <w:t>2012年8月21日</w:t>
      </w:r>
      <w:r>
        <w:rPr>
          <w:rFonts w:hint="eastAsia"/>
          <w:bCs/>
        </w:rPr>
        <w:t>发布）</w:t>
      </w:r>
      <w:r>
        <w:rPr>
          <w:bCs/>
        </w:rPr>
        <w:t>；</w:t>
      </w:r>
    </w:p>
    <w:p>
      <w:pPr>
        <w:adjustRightInd w:val="0"/>
        <w:snapToGrid w:val="0"/>
        <w:spacing w:line="440" w:lineRule="exact"/>
        <w:ind w:firstLine="480" w:firstLineChars="200"/>
        <w:jc w:val="both"/>
        <w:rPr>
          <w:bCs/>
        </w:rPr>
      </w:pPr>
      <w:r>
        <w:rPr>
          <w:bCs/>
        </w:rPr>
        <w:t>（2</w:t>
      </w:r>
      <w:r>
        <w:rPr>
          <w:rFonts w:hint="eastAsia"/>
          <w:bCs/>
          <w:lang w:val="en-US" w:eastAsia="zh-CN"/>
        </w:rPr>
        <w:t>1</w:t>
      </w:r>
      <w:r>
        <w:rPr>
          <w:bCs/>
        </w:rPr>
        <w:t>）山西省环境保护厅</w:t>
      </w:r>
      <w:r>
        <w:rPr>
          <w:rFonts w:hint="eastAsia"/>
          <w:bCs/>
        </w:rPr>
        <w:t>《</w:t>
      </w:r>
      <w:r>
        <w:rPr>
          <w:bCs/>
        </w:rPr>
        <w:t>关于进一步简化环境影响评价工作和竣工验收监测报告程序及内容的通知</w:t>
      </w:r>
      <w:r>
        <w:rPr>
          <w:rFonts w:hint="eastAsia"/>
          <w:bCs/>
        </w:rPr>
        <w:t>》（</w:t>
      </w:r>
      <w:r>
        <w:rPr>
          <w:bCs/>
        </w:rPr>
        <w:t>晋环发</w:t>
      </w:r>
      <w:r>
        <w:rPr>
          <w:rFonts w:hint="eastAsia"/>
          <w:bCs/>
        </w:rPr>
        <w:t>〔201</w:t>
      </w:r>
      <w:r>
        <w:rPr>
          <w:bCs/>
        </w:rPr>
        <w:t>3</w:t>
      </w:r>
      <w:r>
        <w:rPr>
          <w:rFonts w:hint="eastAsia"/>
          <w:bCs/>
        </w:rPr>
        <w:t>〕</w:t>
      </w:r>
      <w:r>
        <w:rPr>
          <w:bCs/>
        </w:rPr>
        <w:t>86号文</w:t>
      </w:r>
      <w:r>
        <w:rPr>
          <w:rFonts w:hint="eastAsia"/>
          <w:bCs/>
        </w:rPr>
        <w:t>，</w:t>
      </w:r>
      <w:r>
        <w:rPr>
          <w:bCs/>
        </w:rPr>
        <w:t>2013年11月3日</w:t>
      </w:r>
      <w:r>
        <w:rPr>
          <w:rFonts w:hint="eastAsia"/>
          <w:bCs/>
        </w:rPr>
        <w:t>发布）</w:t>
      </w:r>
      <w:r>
        <w:rPr>
          <w:bCs/>
        </w:rPr>
        <w:t>；</w:t>
      </w:r>
    </w:p>
    <w:p>
      <w:pPr>
        <w:adjustRightInd w:val="0"/>
        <w:snapToGrid w:val="0"/>
        <w:spacing w:line="440" w:lineRule="exact"/>
        <w:ind w:firstLine="480" w:firstLineChars="200"/>
        <w:jc w:val="both"/>
        <w:rPr>
          <w:bCs/>
        </w:rPr>
      </w:pPr>
      <w:r>
        <w:rPr>
          <w:bCs/>
        </w:rPr>
        <w:t>（2</w:t>
      </w:r>
      <w:r>
        <w:rPr>
          <w:rFonts w:hint="eastAsia"/>
          <w:bCs/>
          <w:lang w:val="en-US" w:eastAsia="zh-CN"/>
        </w:rPr>
        <w:t>2</w:t>
      </w:r>
      <w:r>
        <w:rPr>
          <w:bCs/>
        </w:rPr>
        <w:t>）山西省环境保护厅《关于转发环境保护部办公厅《关于印发&lt;建设项目环境影响评价政府信息公开指南（实行）&gt;的通知》的通知》</w:t>
      </w:r>
      <w:r>
        <w:rPr>
          <w:rFonts w:hint="eastAsia"/>
          <w:bCs/>
        </w:rPr>
        <w:t>（</w:t>
      </w:r>
      <w:r>
        <w:rPr>
          <w:bCs/>
        </w:rPr>
        <w:t>晋环办发</w:t>
      </w:r>
      <w:r>
        <w:rPr>
          <w:rFonts w:hint="eastAsia"/>
          <w:bCs/>
        </w:rPr>
        <w:t>〔201</w:t>
      </w:r>
      <w:r>
        <w:rPr>
          <w:bCs/>
        </w:rPr>
        <w:t>3</w:t>
      </w:r>
      <w:r>
        <w:rPr>
          <w:rFonts w:hint="eastAsia"/>
          <w:bCs/>
        </w:rPr>
        <w:t>〕</w:t>
      </w:r>
      <w:r>
        <w:rPr>
          <w:bCs/>
        </w:rPr>
        <w:t>106号，2013年12月</w:t>
      </w:r>
      <w:r>
        <w:rPr>
          <w:rFonts w:hint="eastAsia"/>
          <w:bCs/>
        </w:rPr>
        <w:t>25</w:t>
      </w:r>
      <w:r>
        <w:rPr>
          <w:bCs/>
        </w:rPr>
        <w:t>日</w:t>
      </w:r>
      <w:r>
        <w:rPr>
          <w:rFonts w:hint="eastAsia"/>
          <w:bCs/>
        </w:rPr>
        <w:t>发布）</w:t>
      </w:r>
      <w:r>
        <w:rPr>
          <w:bCs/>
        </w:rPr>
        <w:t>；</w:t>
      </w:r>
    </w:p>
    <w:p>
      <w:pPr>
        <w:adjustRightInd w:val="0"/>
        <w:snapToGrid w:val="0"/>
        <w:spacing w:line="440" w:lineRule="exact"/>
        <w:ind w:firstLine="480" w:firstLineChars="200"/>
        <w:jc w:val="both"/>
        <w:rPr>
          <w:bCs/>
        </w:rPr>
      </w:pPr>
      <w:r>
        <w:rPr>
          <w:bCs/>
        </w:rPr>
        <w:t>（</w:t>
      </w:r>
      <w:r>
        <w:rPr>
          <w:rFonts w:hint="eastAsia"/>
          <w:bCs/>
        </w:rPr>
        <w:t>2</w:t>
      </w:r>
      <w:r>
        <w:rPr>
          <w:rFonts w:hint="eastAsia"/>
          <w:bCs/>
          <w:lang w:val="en-US" w:eastAsia="zh-CN"/>
        </w:rPr>
        <w:t>3</w:t>
      </w:r>
      <w:r>
        <w:rPr>
          <w:bCs/>
        </w:rPr>
        <w:t>）山西省环境保护厅《关于印发山西省环境保护厅建设项目主要污染物排放总量核定办法》的通知</w:t>
      </w:r>
      <w:r>
        <w:rPr>
          <w:rFonts w:hint="eastAsia"/>
          <w:bCs/>
        </w:rPr>
        <w:t>（</w:t>
      </w:r>
      <w:r>
        <w:rPr>
          <w:bCs/>
        </w:rPr>
        <w:t>晋环发[2015]25号文</w:t>
      </w:r>
      <w:r>
        <w:rPr>
          <w:rFonts w:hint="eastAsia"/>
          <w:bCs/>
        </w:rPr>
        <w:t>，</w:t>
      </w:r>
      <w:r>
        <w:rPr>
          <w:bCs/>
        </w:rPr>
        <w:t>2015年</w:t>
      </w:r>
      <w:r>
        <w:rPr>
          <w:rFonts w:hint="eastAsia"/>
          <w:bCs/>
        </w:rPr>
        <w:t>3</w:t>
      </w:r>
      <w:r>
        <w:rPr>
          <w:bCs/>
        </w:rPr>
        <w:t>月</w:t>
      </w:r>
      <w:r>
        <w:rPr>
          <w:rFonts w:hint="eastAsia"/>
          <w:bCs/>
        </w:rPr>
        <w:t>19</w:t>
      </w:r>
      <w:r>
        <w:rPr>
          <w:bCs/>
        </w:rPr>
        <w:t>日</w:t>
      </w:r>
      <w:r>
        <w:rPr>
          <w:rFonts w:hint="eastAsia"/>
          <w:bCs/>
        </w:rPr>
        <w:t>发布）</w:t>
      </w:r>
      <w:r>
        <w:rPr>
          <w:bCs/>
        </w:rPr>
        <w:t>；</w:t>
      </w:r>
    </w:p>
    <w:p>
      <w:pPr>
        <w:adjustRightInd w:val="0"/>
        <w:snapToGrid w:val="0"/>
        <w:spacing w:line="440" w:lineRule="exact"/>
        <w:ind w:firstLine="480" w:firstLineChars="200"/>
        <w:jc w:val="both"/>
        <w:rPr>
          <w:bCs/>
        </w:rPr>
      </w:pPr>
      <w:r>
        <w:rPr>
          <w:bCs/>
        </w:rPr>
        <w:t>（</w:t>
      </w:r>
      <w:r>
        <w:rPr>
          <w:rFonts w:hint="eastAsia"/>
          <w:bCs/>
          <w:lang w:val="en-US" w:eastAsia="zh-CN"/>
        </w:rPr>
        <w:t>24</w:t>
      </w:r>
      <w:r>
        <w:rPr>
          <w:bCs/>
        </w:rPr>
        <w:t>）山西省</w:t>
      </w:r>
      <w:r>
        <w:rPr>
          <w:rFonts w:hint="eastAsia"/>
          <w:bCs/>
        </w:rPr>
        <w:t>生态环境厅</w:t>
      </w:r>
      <w:r>
        <w:rPr>
          <w:bCs/>
        </w:rPr>
        <w:t>关于</w:t>
      </w:r>
      <w:r>
        <w:rPr>
          <w:rFonts w:hint="eastAsia"/>
          <w:bCs/>
        </w:rPr>
        <w:t>发布《</w:t>
      </w:r>
      <w:r>
        <w:rPr>
          <w:bCs/>
        </w:rPr>
        <w:t>山西省</w:t>
      </w:r>
      <w:r>
        <w:rPr>
          <w:rFonts w:hint="eastAsia"/>
          <w:bCs/>
        </w:rPr>
        <w:t>生态环境</w:t>
      </w:r>
      <w:r>
        <w:rPr>
          <w:bCs/>
        </w:rPr>
        <w:t>厅审批环境影响评价文件的建设项目目录</w:t>
      </w:r>
      <w:r>
        <w:rPr>
          <w:rFonts w:hint="eastAsia"/>
          <w:bCs/>
        </w:rPr>
        <w:t>(</w:t>
      </w:r>
      <w:r>
        <w:rPr>
          <w:bCs/>
        </w:rPr>
        <w:t>201</w:t>
      </w:r>
      <w:r>
        <w:rPr>
          <w:rFonts w:hint="eastAsia"/>
          <w:bCs/>
        </w:rPr>
        <w:t>9</w:t>
      </w:r>
      <w:r>
        <w:rPr>
          <w:bCs/>
        </w:rPr>
        <w:t>年本</w:t>
      </w:r>
      <w:r>
        <w:rPr>
          <w:rFonts w:hint="eastAsia"/>
          <w:bCs/>
        </w:rPr>
        <w:t>)》</w:t>
      </w:r>
      <w:r>
        <w:rPr>
          <w:bCs/>
        </w:rPr>
        <w:t>的通</w:t>
      </w:r>
      <w:r>
        <w:rPr>
          <w:rFonts w:hint="eastAsia"/>
          <w:bCs/>
        </w:rPr>
        <w:t>告（</w:t>
      </w:r>
      <w:r>
        <w:rPr>
          <w:bCs/>
        </w:rPr>
        <w:t>201</w:t>
      </w:r>
      <w:r>
        <w:rPr>
          <w:rFonts w:hint="eastAsia"/>
          <w:bCs/>
        </w:rPr>
        <w:t>9</w:t>
      </w:r>
      <w:r>
        <w:rPr>
          <w:bCs/>
        </w:rPr>
        <w:t>年</w:t>
      </w:r>
      <w:r>
        <w:rPr>
          <w:rFonts w:hint="eastAsia"/>
          <w:bCs/>
        </w:rPr>
        <w:t>8</w:t>
      </w:r>
      <w:r>
        <w:rPr>
          <w:bCs/>
        </w:rPr>
        <w:t>月</w:t>
      </w:r>
      <w:r>
        <w:rPr>
          <w:rFonts w:hint="eastAsia"/>
          <w:bCs/>
        </w:rPr>
        <w:t>21日发布）；</w:t>
      </w:r>
    </w:p>
    <w:p>
      <w:pPr>
        <w:adjustRightInd w:val="0"/>
        <w:snapToGrid w:val="0"/>
        <w:spacing w:line="440" w:lineRule="exact"/>
        <w:ind w:firstLine="480" w:firstLineChars="200"/>
        <w:jc w:val="both"/>
        <w:rPr>
          <w:bCs/>
        </w:rPr>
      </w:pPr>
      <w:r>
        <w:rPr>
          <w:rFonts w:hint="eastAsia"/>
          <w:bCs/>
        </w:rPr>
        <w:t>（</w:t>
      </w:r>
      <w:r>
        <w:rPr>
          <w:rFonts w:hint="eastAsia"/>
          <w:bCs/>
          <w:lang w:val="en-US" w:eastAsia="zh-CN"/>
        </w:rPr>
        <w:t>25</w:t>
      </w:r>
      <w:r>
        <w:rPr>
          <w:rFonts w:hint="eastAsia"/>
          <w:bCs/>
        </w:rPr>
        <w:t>）山西省</w:t>
      </w:r>
      <w:r>
        <w:rPr>
          <w:bCs/>
        </w:rPr>
        <w:t>环保厅</w:t>
      </w:r>
      <w:r>
        <w:rPr>
          <w:rFonts w:hint="eastAsia"/>
          <w:bCs/>
        </w:rPr>
        <w:t>《</w:t>
      </w:r>
      <w:r>
        <w:rPr>
          <w:bCs/>
        </w:rPr>
        <w:t>关于做好建设项目环境保护管理</w:t>
      </w:r>
      <w:r>
        <w:rPr>
          <w:rFonts w:hint="eastAsia"/>
          <w:bCs/>
        </w:rPr>
        <w:t>相关</w:t>
      </w:r>
      <w:r>
        <w:rPr>
          <w:bCs/>
        </w:rPr>
        <w:t>工作的通知</w:t>
      </w:r>
      <w:r>
        <w:rPr>
          <w:rFonts w:hint="eastAsia"/>
          <w:bCs/>
        </w:rPr>
        <w:t>》（晋环许可函[2018]39号，</w:t>
      </w:r>
      <w:r>
        <w:rPr>
          <w:bCs/>
        </w:rPr>
        <w:t>2018年1月17日</w:t>
      </w:r>
      <w:r>
        <w:rPr>
          <w:rFonts w:hint="eastAsia"/>
          <w:bCs/>
        </w:rPr>
        <w:t>发布）</w:t>
      </w:r>
      <w:r>
        <w:rPr>
          <w:bCs/>
        </w:rPr>
        <w:t>；</w:t>
      </w:r>
    </w:p>
    <w:p>
      <w:pPr>
        <w:adjustRightInd w:val="0"/>
        <w:snapToGrid w:val="0"/>
        <w:spacing w:line="440" w:lineRule="exact"/>
        <w:ind w:firstLine="480" w:firstLineChars="200"/>
        <w:jc w:val="both"/>
        <w:rPr>
          <w:bCs/>
        </w:rPr>
      </w:pPr>
      <w:r>
        <w:rPr>
          <w:rFonts w:hint="eastAsia"/>
          <w:bCs/>
        </w:rPr>
        <w:t>（</w:t>
      </w:r>
      <w:r>
        <w:rPr>
          <w:rFonts w:hint="eastAsia"/>
          <w:bCs/>
          <w:lang w:val="en-US" w:eastAsia="zh-CN"/>
        </w:rPr>
        <w:t>26</w:t>
      </w:r>
      <w:r>
        <w:rPr>
          <w:rFonts w:hint="eastAsia"/>
          <w:bCs/>
        </w:rPr>
        <w:t>）</w:t>
      </w:r>
      <w:r>
        <w:rPr>
          <w:rFonts w:hint="eastAsia"/>
          <w:bCs/>
          <w:lang w:val="zh-CN"/>
        </w:rPr>
        <w:t>山西省人民政府办公厅《关于开展2018-2019年秋冬季大气污染综合治理攻坚行动促进空气质量进一步改善的通知》（</w:t>
      </w:r>
      <w:r>
        <w:rPr>
          <w:rFonts w:hint="eastAsia"/>
          <w:bCs/>
        </w:rPr>
        <w:t>晋政办发[2018]67号，2018年10月15日发布</w:t>
      </w:r>
      <w:r>
        <w:rPr>
          <w:rFonts w:hint="eastAsia"/>
          <w:bCs/>
          <w:lang w:val="zh-CN"/>
        </w:rPr>
        <w:t>）；</w:t>
      </w:r>
    </w:p>
    <w:p>
      <w:pPr>
        <w:adjustRightInd w:val="0"/>
        <w:snapToGrid w:val="0"/>
        <w:spacing w:line="440" w:lineRule="exact"/>
        <w:ind w:firstLine="480" w:firstLineChars="200"/>
        <w:jc w:val="both"/>
        <w:rPr>
          <w:bCs/>
        </w:rPr>
      </w:pPr>
      <w:r>
        <w:rPr>
          <w:rFonts w:hint="eastAsia"/>
          <w:bCs/>
        </w:rPr>
        <w:t>（</w:t>
      </w:r>
      <w:r>
        <w:rPr>
          <w:rFonts w:hint="eastAsia"/>
          <w:bCs/>
          <w:lang w:val="en-US" w:eastAsia="zh-CN"/>
        </w:rPr>
        <w:t>27</w:t>
      </w:r>
      <w:r>
        <w:rPr>
          <w:rFonts w:hint="eastAsia"/>
          <w:bCs/>
        </w:rPr>
        <w:t>）</w:t>
      </w:r>
      <w:r>
        <w:rPr>
          <w:bCs/>
        </w:rPr>
        <w:t>山西省人民政府办公厅</w:t>
      </w:r>
      <w:r>
        <w:rPr>
          <w:rFonts w:hint="eastAsia"/>
          <w:bCs/>
        </w:rPr>
        <w:t>《</w:t>
      </w:r>
      <w:r>
        <w:rPr>
          <w:bCs/>
        </w:rPr>
        <w:t>关于印发山西省大气污染防治2018年行动计划的通知</w:t>
      </w:r>
      <w:r>
        <w:rPr>
          <w:rFonts w:hint="eastAsia"/>
          <w:bCs/>
        </w:rPr>
        <w:t>》（晋政办发[2018]52号，</w:t>
      </w:r>
      <w:r>
        <w:t>2018年5月25日</w:t>
      </w:r>
      <w:r>
        <w:rPr>
          <w:rFonts w:hint="eastAsia"/>
        </w:rPr>
        <w:t>发布</w:t>
      </w:r>
      <w:r>
        <w:rPr>
          <w:rFonts w:hint="eastAsia"/>
          <w:bCs/>
        </w:rPr>
        <w:t>）</w:t>
      </w:r>
      <w:r>
        <w:t>；</w:t>
      </w:r>
    </w:p>
    <w:p>
      <w:pPr>
        <w:adjustRightInd w:val="0"/>
        <w:snapToGrid w:val="0"/>
        <w:spacing w:line="440" w:lineRule="exact"/>
        <w:ind w:firstLine="480" w:firstLineChars="200"/>
        <w:jc w:val="both"/>
        <w:rPr>
          <w:bCs/>
        </w:rPr>
      </w:pPr>
      <w:r>
        <w:rPr>
          <w:rFonts w:hint="eastAsia"/>
          <w:bCs/>
        </w:rPr>
        <w:t>（</w:t>
      </w:r>
      <w:r>
        <w:rPr>
          <w:rFonts w:hint="eastAsia"/>
          <w:bCs/>
          <w:lang w:val="en-US" w:eastAsia="zh-CN"/>
        </w:rPr>
        <w:t>28</w:t>
      </w:r>
      <w:r>
        <w:rPr>
          <w:rFonts w:hint="eastAsia"/>
          <w:bCs/>
        </w:rPr>
        <w:t>）山西省</w:t>
      </w:r>
      <w:r>
        <w:rPr>
          <w:bCs/>
        </w:rPr>
        <w:t>人民政府办公厅</w:t>
      </w:r>
      <w:r>
        <w:rPr>
          <w:rFonts w:hint="eastAsia"/>
          <w:bCs/>
        </w:rPr>
        <w:t>《</w:t>
      </w:r>
      <w:r>
        <w:rPr>
          <w:bCs/>
        </w:rPr>
        <w:t>关于印发山西省</w:t>
      </w:r>
      <w:r>
        <w:rPr>
          <w:rFonts w:hint="eastAsia"/>
          <w:bCs/>
        </w:rPr>
        <w:t>水</w:t>
      </w:r>
      <w:r>
        <w:rPr>
          <w:bCs/>
        </w:rPr>
        <w:t>污染防治</w:t>
      </w:r>
      <w:r>
        <w:rPr>
          <w:rFonts w:hint="eastAsia"/>
          <w:bCs/>
        </w:rPr>
        <w:t>2018年</w:t>
      </w:r>
      <w:r>
        <w:rPr>
          <w:bCs/>
        </w:rPr>
        <w:t>行动计划的通知</w:t>
      </w:r>
      <w:r>
        <w:rPr>
          <w:rFonts w:hint="eastAsia"/>
          <w:bCs/>
        </w:rPr>
        <w:t>》（晋政办发[2018]5</w:t>
      </w:r>
      <w:r>
        <w:rPr>
          <w:bCs/>
        </w:rPr>
        <w:t>5</w:t>
      </w:r>
      <w:r>
        <w:rPr>
          <w:rFonts w:hint="eastAsia"/>
          <w:bCs/>
        </w:rPr>
        <w:t>号，</w:t>
      </w:r>
      <w:r>
        <w:rPr>
          <w:bCs/>
        </w:rPr>
        <w:t>2018年5月28日</w:t>
      </w:r>
      <w:r>
        <w:rPr>
          <w:rFonts w:hint="eastAsia"/>
          <w:bCs/>
        </w:rPr>
        <w:t>发布）</w:t>
      </w:r>
      <w:r>
        <w:rPr>
          <w:bCs/>
        </w:rPr>
        <w:t>；</w:t>
      </w:r>
    </w:p>
    <w:p>
      <w:pPr>
        <w:adjustRightInd w:val="0"/>
        <w:snapToGrid w:val="0"/>
        <w:spacing w:line="440" w:lineRule="exact"/>
        <w:ind w:firstLine="480" w:firstLineChars="200"/>
        <w:jc w:val="both"/>
        <w:rPr>
          <w:bCs/>
        </w:rPr>
      </w:pPr>
      <w:r>
        <w:rPr>
          <w:rFonts w:hint="eastAsia"/>
          <w:bCs/>
        </w:rPr>
        <w:t>（</w:t>
      </w:r>
      <w:r>
        <w:rPr>
          <w:rFonts w:hint="eastAsia"/>
          <w:bCs/>
          <w:lang w:val="en-US" w:eastAsia="zh-CN"/>
        </w:rPr>
        <w:t>29</w:t>
      </w:r>
      <w:r>
        <w:rPr>
          <w:rFonts w:hint="eastAsia"/>
          <w:bCs/>
        </w:rPr>
        <w:t>）山西省人民政府《关于印发山西省打赢蓝天保卫战三年行动计划的通知》（晋政发[2018]30号，</w:t>
      </w:r>
      <w:r>
        <w:rPr>
          <w:bCs/>
        </w:rPr>
        <w:t>2018年7月29日</w:t>
      </w:r>
      <w:r>
        <w:rPr>
          <w:rFonts w:hint="eastAsia"/>
          <w:bCs/>
        </w:rPr>
        <w:t>发布）</w:t>
      </w:r>
      <w:r>
        <w:rPr>
          <w:bCs/>
        </w:rPr>
        <w:t>；</w:t>
      </w:r>
    </w:p>
    <w:p>
      <w:pPr>
        <w:adjustRightInd w:val="0"/>
        <w:snapToGrid w:val="0"/>
        <w:spacing w:line="440" w:lineRule="exact"/>
        <w:ind w:firstLine="480" w:firstLineChars="200"/>
        <w:jc w:val="both"/>
        <w:rPr>
          <w:bCs/>
        </w:rPr>
      </w:pPr>
      <w:r>
        <w:rPr>
          <w:rFonts w:hint="eastAsia"/>
          <w:bCs/>
        </w:rPr>
        <w:t>（3</w:t>
      </w:r>
      <w:r>
        <w:rPr>
          <w:rFonts w:hint="eastAsia"/>
          <w:bCs/>
          <w:lang w:val="en-US" w:eastAsia="zh-CN"/>
        </w:rPr>
        <w:t>0</w:t>
      </w:r>
      <w:r>
        <w:rPr>
          <w:rFonts w:hint="eastAsia"/>
          <w:bCs/>
        </w:rPr>
        <w:t>）山西省</w:t>
      </w:r>
      <w:r>
        <w:rPr>
          <w:bCs/>
        </w:rPr>
        <w:t>人民政府办公厅</w:t>
      </w:r>
      <w:r>
        <w:rPr>
          <w:rFonts w:hint="eastAsia"/>
          <w:bCs/>
        </w:rPr>
        <w:t>《</w:t>
      </w:r>
      <w:r>
        <w:rPr>
          <w:bCs/>
        </w:rPr>
        <w:t>关于印发山西省</w:t>
      </w:r>
      <w:r>
        <w:rPr>
          <w:rFonts w:hint="eastAsia"/>
          <w:bCs/>
        </w:rPr>
        <w:t>打赢蓝天保卫战2019年行动计划的通知》（晋政办发[2019]39号，</w:t>
      </w:r>
      <w:r>
        <w:rPr>
          <w:bCs/>
        </w:rPr>
        <w:t>201</w:t>
      </w:r>
      <w:r>
        <w:rPr>
          <w:rFonts w:hint="eastAsia"/>
          <w:bCs/>
        </w:rPr>
        <w:t>9</w:t>
      </w:r>
      <w:r>
        <w:rPr>
          <w:bCs/>
        </w:rPr>
        <w:t>年</w:t>
      </w:r>
      <w:r>
        <w:rPr>
          <w:rFonts w:hint="eastAsia"/>
          <w:bCs/>
        </w:rPr>
        <w:t>6</w:t>
      </w:r>
      <w:r>
        <w:rPr>
          <w:bCs/>
        </w:rPr>
        <w:t>月</w:t>
      </w:r>
      <w:r>
        <w:rPr>
          <w:rFonts w:hint="eastAsia"/>
          <w:bCs/>
        </w:rPr>
        <w:t>3</w:t>
      </w:r>
      <w:r>
        <w:rPr>
          <w:bCs/>
        </w:rPr>
        <w:t>日</w:t>
      </w:r>
      <w:r>
        <w:rPr>
          <w:rFonts w:hint="eastAsia"/>
          <w:bCs/>
        </w:rPr>
        <w:t>发布）</w:t>
      </w:r>
      <w:r>
        <w:rPr>
          <w:bCs/>
        </w:rPr>
        <w:t>；</w:t>
      </w:r>
    </w:p>
    <w:p>
      <w:pPr>
        <w:adjustRightInd w:val="0"/>
        <w:snapToGrid w:val="0"/>
        <w:spacing w:line="440" w:lineRule="exact"/>
        <w:ind w:firstLine="480" w:firstLineChars="200"/>
        <w:jc w:val="both"/>
        <w:rPr>
          <w:bCs/>
        </w:rPr>
      </w:pPr>
      <w:r>
        <w:rPr>
          <w:rFonts w:hint="eastAsia"/>
          <w:bCs/>
        </w:rPr>
        <w:t>（3</w:t>
      </w:r>
      <w:r>
        <w:rPr>
          <w:rFonts w:hint="eastAsia"/>
          <w:bCs/>
          <w:lang w:val="en-US" w:eastAsia="zh-CN"/>
        </w:rPr>
        <w:t>1</w:t>
      </w:r>
      <w:r>
        <w:rPr>
          <w:rFonts w:hint="eastAsia"/>
          <w:bCs/>
        </w:rPr>
        <w:t>）山西省</w:t>
      </w:r>
      <w:r>
        <w:rPr>
          <w:bCs/>
        </w:rPr>
        <w:t>环境保护厅</w:t>
      </w:r>
      <w:r>
        <w:rPr>
          <w:rFonts w:hint="eastAsia"/>
          <w:bCs/>
        </w:rPr>
        <w:t>、</w:t>
      </w:r>
      <w:r>
        <w:rPr>
          <w:bCs/>
        </w:rPr>
        <w:t>山西</w:t>
      </w:r>
      <w:r>
        <w:rPr>
          <w:rFonts w:hint="eastAsia"/>
          <w:bCs/>
        </w:rPr>
        <w:t>省质量</w:t>
      </w:r>
      <w:r>
        <w:rPr>
          <w:bCs/>
        </w:rPr>
        <w:t>技术监督局</w:t>
      </w:r>
      <w:r>
        <w:rPr>
          <w:rFonts w:hint="eastAsia"/>
          <w:bCs/>
        </w:rPr>
        <w:t>《</w:t>
      </w:r>
      <w:r>
        <w:rPr>
          <w:bCs/>
        </w:rPr>
        <w:t>关于在全省范围</w:t>
      </w:r>
      <w:r>
        <w:rPr>
          <w:rFonts w:hint="eastAsia"/>
          <w:bCs/>
        </w:rPr>
        <w:t>执行</w:t>
      </w:r>
      <w:r>
        <w:rPr>
          <w:bCs/>
        </w:rPr>
        <w:t>大气污染物特别排放限制的公告</w:t>
      </w:r>
      <w:r>
        <w:rPr>
          <w:rFonts w:hint="eastAsia"/>
          <w:bCs/>
        </w:rPr>
        <w:t>》（2018年</w:t>
      </w:r>
      <w:r>
        <w:rPr>
          <w:bCs/>
        </w:rPr>
        <w:t>第</w:t>
      </w:r>
      <w:r>
        <w:rPr>
          <w:rFonts w:hint="eastAsia"/>
          <w:bCs/>
        </w:rPr>
        <w:t>1号</w:t>
      </w:r>
      <w:r>
        <w:rPr>
          <w:bCs/>
        </w:rPr>
        <w:t>，</w:t>
      </w:r>
      <w:r>
        <w:rPr>
          <w:rFonts w:hint="eastAsia"/>
          <w:bCs/>
        </w:rPr>
        <w:t>2018年6月15日发布）</w:t>
      </w:r>
      <w:r>
        <w:rPr>
          <w:bCs/>
        </w:rPr>
        <w:t>；</w:t>
      </w:r>
    </w:p>
    <w:p>
      <w:pPr>
        <w:pStyle w:val="361"/>
        <w:spacing w:line="440" w:lineRule="exact"/>
        <w:ind w:firstLineChars="200"/>
        <w:jc w:val="both"/>
        <w:rPr>
          <w:rFonts w:eastAsia="宋体"/>
        </w:rPr>
      </w:pPr>
      <w:r>
        <w:rPr>
          <w:rFonts w:hint="eastAsia" w:eastAsia="宋体"/>
        </w:rPr>
        <w:t>（3</w:t>
      </w:r>
      <w:r>
        <w:rPr>
          <w:rFonts w:hint="eastAsia" w:eastAsia="宋体"/>
          <w:lang w:val="en-US" w:eastAsia="zh-CN"/>
        </w:rPr>
        <w:t>2</w:t>
      </w:r>
      <w:r>
        <w:rPr>
          <w:rFonts w:hint="eastAsia" w:eastAsia="宋体"/>
        </w:rPr>
        <w:t>）</w:t>
      </w:r>
      <w:r>
        <w:rPr>
          <w:rFonts w:eastAsia="宋体"/>
        </w:rPr>
        <w:t>《关于加强非煤矿产资源开采项目环境保护监管的通知》</w:t>
      </w:r>
      <w:r>
        <w:rPr>
          <w:rFonts w:hint="eastAsia" w:eastAsia="宋体"/>
        </w:rPr>
        <w:t>（</w:t>
      </w:r>
      <w:r>
        <w:rPr>
          <w:rFonts w:eastAsia="宋体"/>
        </w:rPr>
        <w:t>晋环发[2010]415号</w:t>
      </w:r>
      <w:r>
        <w:rPr>
          <w:rFonts w:hint="eastAsia" w:eastAsia="宋体"/>
        </w:rPr>
        <w:t>，</w:t>
      </w:r>
      <w:r>
        <w:rPr>
          <w:rFonts w:eastAsia="宋体"/>
        </w:rPr>
        <w:t>2010年12月8日</w:t>
      </w:r>
      <w:r>
        <w:rPr>
          <w:rFonts w:hint="eastAsia" w:eastAsia="宋体"/>
        </w:rPr>
        <w:t>）；</w:t>
      </w:r>
    </w:p>
    <w:p>
      <w:pPr>
        <w:pStyle w:val="361"/>
        <w:spacing w:line="440" w:lineRule="exact"/>
        <w:ind w:firstLineChars="200"/>
        <w:jc w:val="both"/>
        <w:rPr>
          <w:rFonts w:eastAsia="宋体"/>
        </w:rPr>
      </w:pPr>
      <w:r>
        <w:rPr>
          <w:rFonts w:hint="eastAsia" w:eastAsia="宋体"/>
        </w:rPr>
        <w:t>（</w:t>
      </w:r>
      <w:r>
        <w:rPr>
          <w:rFonts w:hint="eastAsia" w:eastAsia="宋体"/>
          <w:lang w:val="en-US" w:eastAsia="zh-CN"/>
        </w:rPr>
        <w:t>33</w:t>
      </w:r>
      <w:r>
        <w:rPr>
          <w:rFonts w:hint="eastAsia" w:eastAsia="宋体"/>
        </w:rPr>
        <w:t>）</w:t>
      </w:r>
      <w:r>
        <w:rPr>
          <w:rFonts w:eastAsia="宋体"/>
        </w:rPr>
        <w:t>《关于印发忻州市大气污染防治2018年行动计划的通知》</w:t>
      </w:r>
      <w:r>
        <w:rPr>
          <w:rFonts w:hint="eastAsia" w:eastAsia="宋体"/>
        </w:rPr>
        <w:t>（</w:t>
      </w:r>
      <w:r>
        <w:rPr>
          <w:rFonts w:eastAsia="宋体"/>
        </w:rPr>
        <w:t>忻政办发〔2018〕87号</w:t>
      </w:r>
      <w:r>
        <w:rPr>
          <w:rFonts w:hint="eastAsia" w:eastAsia="宋体"/>
        </w:rPr>
        <w:t>，</w:t>
      </w:r>
      <w:r>
        <w:rPr>
          <w:rFonts w:eastAsia="宋体"/>
        </w:rPr>
        <w:t>2018年6月21日</w:t>
      </w:r>
      <w:r>
        <w:rPr>
          <w:rFonts w:hint="eastAsia" w:eastAsia="宋体"/>
        </w:rPr>
        <w:t>）；</w:t>
      </w:r>
    </w:p>
    <w:p>
      <w:pPr>
        <w:pStyle w:val="361"/>
        <w:spacing w:line="440" w:lineRule="exact"/>
        <w:ind w:firstLineChars="200"/>
        <w:jc w:val="both"/>
        <w:rPr>
          <w:rFonts w:eastAsia="宋体"/>
        </w:rPr>
      </w:pPr>
      <w:r>
        <w:rPr>
          <w:rFonts w:hint="eastAsia" w:eastAsia="宋体"/>
        </w:rPr>
        <w:t>（</w:t>
      </w:r>
      <w:r>
        <w:rPr>
          <w:rFonts w:hint="eastAsia" w:eastAsia="宋体"/>
          <w:lang w:val="en-US" w:eastAsia="zh-CN"/>
        </w:rPr>
        <w:t>34</w:t>
      </w:r>
      <w:r>
        <w:rPr>
          <w:rFonts w:hint="eastAsia" w:eastAsia="宋体"/>
        </w:rPr>
        <w:t>）</w:t>
      </w:r>
      <w:r>
        <w:rPr>
          <w:rFonts w:eastAsia="宋体"/>
        </w:rPr>
        <w:t>《关于</w:t>
      </w:r>
      <w:r>
        <w:rPr>
          <w:rFonts w:hint="eastAsia" w:eastAsia="宋体"/>
        </w:rPr>
        <w:t>印发忻州市砖瓦行业环境保护综合整治实施方案的通知</w:t>
      </w:r>
      <w:r>
        <w:rPr>
          <w:rFonts w:eastAsia="宋体"/>
        </w:rPr>
        <w:t>》</w:t>
      </w:r>
      <w:r>
        <w:rPr>
          <w:rFonts w:hint="eastAsia" w:eastAsia="宋体"/>
        </w:rPr>
        <w:t>（忻气办发[2019]19号，</w:t>
      </w:r>
      <w:r>
        <w:rPr>
          <w:rFonts w:eastAsia="宋体"/>
        </w:rPr>
        <w:t>2019年6月6日</w:t>
      </w:r>
      <w:r>
        <w:rPr>
          <w:rFonts w:hint="eastAsia" w:eastAsia="宋体"/>
        </w:rPr>
        <w:t>）；</w:t>
      </w:r>
    </w:p>
    <w:p>
      <w:pPr>
        <w:adjustRightInd w:val="0"/>
        <w:snapToGrid w:val="0"/>
        <w:spacing w:line="440" w:lineRule="exact"/>
        <w:ind w:firstLine="480" w:firstLineChars="200"/>
        <w:jc w:val="both"/>
      </w:pPr>
      <w:r>
        <w:rPr>
          <w:rFonts w:hint="eastAsia"/>
        </w:rPr>
        <w:t>（</w:t>
      </w:r>
      <w:r>
        <w:rPr>
          <w:rFonts w:hint="eastAsia"/>
          <w:lang w:val="en-US" w:eastAsia="zh-CN"/>
        </w:rPr>
        <w:t>35</w:t>
      </w:r>
      <w:r>
        <w:rPr>
          <w:rFonts w:hint="eastAsia"/>
        </w:rPr>
        <w:t>）《忻州市人民政府办公室关于印发忻州市打赢蓝天保卫战2019年行动计划的通知》（忻政办发〔2019〕70号，2019年06月27日）；</w:t>
      </w:r>
    </w:p>
    <w:p>
      <w:pPr>
        <w:adjustRightInd w:val="0"/>
        <w:snapToGrid w:val="0"/>
        <w:spacing w:line="440" w:lineRule="exact"/>
        <w:ind w:firstLine="480" w:firstLineChars="200"/>
        <w:jc w:val="both"/>
      </w:pPr>
      <w:r>
        <w:rPr>
          <w:rFonts w:hint="eastAsia"/>
        </w:rPr>
        <w:t>（</w:t>
      </w:r>
      <w:r>
        <w:rPr>
          <w:rFonts w:hint="eastAsia"/>
          <w:lang w:val="en-US" w:eastAsia="zh-CN"/>
        </w:rPr>
        <w:t>36</w:t>
      </w:r>
      <w:r>
        <w:rPr>
          <w:rFonts w:hint="eastAsia"/>
        </w:rPr>
        <w:t>）《关于加快推进工业企业无组织排放治理工作的通知》（忻环发〔2019〕30号，2019年04月22日）；</w:t>
      </w:r>
    </w:p>
    <w:p>
      <w:pPr>
        <w:adjustRightInd w:val="0"/>
        <w:snapToGrid w:val="0"/>
        <w:spacing w:line="440" w:lineRule="exact"/>
        <w:ind w:firstLine="480" w:firstLineChars="200"/>
        <w:jc w:val="both"/>
      </w:pPr>
      <w:r>
        <w:rPr>
          <w:rFonts w:hint="eastAsia"/>
        </w:rPr>
        <w:t>（</w:t>
      </w:r>
      <w:r>
        <w:rPr>
          <w:rFonts w:hint="eastAsia"/>
          <w:lang w:val="en-US" w:eastAsia="zh-CN"/>
        </w:rPr>
        <w:t>37</w:t>
      </w:r>
      <w:r>
        <w:rPr>
          <w:rFonts w:hint="eastAsia"/>
        </w:rPr>
        <w:t>）忻州市人民政府办公厅《关于印发忻州市2018-2019年秋冬季大气污染综合治理攻坚行动方案的通知》（忻政办发〔2018〕150号，2018年10月23日）；</w:t>
      </w:r>
    </w:p>
    <w:p>
      <w:pPr>
        <w:adjustRightInd w:val="0"/>
        <w:snapToGrid w:val="0"/>
        <w:spacing w:line="440" w:lineRule="exact"/>
        <w:ind w:firstLine="480" w:firstLineChars="200"/>
        <w:jc w:val="both"/>
      </w:pPr>
      <w:r>
        <w:rPr>
          <w:rFonts w:hint="eastAsia"/>
        </w:rPr>
        <w:t>（</w:t>
      </w:r>
      <w:r>
        <w:rPr>
          <w:rFonts w:hint="eastAsia"/>
          <w:lang w:val="en-US" w:eastAsia="zh-CN"/>
        </w:rPr>
        <w:t>38</w:t>
      </w:r>
      <w:r>
        <w:rPr>
          <w:rFonts w:hint="eastAsia"/>
        </w:rPr>
        <w:t>）自然资源部办公厅、生态环境部办公厅《关于加快推进露天矿山综合整治工作实施工作意见的函》（自然资办函〔2019〕819号，2019年5月29日）；</w:t>
      </w:r>
    </w:p>
    <w:p>
      <w:pPr>
        <w:widowControl w:val="0"/>
        <w:adjustRightInd w:val="0"/>
        <w:snapToGrid w:val="0"/>
        <w:spacing w:before="120" w:beforeLines="50" w:after="120" w:afterLines="50"/>
        <w:jc w:val="both"/>
        <w:outlineLvl w:val="2"/>
        <w:rPr>
          <w:b/>
          <w:kern w:val="2"/>
        </w:rPr>
      </w:pPr>
      <w:r>
        <w:rPr>
          <w:b/>
          <w:kern w:val="2"/>
        </w:rPr>
        <w:t>1.1.3行业标准和技术规范</w:t>
      </w:r>
      <w:bookmarkEnd w:id="50"/>
      <w:bookmarkEnd w:id="51"/>
      <w:bookmarkEnd w:id="52"/>
    </w:p>
    <w:p>
      <w:pPr>
        <w:adjustRightInd w:val="0"/>
        <w:snapToGrid w:val="0"/>
        <w:spacing w:line="440" w:lineRule="exact"/>
        <w:ind w:firstLine="480" w:firstLineChars="200"/>
        <w:jc w:val="both"/>
        <w:rPr>
          <w:rFonts w:eastAsiaTheme="minorEastAsia"/>
          <w:bCs/>
        </w:rPr>
      </w:pPr>
      <w:bookmarkStart w:id="53" w:name="_Toc498705029"/>
      <w:bookmarkStart w:id="54" w:name="_Toc245721949"/>
      <w:r>
        <w:rPr>
          <w:rFonts w:eastAsiaTheme="minorEastAsia"/>
          <w:bCs/>
        </w:rPr>
        <w:t>（1）《建设项目环境影响评价技术导则·总纲》（HJ2.1-2016）；</w:t>
      </w:r>
    </w:p>
    <w:p>
      <w:pPr>
        <w:adjustRightInd w:val="0"/>
        <w:snapToGrid w:val="0"/>
        <w:spacing w:line="440" w:lineRule="exact"/>
        <w:ind w:firstLine="480" w:firstLineChars="200"/>
        <w:jc w:val="both"/>
        <w:rPr>
          <w:rFonts w:eastAsiaTheme="minorEastAsia"/>
          <w:bCs/>
        </w:rPr>
      </w:pPr>
      <w:r>
        <w:rPr>
          <w:rFonts w:eastAsiaTheme="minorEastAsia"/>
          <w:bCs/>
        </w:rPr>
        <w:t>（2）《环境影响评价技术导则·大气环境》（HJ2.2-2018）；</w:t>
      </w:r>
    </w:p>
    <w:p>
      <w:pPr>
        <w:adjustRightInd w:val="0"/>
        <w:snapToGrid w:val="0"/>
        <w:spacing w:line="440" w:lineRule="exact"/>
        <w:ind w:firstLine="480" w:firstLineChars="200"/>
        <w:jc w:val="both"/>
        <w:rPr>
          <w:rFonts w:eastAsiaTheme="minorEastAsia"/>
          <w:bCs/>
        </w:rPr>
      </w:pPr>
      <w:r>
        <w:rPr>
          <w:rFonts w:eastAsiaTheme="minorEastAsia"/>
          <w:bCs/>
        </w:rPr>
        <w:t>（3）《环境影响评价技术导则·地</w:t>
      </w:r>
      <w:r>
        <w:rPr>
          <w:rFonts w:hint="eastAsia" w:eastAsiaTheme="minorEastAsia"/>
          <w:bCs/>
        </w:rPr>
        <w:t>表</w:t>
      </w:r>
      <w:r>
        <w:rPr>
          <w:rFonts w:eastAsiaTheme="minorEastAsia"/>
          <w:bCs/>
        </w:rPr>
        <w:t>水环境》（HJ2.3-2018）；</w:t>
      </w:r>
    </w:p>
    <w:p>
      <w:pPr>
        <w:adjustRightInd w:val="0"/>
        <w:snapToGrid w:val="0"/>
        <w:spacing w:line="440" w:lineRule="exact"/>
        <w:ind w:firstLine="480" w:firstLineChars="200"/>
        <w:jc w:val="both"/>
        <w:rPr>
          <w:rFonts w:eastAsiaTheme="minorEastAsia"/>
          <w:bCs/>
        </w:rPr>
      </w:pPr>
      <w:r>
        <w:rPr>
          <w:rFonts w:eastAsiaTheme="minorEastAsia"/>
          <w:bCs/>
        </w:rPr>
        <w:t>（4）《环境影响评价技术导则·地下水环境》（HJ610-2016）；</w:t>
      </w:r>
    </w:p>
    <w:p>
      <w:pPr>
        <w:adjustRightInd w:val="0"/>
        <w:snapToGrid w:val="0"/>
        <w:spacing w:line="440" w:lineRule="exact"/>
        <w:ind w:firstLine="480" w:firstLineChars="200"/>
        <w:jc w:val="both"/>
        <w:rPr>
          <w:rFonts w:eastAsiaTheme="minorEastAsia"/>
          <w:bCs/>
        </w:rPr>
      </w:pPr>
      <w:r>
        <w:rPr>
          <w:rFonts w:eastAsiaTheme="minorEastAsia"/>
          <w:bCs/>
        </w:rPr>
        <w:t>（5）《环境影响评价技术导则·声环境》（HJ2.4-2009）；</w:t>
      </w:r>
    </w:p>
    <w:p>
      <w:pPr>
        <w:adjustRightInd w:val="0"/>
        <w:snapToGrid w:val="0"/>
        <w:spacing w:line="440" w:lineRule="exact"/>
        <w:ind w:firstLine="480" w:firstLineChars="200"/>
        <w:jc w:val="both"/>
        <w:rPr>
          <w:rFonts w:eastAsiaTheme="minorEastAsia"/>
          <w:bCs/>
        </w:rPr>
      </w:pPr>
      <w:r>
        <w:rPr>
          <w:rFonts w:eastAsiaTheme="minorEastAsia"/>
          <w:bCs/>
        </w:rPr>
        <w:t>（6）《环境影响评价技术导则·生态影响》（HJ19-2011）；</w:t>
      </w:r>
    </w:p>
    <w:p>
      <w:pPr>
        <w:adjustRightInd w:val="0"/>
        <w:snapToGrid w:val="0"/>
        <w:spacing w:line="440" w:lineRule="exact"/>
        <w:ind w:firstLine="480" w:firstLineChars="200"/>
        <w:jc w:val="both"/>
        <w:rPr>
          <w:rFonts w:eastAsiaTheme="minorEastAsia"/>
          <w:bCs/>
        </w:rPr>
      </w:pPr>
      <w:r>
        <w:rPr>
          <w:rFonts w:eastAsiaTheme="minorEastAsia"/>
          <w:bCs/>
        </w:rPr>
        <w:t>（7）《建设项目环境风险评价技术导则》（HJ169-2018）；</w:t>
      </w:r>
    </w:p>
    <w:p>
      <w:pPr>
        <w:adjustRightInd w:val="0"/>
        <w:snapToGrid w:val="0"/>
        <w:spacing w:line="440" w:lineRule="exact"/>
        <w:ind w:firstLine="480" w:firstLineChars="200"/>
        <w:jc w:val="both"/>
        <w:rPr>
          <w:rFonts w:eastAsiaTheme="minorEastAsia"/>
          <w:kern w:val="2"/>
        </w:rPr>
      </w:pPr>
      <w:r>
        <w:rPr>
          <w:rFonts w:eastAsiaTheme="minorEastAsia"/>
          <w:kern w:val="2"/>
        </w:rPr>
        <w:t>（8）《危险化学品重大危险源辨识》（GB18218-2018）；</w:t>
      </w:r>
    </w:p>
    <w:p>
      <w:pPr>
        <w:adjustRightInd w:val="0"/>
        <w:snapToGrid w:val="0"/>
        <w:spacing w:line="440" w:lineRule="exact"/>
        <w:ind w:firstLine="480" w:firstLineChars="200"/>
        <w:jc w:val="both"/>
      </w:pPr>
      <w:r>
        <w:rPr>
          <w:rFonts w:hint="eastAsia"/>
        </w:rPr>
        <w:t>（9）《环境影响评价技术导则  土壤环境(试行)》(HJ964-2018)；</w:t>
      </w:r>
    </w:p>
    <w:p>
      <w:pPr>
        <w:pStyle w:val="361"/>
        <w:spacing w:line="440" w:lineRule="exact"/>
        <w:ind w:firstLineChars="200"/>
        <w:jc w:val="both"/>
        <w:rPr>
          <w:rFonts w:eastAsia="宋体"/>
        </w:rPr>
      </w:pPr>
      <w:r>
        <w:rPr>
          <w:rFonts w:hint="eastAsia" w:eastAsia="宋体"/>
        </w:rPr>
        <w:t>（10）</w:t>
      </w:r>
      <w:r>
        <w:rPr>
          <w:rFonts w:eastAsia="宋体"/>
        </w:rPr>
        <w:t>《</w:t>
      </w:r>
      <w:r>
        <w:rPr>
          <w:rFonts w:hint="eastAsia" w:eastAsia="宋体"/>
        </w:rPr>
        <w:t>“</w:t>
      </w:r>
      <w:r>
        <w:rPr>
          <w:rFonts w:eastAsia="宋体"/>
        </w:rPr>
        <w:t>生态保护红线、环境质量底线、资源利用上线和环境准入负面清单</w:t>
      </w:r>
      <w:r>
        <w:rPr>
          <w:rFonts w:hint="eastAsia" w:eastAsia="宋体"/>
        </w:rPr>
        <w:t>”</w:t>
      </w:r>
      <w:r>
        <w:rPr>
          <w:rFonts w:eastAsia="宋体"/>
        </w:rPr>
        <w:t>编制技术指南</w:t>
      </w:r>
      <w:r>
        <w:rPr>
          <w:rFonts w:hint="eastAsia" w:eastAsia="宋体"/>
        </w:rPr>
        <w:t>（</w:t>
      </w:r>
      <w:r>
        <w:rPr>
          <w:rFonts w:eastAsia="宋体"/>
        </w:rPr>
        <w:t>试行</w:t>
      </w:r>
      <w:r>
        <w:rPr>
          <w:rFonts w:hint="eastAsia" w:eastAsia="宋体"/>
        </w:rPr>
        <w:t>）</w:t>
      </w:r>
      <w:r>
        <w:rPr>
          <w:rFonts w:eastAsia="宋体"/>
        </w:rPr>
        <w:t>》</w:t>
      </w:r>
      <w:r>
        <w:rPr>
          <w:rFonts w:hint="eastAsia" w:eastAsia="宋体"/>
        </w:rPr>
        <w:t>（</w:t>
      </w:r>
      <w:r>
        <w:rPr>
          <w:rFonts w:eastAsia="宋体"/>
        </w:rPr>
        <w:t>环办环评[2017]99号</w:t>
      </w:r>
      <w:r>
        <w:rPr>
          <w:rFonts w:hint="eastAsia" w:eastAsia="宋体"/>
        </w:rPr>
        <w:t>，</w:t>
      </w:r>
      <w:r>
        <w:rPr>
          <w:rFonts w:eastAsia="宋体"/>
        </w:rPr>
        <w:t>2017年12月</w:t>
      </w:r>
      <w:r>
        <w:rPr>
          <w:rFonts w:hint="eastAsia" w:eastAsia="宋体"/>
        </w:rPr>
        <w:t>）；</w:t>
      </w:r>
    </w:p>
    <w:p>
      <w:pPr>
        <w:pStyle w:val="361"/>
        <w:spacing w:line="440" w:lineRule="exact"/>
        <w:ind w:firstLineChars="200"/>
        <w:jc w:val="both"/>
        <w:rPr>
          <w:rFonts w:eastAsia="宋体"/>
        </w:rPr>
      </w:pPr>
      <w:r>
        <w:rPr>
          <w:rFonts w:hint="eastAsia" w:eastAsia="宋体"/>
        </w:rPr>
        <w:t>（11）</w:t>
      </w:r>
      <w:r>
        <w:rPr>
          <w:rFonts w:eastAsia="宋体"/>
        </w:rPr>
        <w:t>《山西省用水定额》</w:t>
      </w:r>
      <w:r>
        <w:rPr>
          <w:rFonts w:hint="eastAsia" w:eastAsia="宋体"/>
        </w:rPr>
        <w:t>（</w:t>
      </w:r>
      <w:r>
        <w:rPr>
          <w:rFonts w:eastAsia="宋体"/>
        </w:rPr>
        <w:t>DB14 1049-2015</w:t>
      </w:r>
      <w:r>
        <w:rPr>
          <w:rFonts w:hint="eastAsia" w:eastAsia="宋体"/>
        </w:rPr>
        <w:t>，</w:t>
      </w:r>
      <w:r>
        <w:rPr>
          <w:rFonts w:eastAsia="宋体"/>
        </w:rPr>
        <w:t>2015年7月1日</w:t>
      </w:r>
      <w:r>
        <w:rPr>
          <w:rFonts w:hint="eastAsia" w:eastAsia="宋体"/>
        </w:rPr>
        <w:t>）。</w:t>
      </w:r>
    </w:p>
    <w:p>
      <w:pPr>
        <w:widowControl w:val="0"/>
        <w:adjustRightInd w:val="0"/>
        <w:snapToGrid w:val="0"/>
        <w:spacing w:before="120" w:beforeLines="50" w:after="120" w:afterLines="50"/>
        <w:jc w:val="both"/>
        <w:outlineLvl w:val="2"/>
        <w:rPr>
          <w:b/>
          <w:kern w:val="2"/>
        </w:rPr>
      </w:pPr>
      <w:r>
        <w:rPr>
          <w:b/>
          <w:kern w:val="2"/>
        </w:rPr>
        <w:t>1.1.4</w:t>
      </w:r>
      <w:r>
        <w:rPr>
          <w:rFonts w:hint="eastAsia"/>
          <w:b/>
          <w:kern w:val="2"/>
        </w:rPr>
        <w:t>任务</w:t>
      </w:r>
      <w:r>
        <w:rPr>
          <w:b/>
          <w:kern w:val="2"/>
        </w:rPr>
        <w:t>依据</w:t>
      </w:r>
    </w:p>
    <w:bookmarkEnd w:id="53"/>
    <w:bookmarkEnd w:id="54"/>
    <w:p>
      <w:pPr>
        <w:pStyle w:val="361"/>
        <w:spacing w:line="440" w:lineRule="exact"/>
        <w:ind w:firstLineChars="200"/>
        <w:jc w:val="both"/>
        <w:rPr>
          <w:rFonts w:eastAsia="宋体"/>
        </w:rPr>
      </w:pPr>
      <w:r>
        <w:rPr>
          <w:rFonts w:hint="eastAsia" w:eastAsia="宋体"/>
        </w:rPr>
        <w:t>（1）</w:t>
      </w:r>
      <w:r>
        <w:rPr>
          <w:rFonts w:eastAsia="宋体"/>
        </w:rPr>
        <w:t>环境影响评价委托书</w:t>
      </w:r>
      <w:r>
        <w:rPr>
          <w:rFonts w:hint="eastAsia" w:eastAsia="宋体"/>
        </w:rPr>
        <w:t>，</w:t>
      </w:r>
      <w:r>
        <w:rPr>
          <w:rFonts w:eastAsia="宋体"/>
        </w:rPr>
        <w:t>2019年</w:t>
      </w:r>
      <w:r>
        <w:rPr>
          <w:rFonts w:hint="eastAsia" w:eastAsia="宋体"/>
        </w:rPr>
        <w:t>10</w:t>
      </w:r>
      <w:r>
        <w:rPr>
          <w:rFonts w:eastAsia="宋体"/>
        </w:rPr>
        <w:t>月</w:t>
      </w:r>
      <w:r>
        <w:rPr>
          <w:rFonts w:hint="eastAsia" w:eastAsia="宋体"/>
        </w:rPr>
        <w:t>10</w:t>
      </w:r>
      <w:r>
        <w:rPr>
          <w:rFonts w:eastAsia="宋体"/>
        </w:rPr>
        <w:t>日</w:t>
      </w:r>
      <w:r>
        <w:rPr>
          <w:rFonts w:hint="eastAsia" w:eastAsia="宋体"/>
        </w:rPr>
        <w:t>；</w:t>
      </w:r>
    </w:p>
    <w:p>
      <w:pPr>
        <w:widowControl w:val="0"/>
        <w:adjustRightInd w:val="0"/>
        <w:snapToGrid w:val="0"/>
        <w:spacing w:line="440" w:lineRule="exact"/>
        <w:ind w:firstLine="480" w:firstLineChars="200"/>
        <w:jc w:val="both"/>
        <w:rPr>
          <w:iCs/>
          <w:szCs w:val="18"/>
        </w:rPr>
      </w:pPr>
      <w:r>
        <w:rPr>
          <w:rFonts w:hint="eastAsia"/>
        </w:rPr>
        <w:t>（2）</w:t>
      </w:r>
      <w:r>
        <w:t>《山西省</w:t>
      </w:r>
      <w:r>
        <w:rPr>
          <w:rFonts w:hint="eastAsia"/>
        </w:rPr>
        <w:t>繁峙县东胜砖厂</w:t>
      </w:r>
      <w:r>
        <w:t>砖瓦用粘土矿矿山资源开发利用、地质环境保护与治理恢复、土地复垦方案》</w:t>
      </w:r>
      <w:r>
        <w:rPr>
          <w:rFonts w:hint="eastAsia"/>
        </w:rPr>
        <w:t>，</w:t>
      </w:r>
      <w:r>
        <w:t>2019年</w:t>
      </w:r>
      <w:r>
        <w:rPr>
          <w:rFonts w:hint="eastAsia"/>
        </w:rPr>
        <w:t>5</w:t>
      </w:r>
      <w:r>
        <w:t>月</w:t>
      </w:r>
      <w:r>
        <w:rPr>
          <w:rFonts w:hint="eastAsia"/>
        </w:rPr>
        <w:t>。</w:t>
      </w:r>
    </w:p>
    <w:p>
      <w:pPr>
        <w:widowControl w:val="0"/>
        <w:adjustRightInd w:val="0"/>
        <w:snapToGrid w:val="0"/>
        <w:spacing w:before="120" w:beforeLines="50" w:after="120" w:afterLines="50"/>
        <w:jc w:val="both"/>
        <w:outlineLvl w:val="2"/>
        <w:rPr>
          <w:b/>
          <w:kern w:val="2"/>
        </w:rPr>
      </w:pPr>
      <w:r>
        <w:rPr>
          <w:b/>
          <w:kern w:val="2"/>
        </w:rPr>
        <w:t>1.1.</w:t>
      </w:r>
      <w:r>
        <w:rPr>
          <w:rFonts w:hint="eastAsia"/>
          <w:b/>
          <w:kern w:val="2"/>
        </w:rPr>
        <w:t>5参考资料</w:t>
      </w:r>
    </w:p>
    <w:p>
      <w:pPr>
        <w:widowControl w:val="0"/>
        <w:adjustRightInd w:val="0"/>
        <w:snapToGrid w:val="0"/>
        <w:spacing w:line="440" w:lineRule="exact"/>
        <w:ind w:firstLine="480" w:firstLineChars="200"/>
        <w:jc w:val="both"/>
        <w:rPr>
          <w:iCs/>
          <w:szCs w:val="18"/>
        </w:rPr>
      </w:pPr>
      <w:r>
        <w:rPr>
          <w:rFonts w:hint="eastAsia"/>
          <w:iCs/>
          <w:szCs w:val="18"/>
        </w:rPr>
        <w:t>（1）《山西省主体功能区划》；</w:t>
      </w:r>
    </w:p>
    <w:p>
      <w:pPr>
        <w:pStyle w:val="361"/>
        <w:spacing w:line="440" w:lineRule="exact"/>
        <w:ind w:firstLineChars="200"/>
        <w:jc w:val="both"/>
        <w:rPr>
          <w:rFonts w:eastAsia="宋体"/>
        </w:rPr>
      </w:pPr>
      <w:r>
        <w:rPr>
          <w:rFonts w:hint="eastAsia" w:eastAsia="宋体"/>
        </w:rPr>
        <w:t>（2）</w:t>
      </w:r>
      <w:r>
        <w:rPr>
          <w:rFonts w:eastAsia="宋体"/>
        </w:rPr>
        <w:t>《</w:t>
      </w:r>
      <w:r>
        <w:rPr>
          <w:rFonts w:hint="eastAsia" w:eastAsia="宋体"/>
        </w:rPr>
        <w:t>繁峙县</w:t>
      </w:r>
      <w:r>
        <w:rPr>
          <w:rFonts w:eastAsia="宋体"/>
        </w:rPr>
        <w:t>生态功能区划》</w:t>
      </w:r>
      <w:r>
        <w:rPr>
          <w:rFonts w:hint="eastAsia" w:eastAsia="宋体"/>
        </w:rPr>
        <w:t>；</w:t>
      </w:r>
    </w:p>
    <w:p>
      <w:pPr>
        <w:pStyle w:val="361"/>
        <w:spacing w:line="440" w:lineRule="exact"/>
        <w:ind w:firstLineChars="200"/>
        <w:jc w:val="both"/>
        <w:rPr>
          <w:rFonts w:eastAsia="宋体"/>
        </w:rPr>
      </w:pPr>
      <w:r>
        <w:rPr>
          <w:rFonts w:hint="eastAsia" w:eastAsia="宋体"/>
        </w:rPr>
        <w:t>（3）</w:t>
      </w:r>
      <w:r>
        <w:rPr>
          <w:rFonts w:eastAsia="宋体"/>
        </w:rPr>
        <w:t>《</w:t>
      </w:r>
      <w:r>
        <w:rPr>
          <w:rFonts w:hint="eastAsia" w:eastAsia="宋体"/>
        </w:rPr>
        <w:t>繁峙县</w:t>
      </w:r>
      <w:r>
        <w:rPr>
          <w:rFonts w:eastAsia="宋体"/>
        </w:rPr>
        <w:t>生态经济区划》</w:t>
      </w:r>
      <w:r>
        <w:rPr>
          <w:rFonts w:hint="eastAsia" w:eastAsia="宋体"/>
        </w:rPr>
        <w:t>；</w:t>
      </w:r>
    </w:p>
    <w:p>
      <w:pPr>
        <w:pStyle w:val="361"/>
        <w:spacing w:line="440" w:lineRule="exact"/>
        <w:ind w:firstLineChars="200"/>
        <w:jc w:val="both"/>
        <w:rPr>
          <w:rFonts w:eastAsia="宋体"/>
        </w:rPr>
      </w:pPr>
      <w:r>
        <w:rPr>
          <w:rFonts w:hint="eastAsia" w:eastAsia="宋体"/>
        </w:rPr>
        <w:t>（4）</w:t>
      </w:r>
      <w:r>
        <w:rPr>
          <w:rFonts w:eastAsia="宋体"/>
        </w:rPr>
        <w:t>《</w:t>
      </w:r>
      <w:r>
        <w:rPr>
          <w:rFonts w:hint="eastAsia" w:eastAsia="宋体"/>
        </w:rPr>
        <w:t>繁峙县</w:t>
      </w:r>
      <w:r>
        <w:rPr>
          <w:rFonts w:eastAsia="宋体"/>
        </w:rPr>
        <w:t>乡镇集中式饮用水源保护与环境评估技术报告》</w:t>
      </w:r>
      <w:r>
        <w:rPr>
          <w:rFonts w:hint="eastAsia" w:eastAsia="宋体"/>
        </w:rPr>
        <w:t>；</w:t>
      </w:r>
    </w:p>
    <w:p>
      <w:pPr>
        <w:pStyle w:val="361"/>
        <w:spacing w:line="440" w:lineRule="exact"/>
        <w:ind w:firstLineChars="200"/>
        <w:jc w:val="both"/>
        <w:rPr>
          <w:rFonts w:eastAsia="宋体"/>
        </w:rPr>
      </w:pPr>
      <w:r>
        <w:rPr>
          <w:rFonts w:hint="eastAsia" w:eastAsia="宋体"/>
        </w:rPr>
        <w:t>（5）《繁峙县县城总体规划》；</w:t>
      </w:r>
    </w:p>
    <w:p>
      <w:pPr>
        <w:pStyle w:val="361"/>
        <w:spacing w:line="440" w:lineRule="exact"/>
        <w:ind w:firstLineChars="200"/>
        <w:jc w:val="both"/>
        <w:rPr>
          <w:rFonts w:eastAsia="宋体"/>
        </w:rPr>
      </w:pPr>
      <w:r>
        <w:rPr>
          <w:rFonts w:hint="eastAsia" w:eastAsia="宋体"/>
        </w:rPr>
        <w:t>（6）《山西省矿产资源总体规划（2016-2020）》；</w:t>
      </w:r>
    </w:p>
    <w:p>
      <w:pPr>
        <w:widowControl w:val="0"/>
        <w:adjustRightInd w:val="0"/>
        <w:snapToGrid w:val="0"/>
        <w:spacing w:before="120" w:beforeLines="50" w:after="120" w:afterLines="50"/>
        <w:jc w:val="both"/>
        <w:outlineLvl w:val="1"/>
        <w:rPr>
          <w:b/>
          <w:kern w:val="2"/>
          <w:sz w:val="28"/>
          <w:szCs w:val="28"/>
        </w:rPr>
      </w:pPr>
      <w:bookmarkStart w:id="55" w:name="_Toc399150348"/>
      <w:bookmarkStart w:id="56" w:name="_Toc27988"/>
      <w:bookmarkStart w:id="57" w:name="_Toc395801194"/>
      <w:bookmarkStart w:id="58" w:name="_Toc396395405"/>
      <w:bookmarkStart w:id="59" w:name="_Toc61250969"/>
      <w:bookmarkStart w:id="60" w:name="_Toc81006319"/>
      <w:bookmarkStart w:id="61" w:name="_Toc65331948"/>
      <w:bookmarkStart w:id="62" w:name="_Toc535262563"/>
      <w:bookmarkStart w:id="63" w:name="_Toc535797336"/>
      <w:bookmarkStart w:id="64" w:name="_Toc81007059"/>
      <w:bookmarkStart w:id="65" w:name="_Toc65566947"/>
      <w:r>
        <w:rPr>
          <w:b/>
          <w:kern w:val="2"/>
          <w:sz w:val="28"/>
          <w:szCs w:val="28"/>
        </w:rPr>
        <w:t>1.2环境影响因素识别与评价因子筛选</w:t>
      </w:r>
      <w:bookmarkEnd w:id="55"/>
      <w:bookmarkEnd w:id="56"/>
      <w:bookmarkEnd w:id="57"/>
      <w:bookmarkEnd w:id="58"/>
    </w:p>
    <w:p>
      <w:pPr>
        <w:widowControl w:val="0"/>
        <w:adjustRightInd w:val="0"/>
        <w:snapToGrid w:val="0"/>
        <w:spacing w:before="120" w:beforeLines="50" w:after="120" w:afterLines="50"/>
        <w:jc w:val="both"/>
        <w:outlineLvl w:val="2"/>
        <w:rPr>
          <w:b/>
          <w:kern w:val="2"/>
        </w:rPr>
      </w:pPr>
      <w:bookmarkStart w:id="66" w:name="_Toc395801195"/>
      <w:bookmarkStart w:id="67" w:name="_Toc399150349"/>
      <w:r>
        <w:rPr>
          <w:b/>
          <w:kern w:val="2"/>
        </w:rPr>
        <w:t>1.2.1环境影响因素识别</w:t>
      </w:r>
      <w:bookmarkEnd w:id="66"/>
      <w:bookmarkEnd w:id="67"/>
    </w:p>
    <w:p>
      <w:pPr>
        <w:adjustRightInd w:val="0"/>
        <w:snapToGrid w:val="0"/>
        <w:spacing w:line="440" w:lineRule="exact"/>
        <w:ind w:firstLine="480" w:firstLineChars="200"/>
        <w:jc w:val="both"/>
        <w:rPr>
          <w:rFonts w:eastAsiaTheme="minorEastAsia"/>
        </w:rPr>
      </w:pPr>
      <w:r>
        <w:rPr>
          <w:rFonts w:eastAsiaTheme="minorEastAsia"/>
        </w:rPr>
        <w:t>根据工程性质及污染物排放的特点和现场实地查勘的情况，结合收集到的有关工程资料，对</w:t>
      </w:r>
      <w:r>
        <w:rPr>
          <w:rFonts w:hint="eastAsia" w:eastAsiaTheme="minorEastAsia"/>
        </w:rPr>
        <w:t>项目</w:t>
      </w:r>
      <w:r>
        <w:rPr>
          <w:rFonts w:eastAsiaTheme="minorEastAsia"/>
        </w:rPr>
        <w:t>建设可能对环境产生的影响进行分析，对建设项目环境影响因子的影响性质进行识别。</w:t>
      </w:r>
    </w:p>
    <w:p>
      <w:pPr>
        <w:pStyle w:val="103"/>
        <w:adjustRightInd w:val="0"/>
        <w:snapToGrid w:val="0"/>
        <w:spacing w:line="440" w:lineRule="exact"/>
        <w:ind w:firstLine="480"/>
        <w:rPr>
          <w:rFonts w:eastAsiaTheme="minorEastAsia"/>
          <w:color w:val="auto"/>
        </w:rPr>
      </w:pPr>
      <w:bookmarkStart w:id="68" w:name="_Toc399150350"/>
      <w:bookmarkStart w:id="69" w:name="_Toc395801196"/>
      <w:r>
        <w:rPr>
          <w:rFonts w:hint="eastAsia" w:eastAsiaTheme="minorEastAsia"/>
          <w:color w:val="auto"/>
        </w:rPr>
        <w:t>项目</w:t>
      </w:r>
      <w:r>
        <w:rPr>
          <w:rFonts w:eastAsiaTheme="minorEastAsia"/>
          <w:color w:val="auto"/>
        </w:rPr>
        <w:t>对</w:t>
      </w:r>
      <w:r>
        <w:rPr>
          <w:rFonts w:eastAsiaTheme="minorEastAsia"/>
          <w:bCs/>
          <w:color w:val="auto"/>
        </w:rPr>
        <w:t>环境影响</w:t>
      </w:r>
      <w:r>
        <w:rPr>
          <w:rFonts w:eastAsiaTheme="minorEastAsia"/>
          <w:color w:val="auto"/>
        </w:rPr>
        <w:t>按照施工期和运营期两个阶段考虑</w:t>
      </w:r>
      <w:r>
        <w:rPr>
          <w:rFonts w:hint="eastAsia" w:eastAsiaTheme="minorEastAsia"/>
          <w:color w:val="auto"/>
        </w:rPr>
        <w:t>，项目施工期较短，环境影响主要集中在运营期</w:t>
      </w:r>
      <w:r>
        <w:rPr>
          <w:rFonts w:eastAsiaTheme="minorEastAsia"/>
          <w:color w:val="auto"/>
        </w:rPr>
        <w:t>。</w:t>
      </w:r>
    </w:p>
    <w:p>
      <w:pPr>
        <w:pStyle w:val="103"/>
        <w:adjustRightInd w:val="0"/>
        <w:snapToGrid w:val="0"/>
        <w:spacing w:line="440" w:lineRule="exact"/>
        <w:ind w:firstLine="480"/>
        <w:rPr>
          <w:rFonts w:ascii="宋体" w:hAnsi="宋体" w:cs="宋体"/>
          <w:color w:val="auto"/>
        </w:rPr>
      </w:pPr>
      <w:r>
        <w:rPr>
          <w:rFonts w:hint="eastAsia" w:ascii="宋体" w:hAnsi="宋体" w:cs="宋体"/>
          <w:color w:val="auto"/>
        </w:rPr>
        <w:t>（1）施工期环境影响因子的识别</w:t>
      </w:r>
    </w:p>
    <w:p>
      <w:pPr>
        <w:pStyle w:val="103"/>
        <w:adjustRightInd w:val="0"/>
        <w:snapToGrid w:val="0"/>
        <w:spacing w:line="440" w:lineRule="exact"/>
        <w:ind w:firstLine="480"/>
        <w:rPr>
          <w:rFonts w:eastAsiaTheme="minorEastAsia"/>
          <w:color w:val="auto"/>
        </w:rPr>
      </w:pPr>
      <w:r>
        <w:rPr>
          <w:rFonts w:eastAsiaTheme="minorEastAsia"/>
          <w:color w:val="auto"/>
        </w:rPr>
        <w:t>施工期对环境的影响主要来自施工产生的扬尘</w:t>
      </w:r>
      <w:r>
        <w:rPr>
          <w:rFonts w:hint="eastAsia" w:eastAsiaTheme="minorEastAsia"/>
          <w:color w:val="auto"/>
        </w:rPr>
        <w:t>、</w:t>
      </w:r>
      <w:r>
        <w:rPr>
          <w:rFonts w:eastAsiaTheme="minorEastAsia"/>
          <w:color w:val="auto"/>
        </w:rPr>
        <w:t>施工机械产生噪声</w:t>
      </w:r>
      <w:r>
        <w:rPr>
          <w:rFonts w:hint="eastAsia" w:eastAsiaTheme="minorEastAsia"/>
          <w:color w:val="auto"/>
        </w:rPr>
        <w:t>、施工产生的建筑垃圾</w:t>
      </w:r>
      <w:r>
        <w:rPr>
          <w:rFonts w:eastAsiaTheme="minorEastAsia"/>
          <w:color w:val="auto"/>
        </w:rPr>
        <w:t>、施工人员产生的生活污水及生活垃圾</w:t>
      </w:r>
      <w:r>
        <w:rPr>
          <w:rFonts w:hint="eastAsia" w:eastAsiaTheme="minorEastAsia"/>
          <w:color w:val="auto"/>
        </w:rPr>
        <w:t>等</w:t>
      </w:r>
      <w:r>
        <w:rPr>
          <w:rFonts w:eastAsiaTheme="minorEastAsia"/>
          <w:color w:val="auto"/>
        </w:rPr>
        <w:t>。</w:t>
      </w:r>
    </w:p>
    <w:p>
      <w:pPr>
        <w:pStyle w:val="103"/>
        <w:adjustRightInd w:val="0"/>
        <w:snapToGrid w:val="0"/>
        <w:spacing w:line="440" w:lineRule="exact"/>
        <w:ind w:firstLine="480"/>
        <w:rPr>
          <w:rFonts w:ascii="宋体" w:hAnsi="宋体" w:cs="宋体"/>
          <w:color w:val="auto"/>
        </w:rPr>
      </w:pPr>
      <w:r>
        <w:rPr>
          <w:rFonts w:hint="eastAsia" w:ascii="宋体" w:hAnsi="宋体" w:cs="宋体"/>
          <w:color w:val="auto"/>
        </w:rPr>
        <w:t>（2）运营期环境影响因子的识别</w:t>
      </w:r>
    </w:p>
    <w:p>
      <w:pPr>
        <w:pStyle w:val="103"/>
        <w:adjustRightInd w:val="0"/>
        <w:snapToGrid w:val="0"/>
        <w:spacing w:line="440" w:lineRule="exact"/>
        <w:ind w:firstLine="480"/>
        <w:rPr>
          <w:rFonts w:ascii="宋体" w:hAnsi="宋体" w:cs="宋体"/>
          <w:color w:val="auto"/>
        </w:rPr>
      </w:pPr>
      <w:r>
        <w:rPr>
          <w:rFonts w:hint="eastAsia" w:ascii="宋体" w:hAnsi="宋体" w:cs="宋体"/>
          <w:color w:val="auto"/>
        </w:rPr>
        <w:t>运营期对环境的影响包括环境污染影响和生态破坏影响两个方面。环境污染影响因子包括大气污染因子、水污染因子、噪声污染因子和固体废物污染因子。生态破坏影响因子为开采导致的土地占用、植被破坏和水土流失。</w:t>
      </w:r>
    </w:p>
    <w:p>
      <w:pPr>
        <w:pStyle w:val="103"/>
        <w:adjustRightInd w:val="0"/>
        <w:snapToGrid w:val="0"/>
        <w:spacing w:line="440" w:lineRule="exact"/>
        <w:ind w:firstLine="480"/>
        <w:rPr>
          <w:rFonts w:eastAsiaTheme="minorEastAsia"/>
          <w:color w:val="auto"/>
        </w:rPr>
      </w:pPr>
      <w:r>
        <w:rPr>
          <w:color w:val="auto"/>
        </w:rPr>
        <w:t>①</w:t>
      </w:r>
      <w:r>
        <w:rPr>
          <w:rFonts w:eastAsiaTheme="minorEastAsia"/>
          <w:color w:val="auto"/>
        </w:rPr>
        <w:t>大气污染因子</w:t>
      </w:r>
    </w:p>
    <w:p>
      <w:pPr>
        <w:pStyle w:val="103"/>
        <w:adjustRightInd w:val="0"/>
        <w:snapToGrid w:val="0"/>
        <w:spacing w:line="440" w:lineRule="exact"/>
        <w:ind w:firstLine="480"/>
        <w:rPr>
          <w:rFonts w:eastAsiaTheme="minorEastAsia"/>
          <w:color w:val="auto"/>
        </w:rPr>
      </w:pPr>
      <w:r>
        <w:rPr>
          <w:rFonts w:hint="eastAsia" w:eastAsiaTheme="minorEastAsia"/>
          <w:color w:val="auto"/>
        </w:rPr>
        <w:t>运营期主要大气污染源为：采装作业粉尘、原料库粉尘和道路运输扬尘。</w:t>
      </w:r>
    </w:p>
    <w:p>
      <w:pPr>
        <w:spacing w:line="440" w:lineRule="exact"/>
        <w:ind w:firstLine="480" w:firstLineChars="200"/>
        <w:jc w:val="both"/>
        <w:rPr>
          <w:rFonts w:eastAsiaTheme="minorEastAsia"/>
        </w:rPr>
      </w:pPr>
      <w:r>
        <w:rPr>
          <w:rFonts w:hint="eastAsia" w:ascii="宋体" w:hAnsi="宋体" w:cs="宋体"/>
        </w:rPr>
        <w:t>②</w:t>
      </w:r>
      <w:r>
        <w:rPr>
          <w:rFonts w:eastAsiaTheme="minorEastAsia"/>
        </w:rPr>
        <w:t>水污染因子</w:t>
      </w:r>
    </w:p>
    <w:p>
      <w:pPr>
        <w:spacing w:line="440" w:lineRule="exact"/>
        <w:ind w:firstLine="480" w:firstLineChars="200"/>
        <w:jc w:val="both"/>
        <w:rPr>
          <w:rFonts w:eastAsiaTheme="minorEastAsia"/>
        </w:rPr>
      </w:pPr>
      <w:r>
        <w:rPr>
          <w:rFonts w:hint="eastAsia" w:eastAsiaTheme="minorEastAsia"/>
        </w:rPr>
        <w:t>运营期废水</w:t>
      </w:r>
      <w:r>
        <w:rPr>
          <w:rFonts w:hint="eastAsia"/>
          <w:snapToGrid w:val="0"/>
        </w:rPr>
        <w:t>主要为职工生活污水和洗车废水。</w:t>
      </w:r>
    </w:p>
    <w:p>
      <w:pPr>
        <w:spacing w:line="440" w:lineRule="exact"/>
        <w:ind w:firstLine="480" w:firstLineChars="200"/>
        <w:jc w:val="both"/>
        <w:rPr>
          <w:rFonts w:ascii="宋体" w:hAnsi="宋体" w:cs="宋体"/>
        </w:rPr>
      </w:pPr>
      <w:r>
        <w:rPr>
          <w:rFonts w:hint="eastAsia" w:ascii="宋体" w:hAnsi="宋体" w:cs="宋体"/>
        </w:rPr>
        <w:t>③噪声污染因子</w:t>
      </w:r>
    </w:p>
    <w:p>
      <w:pPr>
        <w:pStyle w:val="303"/>
        <w:spacing w:line="440" w:lineRule="exact"/>
        <w:rPr>
          <w:rFonts w:cs="Times New Roman"/>
          <w:snapToGrid w:val="0"/>
        </w:rPr>
      </w:pPr>
      <w:r>
        <w:rPr>
          <w:rFonts w:hint="eastAsia" w:cs="Times New Roman"/>
          <w:snapToGrid w:val="0"/>
        </w:rPr>
        <w:t>运营期噪声主要为挖掘机、装载机、雾炮机和水泵等产生的机械动力性噪声。</w:t>
      </w:r>
    </w:p>
    <w:p>
      <w:pPr>
        <w:spacing w:line="440" w:lineRule="exact"/>
        <w:ind w:firstLine="480" w:firstLineChars="200"/>
        <w:jc w:val="both"/>
        <w:rPr>
          <w:rFonts w:ascii="宋体" w:hAnsi="宋体" w:cs="宋体"/>
        </w:rPr>
      </w:pPr>
      <w:r>
        <w:rPr>
          <w:rFonts w:hint="eastAsia" w:ascii="宋体" w:hAnsi="宋体" w:cs="宋体"/>
        </w:rPr>
        <w:t>④固体废物污染因子</w:t>
      </w:r>
    </w:p>
    <w:p>
      <w:pPr>
        <w:spacing w:line="440" w:lineRule="exact"/>
        <w:ind w:firstLine="480" w:firstLineChars="200"/>
        <w:jc w:val="both"/>
      </w:pPr>
      <w:r>
        <w:rPr>
          <w:rFonts w:hint="eastAsia" w:ascii="宋体" w:hAnsi="宋体" w:cs="宋体"/>
        </w:rPr>
        <w:t>运营期固体废物主要为开采剥离渣土、职工生活产生的生活垃圾、设备维修产生的废机油。</w:t>
      </w:r>
    </w:p>
    <w:p>
      <w:pPr>
        <w:pStyle w:val="103"/>
        <w:adjustRightInd w:val="0"/>
        <w:snapToGrid w:val="0"/>
        <w:spacing w:line="440" w:lineRule="exact"/>
        <w:ind w:firstLine="480"/>
        <w:rPr>
          <w:rFonts w:eastAsiaTheme="minorEastAsia"/>
          <w:color w:val="auto"/>
        </w:rPr>
      </w:pPr>
      <w:r>
        <w:rPr>
          <w:rFonts w:eastAsiaTheme="minorEastAsia"/>
          <w:color w:val="auto"/>
        </w:rPr>
        <w:t>建设项目环境影响因子识别见表1</w:t>
      </w:r>
      <w:r>
        <w:rPr>
          <w:rFonts w:hint="eastAsia" w:eastAsiaTheme="minorEastAsia"/>
          <w:color w:val="auto"/>
        </w:rPr>
        <w:t>.</w:t>
      </w:r>
      <w:r>
        <w:rPr>
          <w:rFonts w:eastAsiaTheme="minorEastAsia"/>
          <w:color w:val="auto"/>
        </w:rPr>
        <w:t>2-1。</w:t>
      </w:r>
    </w:p>
    <w:p>
      <w:pPr>
        <w:adjustRightInd w:val="0"/>
        <w:snapToGrid w:val="0"/>
        <w:spacing w:before="120" w:beforeLines="50"/>
        <w:jc w:val="center"/>
        <w:rPr>
          <w:rFonts w:ascii="黑体" w:hAnsi="黑体" w:eastAsia="黑体" w:cs="黑体"/>
          <w:sz w:val="21"/>
          <w:szCs w:val="21"/>
          <w:lang w:val="en-GB"/>
        </w:rPr>
      </w:pPr>
      <w:r>
        <w:rPr>
          <w:rFonts w:hint="eastAsia" w:ascii="黑体" w:hAnsi="黑体" w:eastAsia="黑体" w:cs="黑体"/>
          <w:sz w:val="21"/>
          <w:szCs w:val="21"/>
          <w:lang w:val="en-GB"/>
        </w:rPr>
        <w:t>表</w:t>
      </w:r>
      <w:r>
        <w:rPr>
          <w:rFonts w:eastAsia="黑体"/>
          <w:sz w:val="21"/>
          <w:szCs w:val="21"/>
          <w:lang w:val="en-GB"/>
        </w:rPr>
        <w:t>1</w:t>
      </w:r>
      <w:r>
        <w:rPr>
          <w:rFonts w:eastAsia="黑体"/>
          <w:sz w:val="21"/>
          <w:szCs w:val="21"/>
        </w:rPr>
        <w:t>.</w:t>
      </w:r>
      <w:r>
        <w:rPr>
          <w:rFonts w:eastAsia="黑体"/>
          <w:sz w:val="21"/>
          <w:szCs w:val="21"/>
          <w:lang w:val="en-GB"/>
        </w:rPr>
        <w:t xml:space="preserve">2-1 </w:t>
      </w:r>
      <w:r>
        <w:rPr>
          <w:rFonts w:hint="eastAsia" w:ascii="黑体" w:hAnsi="黑体" w:eastAsia="黑体" w:cs="黑体"/>
          <w:sz w:val="21"/>
          <w:szCs w:val="21"/>
          <w:lang w:val="en-GB"/>
        </w:rPr>
        <w:t xml:space="preserve"> 主要环境影响因素识别矩阵</w:t>
      </w:r>
    </w:p>
    <w:tbl>
      <w:tblPr>
        <w:tblStyle w:val="88"/>
        <w:tblW w:w="9286" w:type="dxa"/>
        <w:tblInd w:w="0" w:type="dxa"/>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81"/>
        <w:gridCol w:w="873"/>
        <w:gridCol w:w="804"/>
        <w:gridCol w:w="846"/>
        <w:gridCol w:w="845"/>
        <w:gridCol w:w="846"/>
        <w:gridCol w:w="804"/>
        <w:gridCol w:w="791"/>
        <w:gridCol w:w="764"/>
        <w:gridCol w:w="750"/>
      </w:tblGrid>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3" w:type="dxa"/>
            <w:gridSpan w:val="2"/>
            <w:vMerge w:val="restart"/>
            <w:tcBorders>
              <w:tl2br w:val="nil"/>
              <w:tr2bl w:val="nil"/>
            </w:tcBorders>
            <w:vAlign w:val="center"/>
          </w:tcPr>
          <w:p>
            <w:pPr>
              <w:adjustRightInd w:val="0"/>
              <w:snapToGrid w:val="0"/>
              <w:jc w:val="center"/>
              <w:rPr>
                <w:sz w:val="21"/>
                <w:szCs w:val="21"/>
              </w:rPr>
            </w:pPr>
            <w:r>
              <w:rPr>
                <w:sz w:val="21"/>
                <w:szCs w:val="21"/>
              </w:rPr>
              <w:t>工程内容</w:t>
            </w:r>
          </w:p>
          <w:p>
            <w:pPr>
              <w:adjustRightInd w:val="0"/>
              <w:snapToGrid w:val="0"/>
              <w:jc w:val="center"/>
              <w:rPr>
                <w:sz w:val="21"/>
                <w:szCs w:val="21"/>
              </w:rPr>
            </w:pPr>
            <w:r>
              <w:rPr>
                <w:sz w:val="21"/>
                <w:szCs w:val="21"/>
              </w:rPr>
              <w:t>环境要素</w:t>
            </w:r>
          </w:p>
        </w:tc>
        <w:tc>
          <w:tcPr>
            <w:tcW w:w="3368" w:type="dxa"/>
            <w:gridSpan w:val="4"/>
            <w:tcBorders>
              <w:tl2br w:val="nil"/>
              <w:tr2bl w:val="nil"/>
            </w:tcBorders>
            <w:vAlign w:val="center"/>
          </w:tcPr>
          <w:p>
            <w:pPr>
              <w:adjustRightInd w:val="0"/>
              <w:snapToGrid w:val="0"/>
              <w:jc w:val="center"/>
              <w:rPr>
                <w:sz w:val="21"/>
                <w:szCs w:val="21"/>
              </w:rPr>
            </w:pPr>
            <w:r>
              <w:rPr>
                <w:sz w:val="21"/>
                <w:szCs w:val="21"/>
              </w:rPr>
              <w:t>施工期</w:t>
            </w:r>
          </w:p>
        </w:tc>
        <w:tc>
          <w:tcPr>
            <w:tcW w:w="3955" w:type="dxa"/>
            <w:gridSpan w:val="5"/>
            <w:tcBorders>
              <w:tl2br w:val="nil"/>
              <w:tr2bl w:val="nil"/>
            </w:tcBorders>
            <w:vAlign w:val="center"/>
          </w:tcPr>
          <w:p>
            <w:pPr>
              <w:adjustRightInd w:val="0"/>
              <w:snapToGrid w:val="0"/>
              <w:jc w:val="center"/>
              <w:rPr>
                <w:sz w:val="21"/>
                <w:szCs w:val="21"/>
              </w:rPr>
            </w:pPr>
            <w:r>
              <w:rPr>
                <w:sz w:val="21"/>
                <w:szCs w:val="21"/>
              </w:rPr>
              <w:t>运营期</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3" w:type="dxa"/>
            <w:gridSpan w:val="2"/>
            <w:vMerge w:val="continue"/>
            <w:tcBorders>
              <w:tl2br w:val="nil"/>
              <w:tr2bl w:val="nil"/>
            </w:tcBorders>
            <w:vAlign w:val="center"/>
          </w:tcPr>
          <w:p>
            <w:pPr>
              <w:adjustRightInd w:val="0"/>
              <w:snapToGrid w:val="0"/>
              <w:jc w:val="center"/>
              <w:rPr>
                <w:sz w:val="21"/>
                <w:szCs w:val="21"/>
              </w:rPr>
            </w:pPr>
          </w:p>
        </w:tc>
        <w:tc>
          <w:tcPr>
            <w:tcW w:w="873" w:type="dxa"/>
            <w:tcBorders>
              <w:tl2br w:val="nil"/>
              <w:tr2bl w:val="nil"/>
            </w:tcBorders>
            <w:vAlign w:val="center"/>
          </w:tcPr>
          <w:p>
            <w:pPr>
              <w:adjustRightInd w:val="0"/>
              <w:snapToGrid w:val="0"/>
              <w:jc w:val="center"/>
              <w:rPr>
                <w:sz w:val="21"/>
                <w:szCs w:val="21"/>
              </w:rPr>
            </w:pPr>
            <w:r>
              <w:rPr>
                <w:sz w:val="21"/>
                <w:szCs w:val="21"/>
              </w:rPr>
              <w:t>废气</w:t>
            </w:r>
          </w:p>
        </w:tc>
        <w:tc>
          <w:tcPr>
            <w:tcW w:w="804" w:type="dxa"/>
            <w:tcBorders>
              <w:tl2br w:val="nil"/>
              <w:tr2bl w:val="nil"/>
            </w:tcBorders>
            <w:vAlign w:val="center"/>
          </w:tcPr>
          <w:p>
            <w:pPr>
              <w:adjustRightInd w:val="0"/>
              <w:snapToGrid w:val="0"/>
              <w:jc w:val="center"/>
              <w:rPr>
                <w:sz w:val="21"/>
                <w:szCs w:val="21"/>
              </w:rPr>
            </w:pPr>
            <w:r>
              <w:rPr>
                <w:sz w:val="21"/>
                <w:szCs w:val="21"/>
              </w:rPr>
              <w:t>废水</w:t>
            </w:r>
          </w:p>
        </w:tc>
        <w:tc>
          <w:tcPr>
            <w:tcW w:w="846" w:type="dxa"/>
            <w:tcBorders>
              <w:tl2br w:val="nil"/>
              <w:tr2bl w:val="nil"/>
            </w:tcBorders>
            <w:vAlign w:val="center"/>
          </w:tcPr>
          <w:p>
            <w:pPr>
              <w:adjustRightInd w:val="0"/>
              <w:snapToGrid w:val="0"/>
              <w:jc w:val="center"/>
              <w:rPr>
                <w:sz w:val="21"/>
                <w:szCs w:val="21"/>
              </w:rPr>
            </w:pPr>
            <w:r>
              <w:rPr>
                <w:sz w:val="21"/>
                <w:szCs w:val="21"/>
              </w:rPr>
              <w:t>噪声</w:t>
            </w:r>
          </w:p>
        </w:tc>
        <w:tc>
          <w:tcPr>
            <w:tcW w:w="845" w:type="dxa"/>
            <w:tcBorders>
              <w:tl2br w:val="nil"/>
              <w:tr2bl w:val="nil"/>
            </w:tcBorders>
            <w:vAlign w:val="center"/>
          </w:tcPr>
          <w:p>
            <w:pPr>
              <w:adjustRightInd w:val="0"/>
              <w:snapToGrid w:val="0"/>
              <w:jc w:val="center"/>
              <w:rPr>
                <w:sz w:val="21"/>
                <w:szCs w:val="21"/>
              </w:rPr>
            </w:pPr>
            <w:r>
              <w:rPr>
                <w:sz w:val="21"/>
                <w:szCs w:val="21"/>
              </w:rPr>
              <w:t>固废</w:t>
            </w:r>
          </w:p>
        </w:tc>
        <w:tc>
          <w:tcPr>
            <w:tcW w:w="846" w:type="dxa"/>
            <w:tcBorders>
              <w:tl2br w:val="nil"/>
              <w:tr2bl w:val="nil"/>
            </w:tcBorders>
            <w:vAlign w:val="center"/>
          </w:tcPr>
          <w:p>
            <w:pPr>
              <w:adjustRightInd w:val="0"/>
              <w:snapToGrid w:val="0"/>
              <w:jc w:val="center"/>
              <w:rPr>
                <w:sz w:val="21"/>
                <w:szCs w:val="21"/>
              </w:rPr>
            </w:pPr>
            <w:r>
              <w:rPr>
                <w:sz w:val="21"/>
                <w:szCs w:val="21"/>
              </w:rPr>
              <w:t>废气</w:t>
            </w:r>
          </w:p>
        </w:tc>
        <w:tc>
          <w:tcPr>
            <w:tcW w:w="804" w:type="dxa"/>
            <w:tcBorders>
              <w:tl2br w:val="nil"/>
              <w:tr2bl w:val="nil"/>
            </w:tcBorders>
            <w:vAlign w:val="center"/>
          </w:tcPr>
          <w:p>
            <w:pPr>
              <w:adjustRightInd w:val="0"/>
              <w:snapToGrid w:val="0"/>
              <w:jc w:val="center"/>
              <w:rPr>
                <w:sz w:val="21"/>
                <w:szCs w:val="21"/>
              </w:rPr>
            </w:pPr>
            <w:r>
              <w:rPr>
                <w:sz w:val="21"/>
                <w:szCs w:val="21"/>
              </w:rPr>
              <w:t>废水</w:t>
            </w:r>
          </w:p>
        </w:tc>
        <w:tc>
          <w:tcPr>
            <w:tcW w:w="791" w:type="dxa"/>
            <w:tcBorders>
              <w:tl2br w:val="nil"/>
              <w:tr2bl w:val="nil"/>
            </w:tcBorders>
            <w:vAlign w:val="center"/>
          </w:tcPr>
          <w:p>
            <w:pPr>
              <w:adjustRightInd w:val="0"/>
              <w:snapToGrid w:val="0"/>
              <w:jc w:val="center"/>
              <w:rPr>
                <w:sz w:val="21"/>
                <w:szCs w:val="21"/>
              </w:rPr>
            </w:pPr>
            <w:r>
              <w:rPr>
                <w:sz w:val="21"/>
                <w:szCs w:val="21"/>
              </w:rPr>
              <w:t>噪声</w:t>
            </w:r>
          </w:p>
        </w:tc>
        <w:tc>
          <w:tcPr>
            <w:tcW w:w="764" w:type="dxa"/>
            <w:tcBorders>
              <w:tl2br w:val="nil"/>
              <w:tr2bl w:val="nil"/>
            </w:tcBorders>
            <w:vAlign w:val="center"/>
          </w:tcPr>
          <w:p>
            <w:pPr>
              <w:adjustRightInd w:val="0"/>
              <w:snapToGrid w:val="0"/>
              <w:jc w:val="center"/>
              <w:rPr>
                <w:sz w:val="21"/>
                <w:szCs w:val="21"/>
              </w:rPr>
            </w:pPr>
            <w:r>
              <w:rPr>
                <w:sz w:val="21"/>
                <w:szCs w:val="21"/>
              </w:rPr>
              <w:t>固废</w:t>
            </w:r>
          </w:p>
        </w:tc>
        <w:tc>
          <w:tcPr>
            <w:tcW w:w="750" w:type="dxa"/>
            <w:tcBorders>
              <w:tl2br w:val="nil"/>
              <w:tr2bl w:val="nil"/>
            </w:tcBorders>
            <w:vAlign w:val="center"/>
          </w:tcPr>
          <w:p>
            <w:pPr>
              <w:adjustRightInd w:val="0"/>
              <w:snapToGrid w:val="0"/>
              <w:jc w:val="center"/>
              <w:rPr>
                <w:sz w:val="21"/>
                <w:szCs w:val="21"/>
              </w:rPr>
            </w:pPr>
            <w:r>
              <w:rPr>
                <w:rFonts w:hint="eastAsia"/>
                <w:sz w:val="21"/>
                <w:szCs w:val="21"/>
              </w:rPr>
              <w:t>开采</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vMerge w:val="restart"/>
            <w:tcBorders>
              <w:tl2br w:val="nil"/>
              <w:tr2bl w:val="nil"/>
            </w:tcBorders>
            <w:vAlign w:val="center"/>
          </w:tcPr>
          <w:p>
            <w:pPr>
              <w:adjustRightInd w:val="0"/>
              <w:snapToGrid w:val="0"/>
              <w:jc w:val="center"/>
              <w:rPr>
                <w:sz w:val="21"/>
                <w:szCs w:val="21"/>
              </w:rPr>
            </w:pPr>
            <w:r>
              <w:rPr>
                <w:sz w:val="21"/>
                <w:szCs w:val="21"/>
              </w:rPr>
              <w:t>自然环境</w:t>
            </w:r>
          </w:p>
        </w:tc>
        <w:tc>
          <w:tcPr>
            <w:tcW w:w="1281" w:type="dxa"/>
            <w:tcBorders>
              <w:tl2br w:val="nil"/>
              <w:tr2bl w:val="nil"/>
            </w:tcBorders>
            <w:vAlign w:val="center"/>
          </w:tcPr>
          <w:p>
            <w:pPr>
              <w:adjustRightInd w:val="0"/>
              <w:snapToGrid w:val="0"/>
              <w:jc w:val="center"/>
              <w:rPr>
                <w:sz w:val="21"/>
                <w:szCs w:val="21"/>
              </w:rPr>
            </w:pPr>
            <w:r>
              <w:rPr>
                <w:sz w:val="21"/>
                <w:szCs w:val="21"/>
              </w:rPr>
              <w:t>环境空气</w:t>
            </w:r>
          </w:p>
        </w:tc>
        <w:tc>
          <w:tcPr>
            <w:tcW w:w="873" w:type="dxa"/>
            <w:tcBorders>
              <w:tl2br w:val="nil"/>
              <w:tr2bl w:val="nil"/>
            </w:tcBorders>
            <w:vAlign w:val="center"/>
          </w:tcPr>
          <w:p>
            <w:pPr>
              <w:adjustRightInd w:val="0"/>
              <w:snapToGrid w:val="0"/>
              <w:jc w:val="center"/>
              <w:rPr>
                <w:sz w:val="21"/>
                <w:szCs w:val="21"/>
              </w:rPr>
            </w:pPr>
            <w:r>
              <w:rPr>
                <w:sz w:val="21"/>
                <w:szCs w:val="21"/>
              </w:rPr>
              <w:t>ODP</w:t>
            </w:r>
          </w:p>
        </w:tc>
        <w:tc>
          <w:tcPr>
            <w:tcW w:w="804"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p>
        </w:tc>
        <w:tc>
          <w:tcPr>
            <w:tcW w:w="845"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r>
              <w:rPr>
                <w:rFonts w:hint="eastAsia" w:ascii="宋体" w:hAnsi="宋体" w:cs="宋体"/>
                <w:sz w:val="21"/>
                <w:szCs w:val="21"/>
                <w:lang w:val="en-US" w:eastAsia="zh-CN"/>
              </w:rPr>
              <w:t>O</w:t>
            </w:r>
            <w:r>
              <w:rPr>
                <w:rFonts w:hint="eastAsia"/>
                <w:sz w:val="21"/>
                <w:szCs w:val="21"/>
              </w:rPr>
              <w:t>DP</w:t>
            </w:r>
          </w:p>
        </w:tc>
        <w:tc>
          <w:tcPr>
            <w:tcW w:w="804" w:type="dxa"/>
            <w:tcBorders>
              <w:tl2br w:val="nil"/>
              <w:tr2bl w:val="nil"/>
            </w:tcBorders>
            <w:vAlign w:val="center"/>
          </w:tcPr>
          <w:p>
            <w:pPr>
              <w:adjustRightInd w:val="0"/>
              <w:snapToGrid w:val="0"/>
              <w:jc w:val="center"/>
              <w:rPr>
                <w:sz w:val="21"/>
                <w:szCs w:val="21"/>
              </w:rPr>
            </w:pPr>
          </w:p>
        </w:tc>
        <w:tc>
          <w:tcPr>
            <w:tcW w:w="791" w:type="dxa"/>
            <w:tcBorders>
              <w:tl2br w:val="nil"/>
              <w:tr2bl w:val="nil"/>
            </w:tcBorders>
            <w:vAlign w:val="center"/>
          </w:tcPr>
          <w:p>
            <w:pPr>
              <w:adjustRightInd w:val="0"/>
              <w:snapToGrid w:val="0"/>
              <w:jc w:val="center"/>
              <w:rPr>
                <w:sz w:val="21"/>
                <w:szCs w:val="21"/>
              </w:rPr>
            </w:pPr>
          </w:p>
        </w:tc>
        <w:tc>
          <w:tcPr>
            <w:tcW w:w="764" w:type="dxa"/>
            <w:tcBorders>
              <w:tl2br w:val="nil"/>
              <w:tr2bl w:val="nil"/>
            </w:tcBorders>
            <w:vAlign w:val="center"/>
          </w:tcPr>
          <w:p>
            <w:pPr>
              <w:adjustRightInd w:val="0"/>
              <w:snapToGrid w:val="0"/>
              <w:jc w:val="center"/>
              <w:rPr>
                <w:sz w:val="21"/>
                <w:szCs w:val="21"/>
              </w:rPr>
            </w:pPr>
          </w:p>
        </w:tc>
        <w:tc>
          <w:tcPr>
            <w:tcW w:w="750" w:type="dxa"/>
            <w:tcBorders>
              <w:tl2br w:val="nil"/>
              <w:tr2bl w:val="nil"/>
            </w:tcBorders>
            <w:vAlign w:val="center"/>
          </w:tcPr>
          <w:p>
            <w:pPr>
              <w:adjustRightInd w:val="0"/>
              <w:snapToGrid w:val="0"/>
              <w:jc w:val="center"/>
              <w:rPr>
                <w:sz w:val="21"/>
                <w:szCs w:val="21"/>
              </w:rPr>
            </w:pP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vMerge w:val="continue"/>
            <w:tcBorders>
              <w:tl2br w:val="nil"/>
              <w:tr2bl w:val="nil"/>
            </w:tcBorders>
            <w:vAlign w:val="center"/>
          </w:tcPr>
          <w:p>
            <w:pPr>
              <w:adjustRightInd w:val="0"/>
              <w:snapToGrid w:val="0"/>
              <w:jc w:val="center"/>
              <w:rPr>
                <w:sz w:val="21"/>
                <w:szCs w:val="21"/>
              </w:rPr>
            </w:pPr>
          </w:p>
        </w:tc>
        <w:tc>
          <w:tcPr>
            <w:tcW w:w="1281" w:type="dxa"/>
            <w:tcBorders>
              <w:tl2br w:val="nil"/>
              <w:tr2bl w:val="nil"/>
            </w:tcBorders>
            <w:vAlign w:val="center"/>
          </w:tcPr>
          <w:p>
            <w:pPr>
              <w:adjustRightInd w:val="0"/>
              <w:snapToGrid w:val="0"/>
              <w:jc w:val="center"/>
              <w:rPr>
                <w:sz w:val="21"/>
                <w:szCs w:val="21"/>
              </w:rPr>
            </w:pPr>
            <w:r>
              <w:rPr>
                <w:sz w:val="21"/>
                <w:szCs w:val="21"/>
              </w:rPr>
              <w:t>声环境</w:t>
            </w:r>
          </w:p>
        </w:tc>
        <w:tc>
          <w:tcPr>
            <w:tcW w:w="873" w:type="dxa"/>
            <w:tcBorders>
              <w:tl2br w:val="nil"/>
              <w:tr2bl w:val="nil"/>
            </w:tcBorders>
            <w:vAlign w:val="center"/>
          </w:tcPr>
          <w:p>
            <w:pPr>
              <w:adjustRightInd w:val="0"/>
              <w:snapToGrid w:val="0"/>
              <w:jc w:val="center"/>
              <w:rPr>
                <w:sz w:val="21"/>
                <w:szCs w:val="21"/>
              </w:rPr>
            </w:pPr>
          </w:p>
        </w:tc>
        <w:tc>
          <w:tcPr>
            <w:tcW w:w="804"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r>
              <w:rPr>
                <w:sz w:val="21"/>
                <w:szCs w:val="21"/>
              </w:rPr>
              <w:t>ODP</w:t>
            </w:r>
          </w:p>
        </w:tc>
        <w:tc>
          <w:tcPr>
            <w:tcW w:w="845"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p>
        </w:tc>
        <w:tc>
          <w:tcPr>
            <w:tcW w:w="804" w:type="dxa"/>
            <w:tcBorders>
              <w:tl2br w:val="nil"/>
              <w:tr2bl w:val="nil"/>
            </w:tcBorders>
            <w:vAlign w:val="center"/>
          </w:tcPr>
          <w:p>
            <w:pPr>
              <w:adjustRightInd w:val="0"/>
              <w:snapToGrid w:val="0"/>
              <w:jc w:val="center"/>
              <w:rPr>
                <w:sz w:val="21"/>
                <w:szCs w:val="21"/>
              </w:rPr>
            </w:pPr>
          </w:p>
        </w:tc>
        <w:tc>
          <w:tcPr>
            <w:tcW w:w="791" w:type="dxa"/>
            <w:tcBorders>
              <w:tl2br w:val="nil"/>
              <w:tr2bl w:val="nil"/>
            </w:tcBorders>
            <w:vAlign w:val="center"/>
          </w:tcPr>
          <w:p>
            <w:pPr>
              <w:adjustRightInd w:val="0"/>
              <w:snapToGrid w:val="0"/>
              <w:jc w:val="center"/>
              <w:rPr>
                <w:sz w:val="21"/>
                <w:szCs w:val="21"/>
              </w:rPr>
            </w:pPr>
            <w:r>
              <w:rPr>
                <w:rFonts w:hint="eastAsia" w:ascii="宋体" w:hAnsi="宋体" w:cs="宋体"/>
                <w:sz w:val="21"/>
                <w:szCs w:val="21"/>
                <w:lang w:val="en-US" w:eastAsia="zh-CN"/>
              </w:rPr>
              <w:t>O</w:t>
            </w:r>
            <w:r>
              <w:rPr>
                <w:rFonts w:hint="eastAsia"/>
                <w:sz w:val="21"/>
                <w:szCs w:val="21"/>
              </w:rPr>
              <w:t>DP</w:t>
            </w:r>
          </w:p>
        </w:tc>
        <w:tc>
          <w:tcPr>
            <w:tcW w:w="764" w:type="dxa"/>
            <w:tcBorders>
              <w:tl2br w:val="nil"/>
              <w:tr2bl w:val="nil"/>
            </w:tcBorders>
            <w:vAlign w:val="center"/>
          </w:tcPr>
          <w:p>
            <w:pPr>
              <w:adjustRightInd w:val="0"/>
              <w:snapToGrid w:val="0"/>
              <w:jc w:val="center"/>
              <w:rPr>
                <w:sz w:val="21"/>
                <w:szCs w:val="21"/>
              </w:rPr>
            </w:pPr>
          </w:p>
        </w:tc>
        <w:tc>
          <w:tcPr>
            <w:tcW w:w="750" w:type="dxa"/>
            <w:tcBorders>
              <w:tl2br w:val="nil"/>
              <w:tr2bl w:val="nil"/>
            </w:tcBorders>
            <w:vAlign w:val="center"/>
          </w:tcPr>
          <w:p>
            <w:pPr>
              <w:adjustRightInd w:val="0"/>
              <w:snapToGrid w:val="0"/>
              <w:jc w:val="center"/>
              <w:rPr>
                <w:sz w:val="21"/>
                <w:szCs w:val="21"/>
              </w:rPr>
            </w:pP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vMerge w:val="continue"/>
            <w:tcBorders>
              <w:tl2br w:val="nil"/>
              <w:tr2bl w:val="nil"/>
            </w:tcBorders>
            <w:vAlign w:val="center"/>
          </w:tcPr>
          <w:p>
            <w:pPr>
              <w:adjustRightInd w:val="0"/>
              <w:snapToGrid w:val="0"/>
              <w:jc w:val="center"/>
              <w:rPr>
                <w:sz w:val="21"/>
                <w:szCs w:val="21"/>
              </w:rPr>
            </w:pPr>
          </w:p>
        </w:tc>
        <w:tc>
          <w:tcPr>
            <w:tcW w:w="1281" w:type="dxa"/>
            <w:tcBorders>
              <w:tl2br w:val="nil"/>
              <w:tr2bl w:val="nil"/>
            </w:tcBorders>
            <w:vAlign w:val="center"/>
          </w:tcPr>
          <w:p>
            <w:pPr>
              <w:adjustRightInd w:val="0"/>
              <w:snapToGrid w:val="0"/>
              <w:jc w:val="center"/>
              <w:rPr>
                <w:sz w:val="21"/>
                <w:szCs w:val="21"/>
              </w:rPr>
            </w:pPr>
            <w:r>
              <w:rPr>
                <w:sz w:val="21"/>
                <w:szCs w:val="21"/>
              </w:rPr>
              <w:t>地表水</w:t>
            </w:r>
          </w:p>
        </w:tc>
        <w:tc>
          <w:tcPr>
            <w:tcW w:w="873" w:type="dxa"/>
            <w:tcBorders>
              <w:tl2br w:val="nil"/>
              <w:tr2bl w:val="nil"/>
            </w:tcBorders>
            <w:vAlign w:val="center"/>
          </w:tcPr>
          <w:p>
            <w:pPr>
              <w:adjustRightInd w:val="0"/>
              <w:snapToGrid w:val="0"/>
              <w:jc w:val="center"/>
              <w:rPr>
                <w:sz w:val="21"/>
                <w:szCs w:val="21"/>
              </w:rPr>
            </w:pPr>
          </w:p>
        </w:tc>
        <w:tc>
          <w:tcPr>
            <w:tcW w:w="804" w:type="dxa"/>
            <w:tcBorders>
              <w:tl2br w:val="nil"/>
              <w:tr2bl w:val="nil"/>
            </w:tcBorders>
            <w:vAlign w:val="center"/>
          </w:tcPr>
          <w:p>
            <w:pPr>
              <w:adjustRightInd w:val="0"/>
              <w:snapToGrid w:val="0"/>
              <w:jc w:val="center"/>
              <w:rPr>
                <w:sz w:val="21"/>
                <w:szCs w:val="21"/>
              </w:rPr>
            </w:pPr>
            <w:r>
              <w:rPr>
                <w:sz w:val="21"/>
                <w:szCs w:val="21"/>
              </w:rPr>
              <w:t>ODP</w:t>
            </w:r>
          </w:p>
        </w:tc>
        <w:tc>
          <w:tcPr>
            <w:tcW w:w="846" w:type="dxa"/>
            <w:tcBorders>
              <w:tl2br w:val="nil"/>
              <w:tr2bl w:val="nil"/>
            </w:tcBorders>
            <w:vAlign w:val="center"/>
          </w:tcPr>
          <w:p>
            <w:pPr>
              <w:adjustRightInd w:val="0"/>
              <w:snapToGrid w:val="0"/>
              <w:jc w:val="center"/>
              <w:rPr>
                <w:sz w:val="21"/>
                <w:szCs w:val="21"/>
              </w:rPr>
            </w:pPr>
          </w:p>
        </w:tc>
        <w:tc>
          <w:tcPr>
            <w:tcW w:w="845"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p>
        </w:tc>
        <w:tc>
          <w:tcPr>
            <w:tcW w:w="804" w:type="dxa"/>
            <w:tcBorders>
              <w:tl2br w:val="nil"/>
              <w:tr2bl w:val="nil"/>
            </w:tcBorders>
            <w:vAlign w:val="center"/>
          </w:tcPr>
          <w:p>
            <w:pPr>
              <w:adjustRightInd w:val="0"/>
              <w:snapToGrid w:val="0"/>
              <w:jc w:val="center"/>
              <w:rPr>
                <w:sz w:val="21"/>
                <w:szCs w:val="21"/>
              </w:rPr>
            </w:pPr>
            <w:r>
              <w:rPr>
                <w:sz w:val="21"/>
                <w:szCs w:val="21"/>
              </w:rPr>
              <w:t>ODP</w:t>
            </w:r>
          </w:p>
        </w:tc>
        <w:tc>
          <w:tcPr>
            <w:tcW w:w="791" w:type="dxa"/>
            <w:tcBorders>
              <w:tl2br w:val="nil"/>
              <w:tr2bl w:val="nil"/>
            </w:tcBorders>
            <w:vAlign w:val="center"/>
          </w:tcPr>
          <w:p>
            <w:pPr>
              <w:adjustRightInd w:val="0"/>
              <w:snapToGrid w:val="0"/>
              <w:jc w:val="center"/>
              <w:rPr>
                <w:sz w:val="21"/>
                <w:szCs w:val="21"/>
              </w:rPr>
            </w:pPr>
          </w:p>
        </w:tc>
        <w:tc>
          <w:tcPr>
            <w:tcW w:w="764" w:type="dxa"/>
            <w:tcBorders>
              <w:tl2br w:val="nil"/>
              <w:tr2bl w:val="nil"/>
            </w:tcBorders>
            <w:vAlign w:val="center"/>
          </w:tcPr>
          <w:p>
            <w:pPr>
              <w:adjustRightInd w:val="0"/>
              <w:snapToGrid w:val="0"/>
              <w:jc w:val="center"/>
              <w:rPr>
                <w:sz w:val="21"/>
                <w:szCs w:val="21"/>
              </w:rPr>
            </w:pPr>
          </w:p>
        </w:tc>
        <w:tc>
          <w:tcPr>
            <w:tcW w:w="750" w:type="dxa"/>
            <w:tcBorders>
              <w:tl2br w:val="nil"/>
              <w:tr2bl w:val="nil"/>
            </w:tcBorders>
            <w:vAlign w:val="center"/>
          </w:tcPr>
          <w:p>
            <w:pPr>
              <w:adjustRightInd w:val="0"/>
              <w:snapToGrid w:val="0"/>
              <w:jc w:val="center"/>
              <w:rPr>
                <w:sz w:val="21"/>
                <w:szCs w:val="21"/>
              </w:rPr>
            </w:pP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vMerge w:val="continue"/>
            <w:tcBorders>
              <w:tl2br w:val="nil"/>
              <w:tr2bl w:val="nil"/>
            </w:tcBorders>
            <w:vAlign w:val="center"/>
          </w:tcPr>
          <w:p>
            <w:pPr>
              <w:adjustRightInd w:val="0"/>
              <w:snapToGrid w:val="0"/>
              <w:jc w:val="center"/>
              <w:rPr>
                <w:sz w:val="21"/>
                <w:szCs w:val="21"/>
              </w:rPr>
            </w:pPr>
          </w:p>
        </w:tc>
        <w:tc>
          <w:tcPr>
            <w:tcW w:w="1281" w:type="dxa"/>
            <w:tcBorders>
              <w:tl2br w:val="nil"/>
              <w:tr2bl w:val="nil"/>
            </w:tcBorders>
            <w:vAlign w:val="center"/>
          </w:tcPr>
          <w:p>
            <w:pPr>
              <w:adjustRightInd w:val="0"/>
              <w:snapToGrid w:val="0"/>
              <w:jc w:val="center"/>
              <w:rPr>
                <w:sz w:val="21"/>
                <w:szCs w:val="21"/>
              </w:rPr>
            </w:pPr>
            <w:r>
              <w:rPr>
                <w:sz w:val="21"/>
                <w:szCs w:val="21"/>
              </w:rPr>
              <w:t>土壤</w:t>
            </w:r>
          </w:p>
        </w:tc>
        <w:tc>
          <w:tcPr>
            <w:tcW w:w="873" w:type="dxa"/>
            <w:tcBorders>
              <w:tl2br w:val="nil"/>
              <w:tr2bl w:val="nil"/>
            </w:tcBorders>
            <w:vAlign w:val="center"/>
          </w:tcPr>
          <w:p>
            <w:pPr>
              <w:adjustRightInd w:val="0"/>
              <w:snapToGrid w:val="0"/>
              <w:jc w:val="center"/>
              <w:rPr>
                <w:sz w:val="21"/>
                <w:szCs w:val="21"/>
              </w:rPr>
            </w:pPr>
          </w:p>
        </w:tc>
        <w:tc>
          <w:tcPr>
            <w:tcW w:w="804"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p>
        </w:tc>
        <w:tc>
          <w:tcPr>
            <w:tcW w:w="845"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p>
        </w:tc>
        <w:tc>
          <w:tcPr>
            <w:tcW w:w="804" w:type="dxa"/>
            <w:tcBorders>
              <w:tl2br w:val="nil"/>
              <w:tr2bl w:val="nil"/>
            </w:tcBorders>
            <w:vAlign w:val="center"/>
          </w:tcPr>
          <w:p>
            <w:pPr>
              <w:adjustRightInd w:val="0"/>
              <w:snapToGrid w:val="0"/>
              <w:jc w:val="center"/>
              <w:rPr>
                <w:sz w:val="21"/>
                <w:szCs w:val="21"/>
              </w:rPr>
            </w:pPr>
          </w:p>
        </w:tc>
        <w:tc>
          <w:tcPr>
            <w:tcW w:w="791" w:type="dxa"/>
            <w:tcBorders>
              <w:tl2br w:val="nil"/>
              <w:tr2bl w:val="nil"/>
            </w:tcBorders>
            <w:vAlign w:val="center"/>
          </w:tcPr>
          <w:p>
            <w:pPr>
              <w:adjustRightInd w:val="0"/>
              <w:snapToGrid w:val="0"/>
              <w:jc w:val="center"/>
              <w:rPr>
                <w:sz w:val="21"/>
                <w:szCs w:val="21"/>
              </w:rPr>
            </w:pPr>
          </w:p>
        </w:tc>
        <w:tc>
          <w:tcPr>
            <w:tcW w:w="764" w:type="dxa"/>
            <w:tcBorders>
              <w:tl2br w:val="nil"/>
              <w:tr2bl w:val="nil"/>
            </w:tcBorders>
            <w:vAlign w:val="center"/>
          </w:tcPr>
          <w:p>
            <w:pPr>
              <w:adjustRightInd w:val="0"/>
              <w:snapToGrid w:val="0"/>
              <w:jc w:val="center"/>
              <w:rPr>
                <w:sz w:val="21"/>
                <w:szCs w:val="21"/>
              </w:rPr>
            </w:pPr>
          </w:p>
        </w:tc>
        <w:tc>
          <w:tcPr>
            <w:tcW w:w="750" w:type="dxa"/>
            <w:tcBorders>
              <w:tl2br w:val="nil"/>
              <w:tr2bl w:val="nil"/>
            </w:tcBorders>
            <w:vAlign w:val="center"/>
          </w:tcPr>
          <w:p>
            <w:pPr>
              <w:adjustRightInd w:val="0"/>
              <w:snapToGrid w:val="0"/>
              <w:jc w:val="center"/>
              <w:rPr>
                <w:sz w:val="21"/>
                <w:szCs w:val="21"/>
              </w:rPr>
            </w:pP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vMerge w:val="continue"/>
            <w:tcBorders>
              <w:tl2br w:val="nil"/>
              <w:tr2bl w:val="nil"/>
            </w:tcBorders>
            <w:vAlign w:val="center"/>
          </w:tcPr>
          <w:p>
            <w:pPr>
              <w:adjustRightInd w:val="0"/>
              <w:snapToGrid w:val="0"/>
              <w:jc w:val="center"/>
              <w:rPr>
                <w:sz w:val="21"/>
                <w:szCs w:val="21"/>
              </w:rPr>
            </w:pPr>
          </w:p>
        </w:tc>
        <w:tc>
          <w:tcPr>
            <w:tcW w:w="1281" w:type="dxa"/>
            <w:tcBorders>
              <w:tl2br w:val="nil"/>
              <w:tr2bl w:val="nil"/>
            </w:tcBorders>
            <w:vAlign w:val="center"/>
          </w:tcPr>
          <w:p>
            <w:pPr>
              <w:adjustRightInd w:val="0"/>
              <w:snapToGrid w:val="0"/>
              <w:jc w:val="center"/>
              <w:rPr>
                <w:sz w:val="21"/>
                <w:szCs w:val="21"/>
              </w:rPr>
            </w:pPr>
            <w:r>
              <w:rPr>
                <w:sz w:val="21"/>
                <w:szCs w:val="21"/>
              </w:rPr>
              <w:t>生态</w:t>
            </w:r>
          </w:p>
        </w:tc>
        <w:tc>
          <w:tcPr>
            <w:tcW w:w="873" w:type="dxa"/>
            <w:tcBorders>
              <w:tl2br w:val="nil"/>
              <w:tr2bl w:val="nil"/>
            </w:tcBorders>
            <w:vAlign w:val="center"/>
          </w:tcPr>
          <w:p>
            <w:pPr>
              <w:adjustRightInd w:val="0"/>
              <w:snapToGrid w:val="0"/>
              <w:jc w:val="center"/>
              <w:rPr>
                <w:sz w:val="21"/>
                <w:szCs w:val="21"/>
              </w:rPr>
            </w:pPr>
          </w:p>
        </w:tc>
        <w:tc>
          <w:tcPr>
            <w:tcW w:w="804"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p>
        </w:tc>
        <w:tc>
          <w:tcPr>
            <w:tcW w:w="845"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p>
        </w:tc>
        <w:tc>
          <w:tcPr>
            <w:tcW w:w="804" w:type="dxa"/>
            <w:tcBorders>
              <w:tl2br w:val="nil"/>
              <w:tr2bl w:val="nil"/>
            </w:tcBorders>
            <w:vAlign w:val="center"/>
          </w:tcPr>
          <w:p>
            <w:pPr>
              <w:adjustRightInd w:val="0"/>
              <w:snapToGrid w:val="0"/>
              <w:jc w:val="center"/>
              <w:rPr>
                <w:sz w:val="21"/>
                <w:szCs w:val="21"/>
              </w:rPr>
            </w:pPr>
          </w:p>
        </w:tc>
        <w:tc>
          <w:tcPr>
            <w:tcW w:w="791" w:type="dxa"/>
            <w:tcBorders>
              <w:tl2br w:val="nil"/>
              <w:tr2bl w:val="nil"/>
            </w:tcBorders>
            <w:vAlign w:val="center"/>
          </w:tcPr>
          <w:p>
            <w:pPr>
              <w:adjustRightInd w:val="0"/>
              <w:snapToGrid w:val="0"/>
              <w:jc w:val="center"/>
              <w:rPr>
                <w:sz w:val="21"/>
                <w:szCs w:val="21"/>
              </w:rPr>
            </w:pPr>
          </w:p>
        </w:tc>
        <w:tc>
          <w:tcPr>
            <w:tcW w:w="764" w:type="dxa"/>
            <w:tcBorders>
              <w:tl2br w:val="nil"/>
              <w:tr2bl w:val="nil"/>
            </w:tcBorders>
            <w:vAlign w:val="center"/>
          </w:tcPr>
          <w:p>
            <w:pPr>
              <w:adjustRightInd w:val="0"/>
              <w:snapToGrid w:val="0"/>
              <w:jc w:val="center"/>
              <w:rPr>
                <w:sz w:val="21"/>
                <w:szCs w:val="21"/>
              </w:rPr>
            </w:pPr>
          </w:p>
        </w:tc>
        <w:tc>
          <w:tcPr>
            <w:tcW w:w="750" w:type="dxa"/>
            <w:tcBorders>
              <w:tl2br w:val="nil"/>
              <w:tr2bl w:val="nil"/>
            </w:tcBorders>
            <w:vAlign w:val="center"/>
          </w:tcPr>
          <w:p>
            <w:pPr>
              <w:adjustRightInd w:val="0"/>
              <w:snapToGrid w:val="0"/>
              <w:jc w:val="center"/>
              <w:rPr>
                <w:sz w:val="21"/>
                <w:szCs w:val="21"/>
              </w:rPr>
            </w:pPr>
            <w:r>
              <w:rPr>
                <w:rFonts w:hint="eastAsia" w:ascii="宋体" w:hAnsi="宋体" w:cs="宋体"/>
                <w:sz w:val="21"/>
                <w:szCs w:val="21"/>
              </w:rPr>
              <w:t>※</w:t>
            </w:r>
            <w:r>
              <w:rPr>
                <w:rFonts w:hint="eastAsia"/>
                <w:sz w:val="21"/>
                <w:szCs w:val="21"/>
              </w:rPr>
              <w:t>DP</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vMerge w:val="restart"/>
            <w:tcBorders>
              <w:tl2br w:val="nil"/>
              <w:tr2bl w:val="nil"/>
            </w:tcBorders>
            <w:vAlign w:val="center"/>
          </w:tcPr>
          <w:p>
            <w:pPr>
              <w:adjustRightInd w:val="0"/>
              <w:snapToGrid w:val="0"/>
              <w:jc w:val="center"/>
              <w:rPr>
                <w:sz w:val="21"/>
                <w:szCs w:val="21"/>
              </w:rPr>
            </w:pPr>
            <w:r>
              <w:rPr>
                <w:sz w:val="21"/>
                <w:szCs w:val="21"/>
              </w:rPr>
              <w:t>人文生态</w:t>
            </w:r>
          </w:p>
        </w:tc>
        <w:tc>
          <w:tcPr>
            <w:tcW w:w="1281" w:type="dxa"/>
            <w:tcBorders>
              <w:tl2br w:val="nil"/>
              <w:tr2bl w:val="nil"/>
            </w:tcBorders>
            <w:vAlign w:val="center"/>
          </w:tcPr>
          <w:p>
            <w:pPr>
              <w:adjustRightInd w:val="0"/>
              <w:snapToGrid w:val="0"/>
              <w:jc w:val="center"/>
              <w:rPr>
                <w:sz w:val="21"/>
                <w:szCs w:val="21"/>
              </w:rPr>
            </w:pPr>
            <w:r>
              <w:rPr>
                <w:sz w:val="21"/>
                <w:szCs w:val="21"/>
              </w:rPr>
              <w:t>自然景观</w:t>
            </w:r>
          </w:p>
        </w:tc>
        <w:tc>
          <w:tcPr>
            <w:tcW w:w="873" w:type="dxa"/>
            <w:tcBorders>
              <w:tl2br w:val="nil"/>
              <w:tr2bl w:val="nil"/>
            </w:tcBorders>
            <w:vAlign w:val="center"/>
          </w:tcPr>
          <w:p>
            <w:pPr>
              <w:adjustRightInd w:val="0"/>
              <w:snapToGrid w:val="0"/>
              <w:jc w:val="center"/>
              <w:rPr>
                <w:sz w:val="21"/>
                <w:szCs w:val="21"/>
              </w:rPr>
            </w:pPr>
          </w:p>
        </w:tc>
        <w:tc>
          <w:tcPr>
            <w:tcW w:w="804"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p>
        </w:tc>
        <w:tc>
          <w:tcPr>
            <w:tcW w:w="845" w:type="dxa"/>
            <w:tcBorders>
              <w:tl2br w:val="nil"/>
              <w:tr2bl w:val="nil"/>
            </w:tcBorders>
            <w:vAlign w:val="center"/>
          </w:tcPr>
          <w:p>
            <w:pPr>
              <w:adjustRightInd w:val="0"/>
              <w:snapToGrid w:val="0"/>
              <w:jc w:val="center"/>
              <w:rPr>
                <w:sz w:val="21"/>
                <w:szCs w:val="21"/>
              </w:rPr>
            </w:pPr>
            <w:r>
              <w:rPr>
                <w:sz w:val="21"/>
                <w:szCs w:val="21"/>
              </w:rPr>
              <w:t>ODP</w:t>
            </w:r>
          </w:p>
        </w:tc>
        <w:tc>
          <w:tcPr>
            <w:tcW w:w="846" w:type="dxa"/>
            <w:tcBorders>
              <w:tl2br w:val="nil"/>
              <w:tr2bl w:val="nil"/>
            </w:tcBorders>
            <w:vAlign w:val="center"/>
          </w:tcPr>
          <w:p>
            <w:pPr>
              <w:adjustRightInd w:val="0"/>
              <w:snapToGrid w:val="0"/>
              <w:jc w:val="center"/>
              <w:rPr>
                <w:sz w:val="21"/>
                <w:szCs w:val="21"/>
              </w:rPr>
            </w:pPr>
          </w:p>
        </w:tc>
        <w:tc>
          <w:tcPr>
            <w:tcW w:w="804" w:type="dxa"/>
            <w:tcBorders>
              <w:tl2br w:val="nil"/>
              <w:tr2bl w:val="nil"/>
            </w:tcBorders>
            <w:vAlign w:val="center"/>
          </w:tcPr>
          <w:p>
            <w:pPr>
              <w:adjustRightInd w:val="0"/>
              <w:snapToGrid w:val="0"/>
              <w:jc w:val="center"/>
              <w:rPr>
                <w:sz w:val="21"/>
                <w:szCs w:val="21"/>
              </w:rPr>
            </w:pPr>
          </w:p>
        </w:tc>
        <w:tc>
          <w:tcPr>
            <w:tcW w:w="791" w:type="dxa"/>
            <w:tcBorders>
              <w:tl2br w:val="nil"/>
              <w:tr2bl w:val="nil"/>
            </w:tcBorders>
            <w:vAlign w:val="center"/>
          </w:tcPr>
          <w:p>
            <w:pPr>
              <w:adjustRightInd w:val="0"/>
              <w:snapToGrid w:val="0"/>
              <w:jc w:val="center"/>
              <w:rPr>
                <w:sz w:val="21"/>
                <w:szCs w:val="21"/>
              </w:rPr>
            </w:pPr>
          </w:p>
        </w:tc>
        <w:tc>
          <w:tcPr>
            <w:tcW w:w="764" w:type="dxa"/>
            <w:tcBorders>
              <w:tl2br w:val="nil"/>
              <w:tr2bl w:val="nil"/>
            </w:tcBorders>
            <w:vAlign w:val="center"/>
          </w:tcPr>
          <w:p>
            <w:pPr>
              <w:adjustRightInd w:val="0"/>
              <w:snapToGrid w:val="0"/>
              <w:jc w:val="center"/>
              <w:rPr>
                <w:sz w:val="21"/>
                <w:szCs w:val="21"/>
              </w:rPr>
            </w:pPr>
            <w:r>
              <w:rPr>
                <w:sz w:val="21"/>
                <w:szCs w:val="21"/>
              </w:rPr>
              <w:t>ODP</w:t>
            </w:r>
          </w:p>
        </w:tc>
        <w:tc>
          <w:tcPr>
            <w:tcW w:w="750" w:type="dxa"/>
            <w:tcBorders>
              <w:tl2br w:val="nil"/>
              <w:tr2bl w:val="nil"/>
            </w:tcBorders>
            <w:vAlign w:val="center"/>
          </w:tcPr>
          <w:p>
            <w:pPr>
              <w:adjustRightInd w:val="0"/>
              <w:snapToGrid w:val="0"/>
              <w:jc w:val="center"/>
              <w:rPr>
                <w:sz w:val="21"/>
                <w:szCs w:val="21"/>
              </w:rPr>
            </w:pPr>
            <w:r>
              <w:rPr>
                <w:sz w:val="21"/>
                <w:szCs w:val="21"/>
              </w:rPr>
              <w:t>ODP</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vMerge w:val="continue"/>
            <w:tcBorders>
              <w:tl2br w:val="nil"/>
              <w:tr2bl w:val="nil"/>
            </w:tcBorders>
            <w:vAlign w:val="center"/>
          </w:tcPr>
          <w:p>
            <w:pPr>
              <w:adjustRightInd w:val="0"/>
              <w:snapToGrid w:val="0"/>
              <w:jc w:val="center"/>
              <w:rPr>
                <w:sz w:val="21"/>
                <w:szCs w:val="21"/>
              </w:rPr>
            </w:pPr>
          </w:p>
        </w:tc>
        <w:tc>
          <w:tcPr>
            <w:tcW w:w="1281" w:type="dxa"/>
            <w:tcBorders>
              <w:tl2br w:val="nil"/>
              <w:tr2bl w:val="nil"/>
            </w:tcBorders>
            <w:vAlign w:val="center"/>
          </w:tcPr>
          <w:p>
            <w:pPr>
              <w:adjustRightInd w:val="0"/>
              <w:snapToGrid w:val="0"/>
              <w:jc w:val="center"/>
              <w:rPr>
                <w:sz w:val="21"/>
                <w:szCs w:val="21"/>
              </w:rPr>
            </w:pPr>
            <w:r>
              <w:rPr>
                <w:sz w:val="21"/>
                <w:szCs w:val="21"/>
              </w:rPr>
              <w:t>公众健康</w:t>
            </w:r>
          </w:p>
        </w:tc>
        <w:tc>
          <w:tcPr>
            <w:tcW w:w="873" w:type="dxa"/>
            <w:tcBorders>
              <w:tl2br w:val="nil"/>
              <w:tr2bl w:val="nil"/>
            </w:tcBorders>
            <w:vAlign w:val="center"/>
          </w:tcPr>
          <w:p>
            <w:pPr>
              <w:adjustRightInd w:val="0"/>
              <w:snapToGrid w:val="0"/>
              <w:jc w:val="center"/>
              <w:rPr>
                <w:sz w:val="21"/>
                <w:szCs w:val="21"/>
              </w:rPr>
            </w:pPr>
            <w:r>
              <w:rPr>
                <w:sz w:val="21"/>
                <w:szCs w:val="21"/>
              </w:rPr>
              <w:t>O</w:t>
            </w:r>
            <w:r>
              <w:rPr>
                <w:rFonts w:hint="eastAsia"/>
                <w:sz w:val="21"/>
                <w:szCs w:val="21"/>
              </w:rPr>
              <w:t>D</w:t>
            </w:r>
            <w:r>
              <w:rPr>
                <w:sz w:val="21"/>
                <w:szCs w:val="21"/>
              </w:rPr>
              <w:t>P</w:t>
            </w:r>
          </w:p>
        </w:tc>
        <w:tc>
          <w:tcPr>
            <w:tcW w:w="804"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r>
              <w:rPr>
                <w:sz w:val="21"/>
                <w:szCs w:val="21"/>
              </w:rPr>
              <w:t>ODP</w:t>
            </w:r>
          </w:p>
        </w:tc>
        <w:tc>
          <w:tcPr>
            <w:tcW w:w="845" w:type="dxa"/>
            <w:tcBorders>
              <w:tl2br w:val="nil"/>
              <w:tr2bl w:val="nil"/>
            </w:tcBorders>
            <w:vAlign w:val="center"/>
          </w:tcPr>
          <w:p>
            <w:pPr>
              <w:adjustRightInd w:val="0"/>
              <w:snapToGrid w:val="0"/>
              <w:jc w:val="center"/>
              <w:rPr>
                <w:sz w:val="21"/>
                <w:szCs w:val="21"/>
              </w:rPr>
            </w:pPr>
          </w:p>
        </w:tc>
        <w:tc>
          <w:tcPr>
            <w:tcW w:w="846" w:type="dxa"/>
            <w:tcBorders>
              <w:tl2br w:val="nil"/>
              <w:tr2bl w:val="nil"/>
            </w:tcBorders>
            <w:vAlign w:val="center"/>
          </w:tcPr>
          <w:p>
            <w:pPr>
              <w:adjustRightInd w:val="0"/>
              <w:snapToGrid w:val="0"/>
              <w:jc w:val="center"/>
              <w:rPr>
                <w:sz w:val="21"/>
                <w:szCs w:val="21"/>
              </w:rPr>
            </w:pPr>
            <w:r>
              <w:rPr>
                <w:sz w:val="21"/>
                <w:szCs w:val="21"/>
              </w:rPr>
              <w:t>O</w:t>
            </w:r>
            <w:r>
              <w:rPr>
                <w:rFonts w:hint="eastAsia"/>
                <w:sz w:val="21"/>
                <w:szCs w:val="21"/>
              </w:rPr>
              <w:t>D</w:t>
            </w:r>
            <w:r>
              <w:rPr>
                <w:sz w:val="21"/>
                <w:szCs w:val="21"/>
              </w:rPr>
              <w:t>P</w:t>
            </w:r>
          </w:p>
        </w:tc>
        <w:tc>
          <w:tcPr>
            <w:tcW w:w="804" w:type="dxa"/>
            <w:tcBorders>
              <w:tl2br w:val="nil"/>
              <w:tr2bl w:val="nil"/>
            </w:tcBorders>
            <w:vAlign w:val="center"/>
          </w:tcPr>
          <w:p>
            <w:pPr>
              <w:adjustRightInd w:val="0"/>
              <w:snapToGrid w:val="0"/>
              <w:jc w:val="center"/>
              <w:rPr>
                <w:sz w:val="21"/>
                <w:szCs w:val="21"/>
              </w:rPr>
            </w:pPr>
          </w:p>
        </w:tc>
        <w:tc>
          <w:tcPr>
            <w:tcW w:w="791" w:type="dxa"/>
            <w:tcBorders>
              <w:tl2br w:val="nil"/>
              <w:tr2bl w:val="nil"/>
            </w:tcBorders>
            <w:vAlign w:val="center"/>
          </w:tcPr>
          <w:p>
            <w:pPr>
              <w:adjustRightInd w:val="0"/>
              <w:snapToGrid w:val="0"/>
              <w:jc w:val="center"/>
              <w:rPr>
                <w:sz w:val="21"/>
                <w:szCs w:val="21"/>
              </w:rPr>
            </w:pPr>
            <w:r>
              <w:rPr>
                <w:sz w:val="21"/>
                <w:szCs w:val="21"/>
              </w:rPr>
              <w:t>O</w:t>
            </w:r>
            <w:r>
              <w:rPr>
                <w:rFonts w:hint="eastAsia"/>
                <w:sz w:val="21"/>
                <w:szCs w:val="21"/>
              </w:rPr>
              <w:t>D</w:t>
            </w:r>
            <w:r>
              <w:rPr>
                <w:sz w:val="21"/>
                <w:szCs w:val="21"/>
              </w:rPr>
              <w:t>P</w:t>
            </w:r>
          </w:p>
        </w:tc>
        <w:tc>
          <w:tcPr>
            <w:tcW w:w="764" w:type="dxa"/>
            <w:tcBorders>
              <w:tl2br w:val="nil"/>
              <w:tr2bl w:val="nil"/>
            </w:tcBorders>
            <w:vAlign w:val="center"/>
          </w:tcPr>
          <w:p>
            <w:pPr>
              <w:adjustRightInd w:val="0"/>
              <w:snapToGrid w:val="0"/>
              <w:jc w:val="center"/>
              <w:rPr>
                <w:sz w:val="21"/>
                <w:szCs w:val="21"/>
              </w:rPr>
            </w:pPr>
          </w:p>
        </w:tc>
        <w:tc>
          <w:tcPr>
            <w:tcW w:w="750" w:type="dxa"/>
            <w:tcBorders>
              <w:tl2br w:val="nil"/>
              <w:tr2bl w:val="nil"/>
            </w:tcBorders>
            <w:vAlign w:val="center"/>
          </w:tcPr>
          <w:p>
            <w:pPr>
              <w:adjustRightInd w:val="0"/>
              <w:snapToGrid w:val="0"/>
              <w:jc w:val="center"/>
              <w:rPr>
                <w:sz w:val="21"/>
                <w:szCs w:val="21"/>
              </w:rPr>
            </w:pP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3" w:type="dxa"/>
            <w:gridSpan w:val="2"/>
            <w:tcBorders>
              <w:tl2br w:val="nil"/>
              <w:tr2bl w:val="nil"/>
            </w:tcBorders>
            <w:vAlign w:val="center"/>
          </w:tcPr>
          <w:p>
            <w:pPr>
              <w:adjustRightInd w:val="0"/>
              <w:snapToGrid w:val="0"/>
              <w:jc w:val="both"/>
              <w:rPr>
                <w:sz w:val="21"/>
                <w:szCs w:val="21"/>
              </w:rPr>
            </w:pPr>
            <w:r>
              <w:rPr>
                <w:sz w:val="21"/>
                <w:szCs w:val="21"/>
              </w:rPr>
              <w:t>说明</w:t>
            </w:r>
          </w:p>
        </w:tc>
        <w:tc>
          <w:tcPr>
            <w:tcW w:w="7323" w:type="dxa"/>
            <w:gridSpan w:val="9"/>
            <w:tcBorders>
              <w:tl2br w:val="nil"/>
              <w:tr2bl w:val="nil"/>
            </w:tcBorders>
            <w:vAlign w:val="center"/>
          </w:tcPr>
          <w:p>
            <w:pPr>
              <w:adjustRightInd w:val="0"/>
              <w:snapToGrid w:val="0"/>
              <w:jc w:val="both"/>
              <w:rPr>
                <w:sz w:val="21"/>
                <w:szCs w:val="21"/>
              </w:rPr>
            </w:pPr>
            <w:r>
              <w:rPr>
                <w:sz w:val="21"/>
                <w:szCs w:val="21"/>
              </w:rPr>
              <w:t xml:space="preserve">有无影响：O—一般  </w:t>
            </w:r>
            <w:r>
              <w:rPr>
                <w:rFonts w:hint="eastAsia" w:ascii="宋体" w:hAnsi="宋体" w:cs="宋体"/>
                <w:sz w:val="21"/>
                <w:szCs w:val="21"/>
              </w:rPr>
              <w:t>※</w:t>
            </w:r>
            <w:r>
              <w:rPr>
                <w:sz w:val="21"/>
                <w:szCs w:val="21"/>
              </w:rPr>
              <w:t>—较大；     影响时段：D—短期  C—长期；</w:t>
            </w:r>
          </w:p>
          <w:p>
            <w:pPr>
              <w:adjustRightInd w:val="0"/>
              <w:snapToGrid w:val="0"/>
              <w:jc w:val="both"/>
              <w:rPr>
                <w:sz w:val="21"/>
                <w:szCs w:val="21"/>
              </w:rPr>
            </w:pPr>
            <w:r>
              <w:rPr>
                <w:sz w:val="21"/>
                <w:szCs w:val="21"/>
              </w:rPr>
              <w:t>影响范围：P—局部  W—大范围</w:t>
            </w:r>
          </w:p>
        </w:tc>
      </w:tr>
      <w:bookmarkEnd w:id="68"/>
      <w:bookmarkEnd w:id="69"/>
    </w:tbl>
    <w:p>
      <w:pPr>
        <w:pStyle w:val="103"/>
        <w:adjustRightInd w:val="0"/>
        <w:snapToGrid w:val="0"/>
        <w:spacing w:line="440" w:lineRule="exact"/>
        <w:ind w:firstLine="480"/>
        <w:rPr>
          <w:color w:val="auto"/>
        </w:rPr>
      </w:pPr>
      <w:r>
        <w:rPr>
          <w:rFonts w:hint="eastAsia"/>
          <w:snapToGrid w:val="0"/>
          <w:color w:val="auto"/>
          <w:kern w:val="0"/>
        </w:rPr>
        <w:t>本项目施工期较短，运营期结束后进行土地复垦和生态恢复，因而，项目施工期和运营期对环境的影响均为短期的，但运营期时间相对较长</w:t>
      </w:r>
      <w:r>
        <w:rPr>
          <w:snapToGrid w:val="0"/>
          <w:color w:val="auto"/>
          <w:kern w:val="0"/>
        </w:rPr>
        <w:t>。据此可以确定，评价时段重点：</w:t>
      </w:r>
      <w:r>
        <w:rPr>
          <w:rFonts w:hint="eastAsia"/>
          <w:snapToGrid w:val="0"/>
          <w:color w:val="auto"/>
          <w:kern w:val="0"/>
        </w:rPr>
        <w:t>运营期</w:t>
      </w:r>
      <w:r>
        <w:rPr>
          <w:snapToGrid w:val="0"/>
          <w:color w:val="auto"/>
          <w:kern w:val="0"/>
        </w:rPr>
        <w:t>。评价时段内，主要的影响</w:t>
      </w:r>
      <w:r>
        <w:rPr>
          <w:rFonts w:hint="eastAsia"/>
          <w:snapToGrid w:val="0"/>
          <w:color w:val="auto"/>
          <w:kern w:val="0"/>
          <w:lang w:eastAsia="zh-CN"/>
        </w:rPr>
        <w:t>为生态影响，</w:t>
      </w:r>
      <w:r>
        <w:rPr>
          <w:snapToGrid w:val="0"/>
          <w:color w:val="auto"/>
          <w:kern w:val="0"/>
        </w:rPr>
        <w:t>其次为</w:t>
      </w:r>
      <w:r>
        <w:rPr>
          <w:rFonts w:hint="eastAsia"/>
          <w:snapToGrid w:val="0"/>
          <w:color w:val="auto"/>
          <w:kern w:val="0"/>
          <w:lang w:eastAsia="zh-CN"/>
        </w:rPr>
        <w:t>废气、</w:t>
      </w:r>
      <w:r>
        <w:rPr>
          <w:snapToGrid w:val="0"/>
          <w:color w:val="auto"/>
          <w:kern w:val="0"/>
        </w:rPr>
        <w:t>废水</w:t>
      </w:r>
      <w:r>
        <w:rPr>
          <w:rFonts w:hint="eastAsia"/>
          <w:snapToGrid w:val="0"/>
          <w:color w:val="auto"/>
          <w:kern w:val="0"/>
          <w:lang w:eastAsia="zh-CN"/>
        </w:rPr>
        <w:t>、噪声</w:t>
      </w:r>
      <w:r>
        <w:rPr>
          <w:rFonts w:hint="eastAsia"/>
          <w:snapToGrid w:val="0"/>
          <w:color w:val="auto"/>
          <w:kern w:val="0"/>
        </w:rPr>
        <w:t>和</w:t>
      </w:r>
      <w:r>
        <w:rPr>
          <w:snapToGrid w:val="0"/>
          <w:color w:val="auto"/>
          <w:kern w:val="0"/>
        </w:rPr>
        <w:t>固体废物。</w:t>
      </w:r>
    </w:p>
    <w:p>
      <w:pPr>
        <w:widowControl w:val="0"/>
        <w:adjustRightInd w:val="0"/>
        <w:snapToGrid w:val="0"/>
        <w:spacing w:before="120" w:beforeLines="50" w:after="120" w:afterLines="50"/>
        <w:jc w:val="both"/>
        <w:outlineLvl w:val="2"/>
        <w:rPr>
          <w:b/>
          <w:kern w:val="2"/>
        </w:rPr>
      </w:pPr>
      <w:r>
        <w:rPr>
          <w:b/>
          <w:kern w:val="2"/>
        </w:rPr>
        <w:t>1.2.2评价因子筛选</w:t>
      </w:r>
    </w:p>
    <w:p>
      <w:pPr>
        <w:pStyle w:val="103"/>
        <w:adjustRightInd w:val="0"/>
        <w:snapToGrid w:val="0"/>
        <w:spacing w:line="440" w:lineRule="exact"/>
        <w:ind w:firstLine="480"/>
        <w:rPr>
          <w:color w:val="auto"/>
        </w:rPr>
      </w:pPr>
      <w:r>
        <w:rPr>
          <w:color w:val="auto"/>
        </w:rPr>
        <w:t>根据</w:t>
      </w:r>
      <w:r>
        <w:rPr>
          <w:rFonts w:hint="eastAsia"/>
          <w:color w:val="auto"/>
        </w:rPr>
        <w:t>项目</w:t>
      </w:r>
      <w:r>
        <w:rPr>
          <w:color w:val="auto"/>
        </w:rPr>
        <w:t>污染物排放特点和对环境因素影响的程度，筛选出本项目评价因子，见表1.2-2。</w:t>
      </w:r>
    </w:p>
    <w:p>
      <w:pPr>
        <w:adjustRightInd w:val="0"/>
        <w:snapToGrid w:val="0"/>
        <w:spacing w:before="120" w:beforeLines="50"/>
        <w:jc w:val="center"/>
        <w:rPr>
          <w:rFonts w:ascii="黑体" w:hAnsi="黑体" w:eastAsia="黑体" w:cs="黑体"/>
          <w:sz w:val="21"/>
          <w:szCs w:val="21"/>
          <w:lang w:val="en-GB"/>
        </w:rPr>
      </w:pPr>
      <w:r>
        <w:rPr>
          <w:rFonts w:hint="eastAsia" w:ascii="黑体" w:hAnsi="黑体" w:eastAsia="黑体" w:cs="黑体"/>
          <w:sz w:val="21"/>
          <w:szCs w:val="21"/>
          <w:lang w:val="en-GB"/>
        </w:rPr>
        <w:t>表</w:t>
      </w:r>
      <w:r>
        <w:rPr>
          <w:rFonts w:eastAsia="黑体"/>
          <w:sz w:val="21"/>
          <w:szCs w:val="21"/>
          <w:lang w:val="en-GB"/>
        </w:rPr>
        <w:t>1.2-2</w:t>
      </w:r>
      <w:r>
        <w:rPr>
          <w:rFonts w:hint="eastAsia" w:ascii="黑体" w:hAnsi="黑体" w:eastAsia="黑体" w:cs="黑体"/>
          <w:sz w:val="21"/>
          <w:szCs w:val="21"/>
          <w:lang w:val="en-GB"/>
        </w:rPr>
        <w:t xml:space="preserve">  评价因子筛选</w:t>
      </w:r>
    </w:p>
    <w:tbl>
      <w:tblPr>
        <w:tblStyle w:val="88"/>
        <w:tblW w:w="928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96"/>
        <w:gridCol w:w="3675"/>
        <w:gridCol w:w="38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6" w:hRule="atLeast"/>
          <w:tblHeader/>
        </w:trPr>
        <w:tc>
          <w:tcPr>
            <w:tcW w:w="1796" w:type="dxa"/>
            <w:tcBorders>
              <w:tl2br w:val="nil"/>
              <w:tr2bl w:val="nil"/>
            </w:tcBorders>
            <w:vAlign w:val="center"/>
          </w:tcPr>
          <w:p>
            <w:pPr>
              <w:adjustRightInd w:val="0"/>
              <w:snapToGrid w:val="0"/>
              <w:jc w:val="center"/>
              <w:rPr>
                <w:sz w:val="21"/>
                <w:szCs w:val="21"/>
              </w:rPr>
            </w:pPr>
            <w:r>
              <w:rPr>
                <w:sz w:val="21"/>
                <w:szCs w:val="21"/>
              </w:rPr>
              <w:t>类型</w:t>
            </w:r>
          </w:p>
        </w:tc>
        <w:tc>
          <w:tcPr>
            <w:tcW w:w="3675" w:type="dxa"/>
            <w:tcBorders>
              <w:tl2br w:val="nil"/>
              <w:tr2bl w:val="nil"/>
            </w:tcBorders>
            <w:vAlign w:val="center"/>
          </w:tcPr>
          <w:p>
            <w:pPr>
              <w:adjustRightInd w:val="0"/>
              <w:snapToGrid w:val="0"/>
              <w:jc w:val="center"/>
              <w:rPr>
                <w:sz w:val="21"/>
                <w:szCs w:val="21"/>
              </w:rPr>
            </w:pPr>
            <w:r>
              <w:rPr>
                <w:sz w:val="21"/>
                <w:szCs w:val="21"/>
              </w:rPr>
              <w:t>现状评价因子</w:t>
            </w:r>
          </w:p>
        </w:tc>
        <w:tc>
          <w:tcPr>
            <w:tcW w:w="3815" w:type="dxa"/>
            <w:tcBorders>
              <w:tl2br w:val="nil"/>
              <w:tr2bl w:val="nil"/>
            </w:tcBorders>
            <w:vAlign w:val="center"/>
          </w:tcPr>
          <w:p>
            <w:pPr>
              <w:adjustRightInd w:val="0"/>
              <w:snapToGrid w:val="0"/>
              <w:jc w:val="center"/>
              <w:rPr>
                <w:sz w:val="21"/>
                <w:szCs w:val="21"/>
              </w:rPr>
            </w:pPr>
            <w:r>
              <w:rPr>
                <w:sz w:val="21"/>
                <w:szCs w:val="21"/>
              </w:rPr>
              <w:t>预测评价因子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tblHeader/>
        </w:trPr>
        <w:tc>
          <w:tcPr>
            <w:tcW w:w="1796" w:type="dxa"/>
            <w:tcBorders>
              <w:tl2br w:val="nil"/>
              <w:tr2bl w:val="nil"/>
            </w:tcBorders>
            <w:vAlign w:val="center"/>
          </w:tcPr>
          <w:p>
            <w:pPr>
              <w:adjustRightInd w:val="0"/>
              <w:snapToGrid w:val="0"/>
              <w:jc w:val="center"/>
              <w:rPr>
                <w:sz w:val="21"/>
                <w:szCs w:val="21"/>
              </w:rPr>
            </w:pPr>
            <w:r>
              <w:rPr>
                <w:sz w:val="21"/>
                <w:szCs w:val="21"/>
              </w:rPr>
              <w:t>大气环境</w:t>
            </w:r>
          </w:p>
        </w:tc>
        <w:tc>
          <w:tcPr>
            <w:tcW w:w="3675" w:type="dxa"/>
            <w:tcBorders>
              <w:tl2br w:val="nil"/>
              <w:tr2bl w:val="nil"/>
            </w:tcBorders>
            <w:vAlign w:val="center"/>
          </w:tcPr>
          <w:p>
            <w:pPr>
              <w:adjustRightInd w:val="0"/>
              <w:snapToGrid w:val="0"/>
              <w:jc w:val="center"/>
              <w:rPr>
                <w:sz w:val="21"/>
                <w:szCs w:val="21"/>
              </w:rPr>
            </w:pPr>
            <w:r>
              <w:rPr>
                <w:rFonts w:hint="eastAsia"/>
                <w:sz w:val="21"/>
                <w:szCs w:val="21"/>
              </w:rPr>
              <w:t>TSP、</w:t>
            </w:r>
            <w:r>
              <w:rPr>
                <w:sz w:val="21"/>
                <w:szCs w:val="21"/>
              </w:rPr>
              <w:t>PM</w:t>
            </w:r>
            <w:r>
              <w:rPr>
                <w:sz w:val="21"/>
                <w:szCs w:val="21"/>
                <w:vertAlign w:val="subscript"/>
              </w:rPr>
              <w:t>10</w:t>
            </w:r>
            <w:r>
              <w:rPr>
                <w:sz w:val="21"/>
                <w:szCs w:val="21"/>
              </w:rPr>
              <w:t>、PM</w:t>
            </w:r>
            <w:r>
              <w:rPr>
                <w:sz w:val="21"/>
                <w:szCs w:val="21"/>
                <w:vertAlign w:val="subscript"/>
              </w:rPr>
              <w:t>2.5</w:t>
            </w:r>
            <w:r>
              <w:rPr>
                <w:sz w:val="21"/>
                <w:szCs w:val="21"/>
              </w:rPr>
              <w:t>、SO</w:t>
            </w:r>
            <w:r>
              <w:rPr>
                <w:sz w:val="21"/>
                <w:szCs w:val="21"/>
                <w:vertAlign w:val="subscript"/>
              </w:rPr>
              <w:t>2</w:t>
            </w:r>
            <w:r>
              <w:rPr>
                <w:sz w:val="21"/>
                <w:szCs w:val="21"/>
              </w:rPr>
              <w:t>、NO</w:t>
            </w:r>
            <w:r>
              <w:rPr>
                <w:sz w:val="21"/>
                <w:szCs w:val="21"/>
                <w:vertAlign w:val="subscript"/>
              </w:rPr>
              <w:t>2</w:t>
            </w:r>
            <w:r>
              <w:rPr>
                <w:sz w:val="21"/>
                <w:szCs w:val="21"/>
              </w:rPr>
              <w:t>、CO、</w:t>
            </w:r>
            <w:r>
              <w:rPr>
                <w:rFonts w:hint="eastAsia"/>
                <w:sz w:val="21"/>
                <w:szCs w:val="21"/>
              </w:rPr>
              <w:t>O</w:t>
            </w:r>
            <w:r>
              <w:rPr>
                <w:rFonts w:hint="eastAsia"/>
                <w:sz w:val="21"/>
                <w:szCs w:val="21"/>
                <w:vertAlign w:val="subscript"/>
              </w:rPr>
              <w:t>3</w:t>
            </w:r>
          </w:p>
        </w:tc>
        <w:tc>
          <w:tcPr>
            <w:tcW w:w="3815" w:type="dxa"/>
            <w:tcBorders>
              <w:tl2br w:val="nil"/>
              <w:tr2bl w:val="nil"/>
            </w:tcBorders>
            <w:vAlign w:val="center"/>
          </w:tcPr>
          <w:p>
            <w:pPr>
              <w:pStyle w:val="36"/>
              <w:adjustRightInd w:val="0"/>
              <w:spacing w:line="240" w:lineRule="auto"/>
              <w:ind w:firstLine="0" w:firstLineChars="0"/>
              <w:jc w:val="center"/>
              <w:rPr>
                <w:rFonts w:eastAsia="宋体"/>
                <w:sz w:val="21"/>
                <w:szCs w:val="21"/>
              </w:rPr>
            </w:pPr>
            <w:r>
              <w:rPr>
                <w:rFonts w:hint="eastAsia"/>
                <w:sz w:val="21"/>
                <w:szCs w:val="21"/>
              </w:rPr>
              <w:t>TSP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tblHeader/>
        </w:trPr>
        <w:tc>
          <w:tcPr>
            <w:tcW w:w="1796" w:type="dxa"/>
            <w:tcBorders>
              <w:tl2br w:val="nil"/>
              <w:tr2bl w:val="nil"/>
            </w:tcBorders>
            <w:vAlign w:val="center"/>
          </w:tcPr>
          <w:p>
            <w:pPr>
              <w:adjustRightInd w:val="0"/>
              <w:snapToGrid w:val="0"/>
              <w:jc w:val="center"/>
              <w:rPr>
                <w:sz w:val="21"/>
                <w:szCs w:val="21"/>
              </w:rPr>
            </w:pPr>
            <w:r>
              <w:rPr>
                <w:sz w:val="21"/>
                <w:szCs w:val="21"/>
              </w:rPr>
              <w:t>地表水</w:t>
            </w:r>
          </w:p>
        </w:tc>
        <w:tc>
          <w:tcPr>
            <w:tcW w:w="3675" w:type="dxa"/>
            <w:tcBorders>
              <w:tl2br w:val="nil"/>
              <w:tr2bl w:val="nil"/>
            </w:tcBorders>
            <w:vAlign w:val="center"/>
          </w:tcPr>
          <w:p>
            <w:pPr>
              <w:adjustRightInd w:val="0"/>
              <w:snapToGrid w:val="0"/>
              <w:jc w:val="center"/>
              <w:rPr>
                <w:rFonts w:eastAsiaTheme="minorEastAsia"/>
                <w:sz w:val="21"/>
                <w:szCs w:val="21"/>
              </w:rPr>
            </w:pPr>
            <w:r>
              <w:rPr>
                <w:rFonts w:eastAsiaTheme="minorEastAsia"/>
                <w:spacing w:val="-4"/>
                <w:sz w:val="21"/>
                <w:szCs w:val="21"/>
              </w:rPr>
              <w:t>pH、COD</w:t>
            </w:r>
            <w:r>
              <w:rPr>
                <w:rFonts w:eastAsiaTheme="minorEastAsia"/>
                <w:spacing w:val="-4"/>
                <w:sz w:val="21"/>
                <w:szCs w:val="21"/>
                <w:vertAlign w:val="subscript"/>
              </w:rPr>
              <w:t>cr</w:t>
            </w:r>
            <w:r>
              <w:rPr>
                <w:rFonts w:eastAsiaTheme="minorEastAsia"/>
                <w:spacing w:val="-4"/>
                <w:sz w:val="21"/>
                <w:szCs w:val="21"/>
              </w:rPr>
              <w:t>、BOD</w:t>
            </w:r>
            <w:r>
              <w:rPr>
                <w:rFonts w:eastAsiaTheme="minorEastAsia"/>
                <w:spacing w:val="-4"/>
                <w:sz w:val="21"/>
                <w:szCs w:val="21"/>
                <w:vertAlign w:val="subscript"/>
              </w:rPr>
              <w:t>5</w:t>
            </w:r>
            <w:r>
              <w:rPr>
                <w:rFonts w:eastAsiaTheme="minorEastAsia"/>
                <w:spacing w:val="-4"/>
                <w:sz w:val="21"/>
                <w:szCs w:val="21"/>
              </w:rPr>
              <w:t>、氨氮、石油类、硫化物</w:t>
            </w:r>
            <w:r>
              <w:rPr>
                <w:rFonts w:hint="eastAsia" w:eastAsiaTheme="minorEastAsia"/>
                <w:spacing w:val="-4"/>
                <w:sz w:val="21"/>
                <w:szCs w:val="21"/>
              </w:rPr>
              <w:t>等</w:t>
            </w:r>
          </w:p>
        </w:tc>
        <w:tc>
          <w:tcPr>
            <w:tcW w:w="3815" w:type="dxa"/>
            <w:tcBorders>
              <w:tl2br w:val="nil"/>
              <w:tr2bl w:val="nil"/>
            </w:tcBorders>
            <w:vAlign w:val="center"/>
          </w:tcPr>
          <w:p>
            <w:pPr>
              <w:pStyle w:val="36"/>
              <w:adjustRightInd w:val="0"/>
              <w:spacing w:line="240" w:lineRule="auto"/>
              <w:ind w:firstLine="0" w:firstLineChars="0"/>
              <w:jc w:val="center"/>
              <w:rPr>
                <w:sz w:val="21"/>
                <w:szCs w:val="21"/>
              </w:rPr>
            </w:pPr>
            <w:r>
              <w:rPr>
                <w:rFonts w:hint="eastAsia"/>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tblHeader/>
        </w:trPr>
        <w:tc>
          <w:tcPr>
            <w:tcW w:w="1796" w:type="dxa"/>
            <w:tcBorders>
              <w:tl2br w:val="nil"/>
              <w:tr2bl w:val="nil"/>
            </w:tcBorders>
            <w:vAlign w:val="center"/>
          </w:tcPr>
          <w:p>
            <w:pPr>
              <w:adjustRightInd w:val="0"/>
              <w:snapToGrid w:val="0"/>
              <w:jc w:val="center"/>
              <w:rPr>
                <w:sz w:val="21"/>
                <w:szCs w:val="21"/>
              </w:rPr>
            </w:pPr>
            <w:r>
              <w:rPr>
                <w:sz w:val="21"/>
                <w:szCs w:val="21"/>
              </w:rPr>
              <w:t>声环境</w:t>
            </w:r>
          </w:p>
        </w:tc>
        <w:tc>
          <w:tcPr>
            <w:tcW w:w="3675" w:type="dxa"/>
            <w:tcBorders>
              <w:tl2br w:val="nil"/>
              <w:tr2bl w:val="nil"/>
            </w:tcBorders>
            <w:vAlign w:val="center"/>
          </w:tcPr>
          <w:p>
            <w:pPr>
              <w:adjustRightInd w:val="0"/>
              <w:snapToGrid w:val="0"/>
              <w:jc w:val="center"/>
              <w:rPr>
                <w:sz w:val="21"/>
                <w:szCs w:val="21"/>
                <w:vertAlign w:val="subscript"/>
              </w:rPr>
            </w:pPr>
            <w:r>
              <w:rPr>
                <w:sz w:val="21"/>
                <w:szCs w:val="21"/>
              </w:rPr>
              <w:t>L</w:t>
            </w:r>
            <w:r>
              <w:rPr>
                <w:sz w:val="21"/>
                <w:szCs w:val="21"/>
                <w:vertAlign w:val="subscript"/>
              </w:rPr>
              <w:t>eq</w:t>
            </w:r>
          </w:p>
        </w:tc>
        <w:tc>
          <w:tcPr>
            <w:tcW w:w="3815" w:type="dxa"/>
            <w:tcBorders>
              <w:tl2br w:val="nil"/>
              <w:tr2bl w:val="nil"/>
            </w:tcBorders>
            <w:vAlign w:val="center"/>
          </w:tcPr>
          <w:p>
            <w:pPr>
              <w:adjustRightInd w:val="0"/>
              <w:snapToGrid w:val="0"/>
              <w:jc w:val="center"/>
              <w:rPr>
                <w:sz w:val="21"/>
                <w:szCs w:val="21"/>
              </w:rPr>
            </w:pPr>
            <w:r>
              <w:rPr>
                <w:sz w:val="21"/>
                <w:szCs w:val="21"/>
              </w:rPr>
              <w:t>L</w:t>
            </w:r>
            <w:r>
              <w:rPr>
                <w:sz w:val="21"/>
                <w:szCs w:val="21"/>
                <w:vertAlign w:val="subscript"/>
              </w:rPr>
              <w:t>eq</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tblHeader/>
        </w:trPr>
        <w:tc>
          <w:tcPr>
            <w:tcW w:w="1796" w:type="dxa"/>
            <w:tcBorders>
              <w:tl2br w:val="nil"/>
              <w:tr2bl w:val="nil"/>
            </w:tcBorders>
            <w:vAlign w:val="center"/>
          </w:tcPr>
          <w:p>
            <w:pPr>
              <w:adjustRightInd w:val="0"/>
              <w:snapToGrid w:val="0"/>
              <w:jc w:val="center"/>
              <w:rPr>
                <w:sz w:val="21"/>
                <w:szCs w:val="21"/>
              </w:rPr>
            </w:pPr>
            <w:r>
              <w:rPr>
                <w:sz w:val="21"/>
                <w:szCs w:val="21"/>
              </w:rPr>
              <w:t>固体废物</w:t>
            </w:r>
          </w:p>
        </w:tc>
        <w:tc>
          <w:tcPr>
            <w:tcW w:w="3675" w:type="dxa"/>
            <w:tcBorders>
              <w:tl2br w:val="nil"/>
              <w:tr2bl w:val="nil"/>
            </w:tcBorders>
            <w:vAlign w:val="center"/>
          </w:tcPr>
          <w:p>
            <w:pPr>
              <w:adjustRightInd w:val="0"/>
              <w:snapToGrid w:val="0"/>
              <w:jc w:val="center"/>
              <w:rPr>
                <w:sz w:val="21"/>
                <w:szCs w:val="21"/>
              </w:rPr>
            </w:pPr>
            <w:r>
              <w:rPr>
                <w:sz w:val="21"/>
                <w:szCs w:val="21"/>
              </w:rPr>
              <w:t>/</w:t>
            </w:r>
          </w:p>
        </w:tc>
        <w:tc>
          <w:tcPr>
            <w:tcW w:w="3815" w:type="dxa"/>
            <w:tcBorders>
              <w:tl2br w:val="nil"/>
              <w:tr2bl w:val="nil"/>
            </w:tcBorders>
            <w:vAlign w:val="center"/>
          </w:tcPr>
          <w:p>
            <w:pPr>
              <w:adjustRightInd w:val="0"/>
              <w:snapToGrid w:val="0"/>
              <w:jc w:val="center"/>
              <w:rPr>
                <w:sz w:val="21"/>
                <w:szCs w:val="21"/>
              </w:rPr>
            </w:pPr>
            <w:r>
              <w:rPr>
                <w:sz w:val="21"/>
                <w:szCs w:val="21"/>
              </w:rPr>
              <w:t>工业废物（一般固废</w:t>
            </w:r>
            <w:r>
              <w:rPr>
                <w:rFonts w:hint="eastAsia"/>
                <w:sz w:val="21"/>
                <w:szCs w:val="21"/>
              </w:rPr>
              <w:t>、危险废物</w:t>
            </w:r>
            <w:r>
              <w:rPr>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tblHeader/>
        </w:trPr>
        <w:tc>
          <w:tcPr>
            <w:tcW w:w="1796" w:type="dxa"/>
            <w:tcBorders>
              <w:tl2br w:val="nil"/>
              <w:tr2bl w:val="nil"/>
            </w:tcBorders>
            <w:vAlign w:val="center"/>
          </w:tcPr>
          <w:p>
            <w:pPr>
              <w:adjustRightInd w:val="0"/>
              <w:snapToGrid w:val="0"/>
              <w:jc w:val="center"/>
              <w:rPr>
                <w:sz w:val="21"/>
                <w:szCs w:val="21"/>
              </w:rPr>
            </w:pPr>
            <w:r>
              <w:rPr>
                <w:rFonts w:hint="eastAsia"/>
                <w:sz w:val="21"/>
                <w:szCs w:val="21"/>
              </w:rPr>
              <w:t>生态环境</w:t>
            </w:r>
          </w:p>
        </w:tc>
        <w:tc>
          <w:tcPr>
            <w:tcW w:w="3675" w:type="dxa"/>
            <w:tcBorders>
              <w:tl2br w:val="nil"/>
              <w:tr2bl w:val="nil"/>
            </w:tcBorders>
            <w:vAlign w:val="center"/>
          </w:tcPr>
          <w:p>
            <w:pPr>
              <w:adjustRightInd w:val="0"/>
              <w:snapToGrid w:val="0"/>
              <w:jc w:val="center"/>
              <w:rPr>
                <w:sz w:val="21"/>
                <w:szCs w:val="21"/>
              </w:rPr>
            </w:pPr>
            <w:r>
              <w:rPr>
                <w:sz w:val="21"/>
                <w:szCs w:val="21"/>
              </w:rPr>
              <w:t>土地利用、</w:t>
            </w:r>
            <w:r>
              <w:rPr>
                <w:rFonts w:hint="eastAsia"/>
                <w:sz w:val="21"/>
                <w:szCs w:val="21"/>
              </w:rPr>
              <w:t>植被覆盖</w:t>
            </w:r>
            <w:r>
              <w:rPr>
                <w:sz w:val="21"/>
                <w:szCs w:val="21"/>
              </w:rPr>
              <w:t>、</w:t>
            </w:r>
            <w:r>
              <w:rPr>
                <w:rFonts w:hint="eastAsia"/>
                <w:sz w:val="21"/>
                <w:szCs w:val="21"/>
              </w:rPr>
              <w:t>土壤侵蚀</w:t>
            </w:r>
          </w:p>
        </w:tc>
        <w:tc>
          <w:tcPr>
            <w:tcW w:w="3815" w:type="dxa"/>
            <w:tcBorders>
              <w:tl2br w:val="nil"/>
              <w:tr2bl w:val="nil"/>
            </w:tcBorders>
            <w:vAlign w:val="center"/>
          </w:tcPr>
          <w:p>
            <w:pPr>
              <w:adjustRightInd w:val="0"/>
              <w:snapToGrid w:val="0"/>
              <w:jc w:val="center"/>
              <w:rPr>
                <w:sz w:val="21"/>
                <w:szCs w:val="21"/>
              </w:rPr>
            </w:pPr>
            <w:r>
              <w:rPr>
                <w:sz w:val="21"/>
                <w:szCs w:val="21"/>
              </w:rPr>
              <w:t>土地利用、</w:t>
            </w:r>
            <w:r>
              <w:rPr>
                <w:rFonts w:hint="eastAsia"/>
                <w:sz w:val="21"/>
                <w:szCs w:val="21"/>
              </w:rPr>
              <w:t>植被覆盖</w:t>
            </w:r>
            <w:r>
              <w:rPr>
                <w:sz w:val="21"/>
                <w:szCs w:val="21"/>
              </w:rPr>
              <w:t>、</w:t>
            </w:r>
            <w:r>
              <w:rPr>
                <w:rFonts w:hint="eastAsia"/>
                <w:sz w:val="21"/>
                <w:szCs w:val="21"/>
              </w:rPr>
              <w:t>土壤侵蚀</w:t>
            </w:r>
          </w:p>
        </w:tc>
      </w:tr>
    </w:tbl>
    <w:p>
      <w:pPr>
        <w:widowControl w:val="0"/>
        <w:adjustRightInd w:val="0"/>
        <w:snapToGrid w:val="0"/>
        <w:spacing w:before="120" w:beforeLines="50" w:after="120" w:afterLines="50"/>
        <w:jc w:val="both"/>
        <w:outlineLvl w:val="1"/>
        <w:rPr>
          <w:b/>
          <w:kern w:val="2"/>
          <w:sz w:val="28"/>
          <w:szCs w:val="28"/>
        </w:rPr>
      </w:pPr>
      <w:bookmarkStart w:id="70" w:name="_Toc399150351"/>
      <w:bookmarkStart w:id="71" w:name="_Toc9509"/>
      <w:bookmarkStart w:id="72" w:name="_Toc395801197"/>
      <w:bookmarkStart w:id="73" w:name="_Toc396395406"/>
      <w:r>
        <w:rPr>
          <w:b/>
          <w:kern w:val="2"/>
          <w:sz w:val="28"/>
          <w:szCs w:val="28"/>
        </w:rPr>
        <w:t>1.3评价标准</w:t>
      </w:r>
      <w:bookmarkEnd w:id="70"/>
      <w:bookmarkEnd w:id="71"/>
      <w:bookmarkEnd w:id="72"/>
      <w:bookmarkEnd w:id="73"/>
    </w:p>
    <w:p>
      <w:pPr>
        <w:widowControl w:val="0"/>
        <w:adjustRightInd w:val="0"/>
        <w:snapToGrid w:val="0"/>
        <w:spacing w:before="120" w:beforeLines="50" w:after="120" w:afterLines="50"/>
        <w:jc w:val="both"/>
        <w:outlineLvl w:val="2"/>
        <w:rPr>
          <w:b/>
          <w:kern w:val="2"/>
        </w:rPr>
      </w:pPr>
      <w:bookmarkStart w:id="74" w:name="_Toc399150352"/>
      <w:bookmarkStart w:id="75" w:name="_Toc395801198"/>
      <w:r>
        <w:rPr>
          <w:b/>
          <w:kern w:val="2"/>
        </w:rPr>
        <w:t>1.3.1环境质量评价标准</w:t>
      </w:r>
      <w:bookmarkEnd w:id="74"/>
      <w:bookmarkEnd w:id="75"/>
    </w:p>
    <w:p>
      <w:pPr>
        <w:pStyle w:val="245"/>
        <w:spacing w:line="440" w:lineRule="exact"/>
        <w:ind w:firstLine="480"/>
        <w:rPr>
          <w:rFonts w:eastAsiaTheme="minorEastAsia"/>
          <w:sz w:val="24"/>
          <w:szCs w:val="24"/>
        </w:rPr>
      </w:pPr>
      <w:bookmarkStart w:id="76" w:name="_Toc399150353"/>
      <w:bookmarkStart w:id="77" w:name="_Toc395801199"/>
      <w:r>
        <w:rPr>
          <w:rFonts w:hint="eastAsia" w:eastAsiaTheme="minorEastAsia"/>
          <w:sz w:val="24"/>
          <w:szCs w:val="24"/>
        </w:rPr>
        <w:t>（1）</w:t>
      </w:r>
      <w:r>
        <w:rPr>
          <w:rFonts w:eastAsiaTheme="minorEastAsia"/>
          <w:sz w:val="24"/>
          <w:szCs w:val="24"/>
        </w:rPr>
        <w:t>环境空气：</w:t>
      </w:r>
      <w:r>
        <w:rPr>
          <w:rFonts w:hint="eastAsia" w:eastAsiaTheme="minorEastAsia"/>
          <w:sz w:val="24"/>
          <w:szCs w:val="24"/>
        </w:rPr>
        <w:t>区域环境空气</w:t>
      </w:r>
      <w:r>
        <w:rPr>
          <w:rFonts w:hint="eastAsia"/>
          <w:sz w:val="24"/>
        </w:rPr>
        <w:t>执行《</w:t>
      </w:r>
      <w:r>
        <w:rPr>
          <w:sz w:val="24"/>
        </w:rPr>
        <w:t>环境空气质量标准</w:t>
      </w:r>
      <w:r>
        <w:rPr>
          <w:rFonts w:hint="eastAsia"/>
          <w:sz w:val="24"/>
        </w:rPr>
        <w:t>》(</w:t>
      </w:r>
      <w:r>
        <w:rPr>
          <w:sz w:val="24"/>
        </w:rPr>
        <w:t>GB3095-2012</w:t>
      </w:r>
      <w:r>
        <w:rPr>
          <w:rFonts w:hint="eastAsia"/>
          <w:sz w:val="24"/>
        </w:rPr>
        <w:t>)二级标准限值；</w:t>
      </w:r>
      <w:r>
        <w:rPr>
          <w:rFonts w:eastAsiaTheme="minorEastAsia"/>
          <w:sz w:val="24"/>
          <w:szCs w:val="24"/>
        </w:rPr>
        <w:t>标准值见表1.3-1。</w:t>
      </w:r>
    </w:p>
    <w:p>
      <w:pPr>
        <w:adjustRightInd w:val="0"/>
        <w:snapToGrid w:val="0"/>
        <w:spacing w:line="440" w:lineRule="exact"/>
        <w:jc w:val="center"/>
        <w:rPr>
          <w:rFonts w:ascii="黑体" w:hAnsi="黑体" w:eastAsia="黑体" w:cs="黑体"/>
          <w:sz w:val="21"/>
          <w:szCs w:val="21"/>
          <w:lang w:val="en-GB"/>
        </w:rPr>
      </w:pPr>
      <w:r>
        <w:rPr>
          <w:rFonts w:hint="eastAsia" w:ascii="黑体" w:hAnsi="黑体" w:eastAsia="黑体" w:cs="黑体"/>
          <w:sz w:val="21"/>
          <w:szCs w:val="21"/>
          <w:lang w:val="en-GB"/>
        </w:rPr>
        <w:t>表</w:t>
      </w:r>
      <w:r>
        <w:rPr>
          <w:rFonts w:eastAsia="黑体"/>
          <w:sz w:val="21"/>
          <w:szCs w:val="21"/>
          <w:lang w:val="en-GB"/>
        </w:rPr>
        <w:t>1.3-1</w:t>
      </w:r>
      <w:r>
        <w:rPr>
          <w:rFonts w:hint="eastAsia" w:ascii="黑体" w:hAnsi="黑体" w:eastAsia="黑体" w:cs="黑体"/>
          <w:sz w:val="21"/>
          <w:szCs w:val="21"/>
          <w:lang w:val="en-GB"/>
        </w:rPr>
        <w:t xml:space="preserve">  环境空气质量标准</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1"/>
        <w:gridCol w:w="3092"/>
        <w:gridCol w:w="3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pPr>
              <w:widowControl w:val="0"/>
              <w:spacing w:line="360" w:lineRule="exact"/>
              <w:jc w:val="center"/>
              <w:rPr>
                <w:bCs/>
                <w:sz w:val="21"/>
                <w:szCs w:val="21"/>
                <w:lang w:val="zh-CN"/>
              </w:rPr>
            </w:pPr>
            <w:r>
              <w:rPr>
                <w:bCs/>
                <w:sz w:val="21"/>
                <w:szCs w:val="21"/>
                <w:lang w:val="zh-CN"/>
              </w:rPr>
              <w:t>污染物</w:t>
            </w:r>
          </w:p>
        </w:tc>
        <w:tc>
          <w:tcPr>
            <w:tcW w:w="1665" w:type="pct"/>
            <w:vAlign w:val="center"/>
          </w:tcPr>
          <w:p>
            <w:pPr>
              <w:widowControl w:val="0"/>
              <w:spacing w:line="360" w:lineRule="exact"/>
              <w:jc w:val="center"/>
              <w:rPr>
                <w:bCs/>
                <w:sz w:val="21"/>
                <w:szCs w:val="21"/>
                <w:lang w:val="zh-CN"/>
              </w:rPr>
            </w:pPr>
            <w:r>
              <w:rPr>
                <w:bCs/>
                <w:sz w:val="21"/>
                <w:szCs w:val="21"/>
                <w:lang w:val="zh-CN"/>
              </w:rPr>
              <w:t>平均时间</w:t>
            </w:r>
          </w:p>
        </w:tc>
        <w:tc>
          <w:tcPr>
            <w:tcW w:w="1669" w:type="pct"/>
            <w:vAlign w:val="center"/>
          </w:tcPr>
          <w:p>
            <w:pPr>
              <w:widowControl w:val="0"/>
              <w:spacing w:line="360" w:lineRule="exact"/>
              <w:jc w:val="center"/>
              <w:rPr>
                <w:bCs/>
                <w:sz w:val="21"/>
                <w:szCs w:val="21"/>
                <w:lang w:val="zh-CN"/>
              </w:rPr>
            </w:pPr>
            <w:r>
              <w:rPr>
                <w:bCs/>
                <w:sz w:val="21"/>
                <w:szCs w:val="21"/>
                <w:lang w:val="zh-CN"/>
              </w:rPr>
              <w:t>二级标准浓度限值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restart"/>
            <w:vAlign w:val="center"/>
          </w:tcPr>
          <w:p>
            <w:pPr>
              <w:widowControl w:val="0"/>
              <w:spacing w:line="360" w:lineRule="exact"/>
              <w:jc w:val="center"/>
              <w:rPr>
                <w:bCs/>
                <w:sz w:val="21"/>
                <w:szCs w:val="21"/>
                <w:lang w:val="zh-CN"/>
              </w:rPr>
            </w:pPr>
            <w:r>
              <w:rPr>
                <w:bCs/>
                <w:sz w:val="21"/>
                <w:szCs w:val="21"/>
                <w:lang w:val="zh-CN"/>
              </w:rPr>
              <w:t>SO</w:t>
            </w:r>
            <w:r>
              <w:rPr>
                <w:bCs/>
                <w:sz w:val="21"/>
                <w:szCs w:val="21"/>
                <w:vertAlign w:val="subscript"/>
                <w:lang w:val="zh-CN"/>
              </w:rPr>
              <w:t>2</w:t>
            </w:r>
          </w:p>
        </w:tc>
        <w:tc>
          <w:tcPr>
            <w:tcW w:w="1665" w:type="pct"/>
            <w:vAlign w:val="center"/>
          </w:tcPr>
          <w:p>
            <w:pPr>
              <w:widowControl w:val="0"/>
              <w:spacing w:line="360" w:lineRule="exact"/>
              <w:jc w:val="center"/>
              <w:rPr>
                <w:bCs/>
                <w:sz w:val="21"/>
                <w:szCs w:val="21"/>
                <w:lang w:val="zh-CN"/>
              </w:rPr>
            </w:pPr>
            <w:r>
              <w:rPr>
                <w:bCs/>
                <w:sz w:val="21"/>
                <w:szCs w:val="21"/>
                <w:lang w:val="zh-CN"/>
              </w:rPr>
              <w:t>年平均</w:t>
            </w:r>
          </w:p>
        </w:tc>
        <w:tc>
          <w:tcPr>
            <w:tcW w:w="1669" w:type="pct"/>
            <w:vAlign w:val="center"/>
          </w:tcPr>
          <w:p>
            <w:pPr>
              <w:widowControl w:val="0"/>
              <w:spacing w:line="360" w:lineRule="exact"/>
              <w:jc w:val="center"/>
              <w:rPr>
                <w:bCs/>
                <w:sz w:val="21"/>
                <w:szCs w:val="21"/>
                <w:lang w:val="zh-CN"/>
              </w:rPr>
            </w:pPr>
            <w:r>
              <w:rPr>
                <w:bCs/>
                <w:sz w:val="21"/>
                <w:szCs w:val="21"/>
                <w:lang w:val="zh-CN"/>
              </w:rPr>
              <w:t>60μg/m³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vAlign w:val="center"/>
          </w:tcPr>
          <w:p>
            <w:pPr>
              <w:widowControl w:val="0"/>
              <w:spacing w:line="360" w:lineRule="exact"/>
              <w:jc w:val="center"/>
              <w:rPr>
                <w:bCs/>
                <w:sz w:val="21"/>
                <w:szCs w:val="21"/>
                <w:lang w:val="zh-CN"/>
              </w:rPr>
            </w:pPr>
          </w:p>
        </w:tc>
        <w:tc>
          <w:tcPr>
            <w:tcW w:w="1665" w:type="pct"/>
            <w:vAlign w:val="center"/>
          </w:tcPr>
          <w:p>
            <w:pPr>
              <w:widowControl w:val="0"/>
              <w:spacing w:line="360" w:lineRule="exact"/>
              <w:jc w:val="center"/>
              <w:rPr>
                <w:bCs/>
                <w:sz w:val="21"/>
                <w:szCs w:val="21"/>
                <w:lang w:val="zh-CN"/>
              </w:rPr>
            </w:pPr>
            <w:r>
              <w:rPr>
                <w:bCs/>
                <w:sz w:val="21"/>
                <w:szCs w:val="21"/>
                <w:lang w:val="zh-CN"/>
              </w:rPr>
              <w:t>24小时平均</w:t>
            </w:r>
          </w:p>
        </w:tc>
        <w:tc>
          <w:tcPr>
            <w:tcW w:w="1669" w:type="pct"/>
            <w:vAlign w:val="center"/>
          </w:tcPr>
          <w:p>
            <w:pPr>
              <w:widowControl w:val="0"/>
              <w:spacing w:line="360" w:lineRule="exact"/>
              <w:jc w:val="center"/>
              <w:rPr>
                <w:bCs/>
                <w:sz w:val="21"/>
                <w:szCs w:val="21"/>
                <w:lang w:val="zh-CN"/>
              </w:rPr>
            </w:pPr>
            <w:r>
              <w:rPr>
                <w:bCs/>
                <w:sz w:val="21"/>
                <w:szCs w:val="21"/>
                <w:lang w:val="zh-CN"/>
              </w:rPr>
              <w:t>150μg/m³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vAlign w:val="center"/>
          </w:tcPr>
          <w:p>
            <w:pPr>
              <w:widowControl w:val="0"/>
              <w:spacing w:line="360" w:lineRule="exact"/>
              <w:jc w:val="center"/>
              <w:rPr>
                <w:bCs/>
                <w:sz w:val="21"/>
                <w:szCs w:val="21"/>
                <w:lang w:val="zh-CN"/>
              </w:rPr>
            </w:pPr>
          </w:p>
        </w:tc>
        <w:tc>
          <w:tcPr>
            <w:tcW w:w="1665" w:type="pct"/>
            <w:vAlign w:val="center"/>
          </w:tcPr>
          <w:p>
            <w:pPr>
              <w:widowControl w:val="0"/>
              <w:spacing w:line="360" w:lineRule="exact"/>
              <w:jc w:val="center"/>
              <w:rPr>
                <w:bCs/>
                <w:sz w:val="21"/>
                <w:szCs w:val="21"/>
                <w:lang w:val="zh-CN"/>
              </w:rPr>
            </w:pPr>
            <w:r>
              <w:rPr>
                <w:bCs/>
                <w:sz w:val="21"/>
                <w:szCs w:val="21"/>
                <w:lang w:val="zh-CN"/>
              </w:rPr>
              <w:t>1小时平均</w:t>
            </w:r>
          </w:p>
        </w:tc>
        <w:tc>
          <w:tcPr>
            <w:tcW w:w="1669" w:type="pct"/>
            <w:vAlign w:val="center"/>
          </w:tcPr>
          <w:p>
            <w:pPr>
              <w:widowControl w:val="0"/>
              <w:spacing w:line="360" w:lineRule="exact"/>
              <w:jc w:val="center"/>
              <w:rPr>
                <w:bCs/>
                <w:sz w:val="21"/>
                <w:szCs w:val="21"/>
                <w:lang w:val="zh-CN"/>
              </w:rPr>
            </w:pPr>
            <w:r>
              <w:rPr>
                <w:bCs/>
                <w:sz w:val="21"/>
                <w:szCs w:val="21"/>
                <w:lang w:val="zh-CN"/>
              </w:rPr>
              <w:t>500μg/m³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restart"/>
            <w:vAlign w:val="center"/>
          </w:tcPr>
          <w:p>
            <w:pPr>
              <w:widowControl w:val="0"/>
              <w:spacing w:line="360" w:lineRule="exact"/>
              <w:jc w:val="center"/>
              <w:rPr>
                <w:bCs/>
                <w:sz w:val="21"/>
                <w:szCs w:val="21"/>
                <w:lang w:val="zh-CN"/>
              </w:rPr>
            </w:pPr>
            <w:r>
              <w:rPr>
                <w:bCs/>
                <w:sz w:val="21"/>
                <w:szCs w:val="21"/>
                <w:lang w:val="zh-CN"/>
              </w:rPr>
              <w:t>NO</w:t>
            </w:r>
            <w:r>
              <w:rPr>
                <w:bCs/>
                <w:sz w:val="21"/>
                <w:szCs w:val="21"/>
                <w:vertAlign w:val="subscript"/>
                <w:lang w:val="zh-CN"/>
              </w:rPr>
              <w:t>2</w:t>
            </w:r>
          </w:p>
        </w:tc>
        <w:tc>
          <w:tcPr>
            <w:tcW w:w="1665" w:type="pct"/>
            <w:vAlign w:val="center"/>
          </w:tcPr>
          <w:p>
            <w:pPr>
              <w:widowControl w:val="0"/>
              <w:spacing w:line="360" w:lineRule="exact"/>
              <w:jc w:val="center"/>
              <w:rPr>
                <w:bCs/>
                <w:sz w:val="21"/>
                <w:szCs w:val="21"/>
                <w:lang w:val="zh-CN"/>
              </w:rPr>
            </w:pPr>
            <w:r>
              <w:rPr>
                <w:bCs/>
                <w:sz w:val="21"/>
                <w:szCs w:val="21"/>
                <w:lang w:val="zh-CN"/>
              </w:rPr>
              <w:t>年平均</w:t>
            </w:r>
          </w:p>
        </w:tc>
        <w:tc>
          <w:tcPr>
            <w:tcW w:w="1669" w:type="pct"/>
            <w:vAlign w:val="center"/>
          </w:tcPr>
          <w:p>
            <w:pPr>
              <w:widowControl w:val="0"/>
              <w:spacing w:line="360" w:lineRule="exact"/>
              <w:jc w:val="center"/>
              <w:rPr>
                <w:bCs/>
                <w:sz w:val="21"/>
                <w:szCs w:val="21"/>
                <w:lang w:val="zh-CN"/>
              </w:rPr>
            </w:pPr>
            <w:r>
              <w:rPr>
                <w:bCs/>
                <w:sz w:val="21"/>
                <w:szCs w:val="21"/>
                <w:lang w:val="zh-CN"/>
              </w:rPr>
              <w:t>40μg/m³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vAlign w:val="center"/>
          </w:tcPr>
          <w:p>
            <w:pPr>
              <w:widowControl w:val="0"/>
              <w:spacing w:line="360" w:lineRule="exact"/>
              <w:jc w:val="center"/>
              <w:rPr>
                <w:bCs/>
                <w:sz w:val="21"/>
                <w:szCs w:val="21"/>
                <w:lang w:val="zh-CN"/>
              </w:rPr>
            </w:pPr>
          </w:p>
        </w:tc>
        <w:tc>
          <w:tcPr>
            <w:tcW w:w="1665" w:type="pct"/>
            <w:vAlign w:val="center"/>
          </w:tcPr>
          <w:p>
            <w:pPr>
              <w:widowControl w:val="0"/>
              <w:spacing w:line="360" w:lineRule="exact"/>
              <w:jc w:val="center"/>
              <w:rPr>
                <w:bCs/>
                <w:sz w:val="21"/>
                <w:szCs w:val="21"/>
                <w:lang w:val="zh-CN"/>
              </w:rPr>
            </w:pPr>
            <w:r>
              <w:rPr>
                <w:bCs/>
                <w:sz w:val="21"/>
                <w:szCs w:val="21"/>
                <w:lang w:val="zh-CN"/>
              </w:rPr>
              <w:t>24小时平均</w:t>
            </w:r>
          </w:p>
        </w:tc>
        <w:tc>
          <w:tcPr>
            <w:tcW w:w="1669" w:type="pct"/>
            <w:vAlign w:val="center"/>
          </w:tcPr>
          <w:p>
            <w:pPr>
              <w:widowControl w:val="0"/>
              <w:spacing w:line="360" w:lineRule="exact"/>
              <w:jc w:val="center"/>
              <w:rPr>
                <w:bCs/>
                <w:sz w:val="21"/>
                <w:szCs w:val="21"/>
                <w:lang w:val="zh-CN"/>
              </w:rPr>
            </w:pPr>
            <w:r>
              <w:rPr>
                <w:bCs/>
                <w:sz w:val="21"/>
                <w:szCs w:val="21"/>
                <w:lang w:val="zh-CN"/>
              </w:rPr>
              <w:t>80μg/m³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vAlign w:val="center"/>
          </w:tcPr>
          <w:p>
            <w:pPr>
              <w:widowControl w:val="0"/>
              <w:spacing w:line="360" w:lineRule="exact"/>
              <w:jc w:val="center"/>
              <w:rPr>
                <w:bCs/>
                <w:sz w:val="21"/>
                <w:szCs w:val="21"/>
                <w:lang w:val="zh-CN"/>
              </w:rPr>
            </w:pPr>
          </w:p>
        </w:tc>
        <w:tc>
          <w:tcPr>
            <w:tcW w:w="1665" w:type="pct"/>
            <w:vAlign w:val="center"/>
          </w:tcPr>
          <w:p>
            <w:pPr>
              <w:widowControl w:val="0"/>
              <w:spacing w:line="360" w:lineRule="exact"/>
              <w:jc w:val="center"/>
              <w:rPr>
                <w:bCs/>
                <w:sz w:val="21"/>
                <w:szCs w:val="21"/>
                <w:lang w:val="zh-CN"/>
              </w:rPr>
            </w:pPr>
            <w:r>
              <w:rPr>
                <w:bCs/>
                <w:sz w:val="21"/>
                <w:szCs w:val="21"/>
                <w:lang w:val="zh-CN"/>
              </w:rPr>
              <w:t>1小时平均</w:t>
            </w:r>
          </w:p>
        </w:tc>
        <w:tc>
          <w:tcPr>
            <w:tcW w:w="1669" w:type="pct"/>
            <w:vAlign w:val="center"/>
          </w:tcPr>
          <w:p>
            <w:pPr>
              <w:widowControl w:val="0"/>
              <w:spacing w:line="360" w:lineRule="exact"/>
              <w:jc w:val="center"/>
              <w:rPr>
                <w:bCs/>
                <w:sz w:val="21"/>
                <w:szCs w:val="21"/>
                <w:lang w:val="zh-CN"/>
              </w:rPr>
            </w:pPr>
            <w:r>
              <w:rPr>
                <w:bCs/>
                <w:sz w:val="21"/>
                <w:szCs w:val="21"/>
                <w:lang w:val="zh-CN"/>
              </w:rPr>
              <w:t>200μg/m³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restart"/>
            <w:vAlign w:val="center"/>
          </w:tcPr>
          <w:p>
            <w:pPr>
              <w:widowControl w:val="0"/>
              <w:spacing w:line="360" w:lineRule="exact"/>
              <w:jc w:val="center"/>
              <w:rPr>
                <w:bCs/>
                <w:sz w:val="21"/>
                <w:szCs w:val="21"/>
                <w:lang w:val="zh-CN"/>
              </w:rPr>
            </w:pPr>
            <w:r>
              <w:rPr>
                <w:bCs/>
                <w:sz w:val="21"/>
                <w:szCs w:val="21"/>
                <w:lang w:val="zh-CN"/>
              </w:rPr>
              <w:t>NO</w:t>
            </w:r>
            <w:r>
              <w:rPr>
                <w:rFonts w:hint="eastAsia"/>
                <w:bCs/>
                <w:sz w:val="21"/>
                <w:szCs w:val="21"/>
                <w:vertAlign w:val="subscript"/>
              </w:rPr>
              <w:t>X</w:t>
            </w:r>
          </w:p>
        </w:tc>
        <w:tc>
          <w:tcPr>
            <w:tcW w:w="1665" w:type="pct"/>
            <w:vAlign w:val="center"/>
          </w:tcPr>
          <w:p>
            <w:pPr>
              <w:widowControl w:val="0"/>
              <w:spacing w:line="360" w:lineRule="exact"/>
              <w:jc w:val="center"/>
              <w:rPr>
                <w:bCs/>
                <w:sz w:val="21"/>
                <w:szCs w:val="21"/>
                <w:lang w:val="zh-CN"/>
              </w:rPr>
            </w:pPr>
            <w:r>
              <w:rPr>
                <w:bCs/>
                <w:sz w:val="21"/>
                <w:szCs w:val="21"/>
                <w:lang w:val="zh-CN"/>
              </w:rPr>
              <w:t>年平均</w:t>
            </w:r>
          </w:p>
        </w:tc>
        <w:tc>
          <w:tcPr>
            <w:tcW w:w="1669" w:type="pct"/>
            <w:vAlign w:val="center"/>
          </w:tcPr>
          <w:p>
            <w:pPr>
              <w:widowControl w:val="0"/>
              <w:spacing w:line="360" w:lineRule="exact"/>
              <w:jc w:val="center"/>
              <w:rPr>
                <w:bCs/>
                <w:sz w:val="21"/>
                <w:szCs w:val="21"/>
                <w:lang w:val="zh-CN"/>
              </w:rPr>
            </w:pPr>
            <w:r>
              <w:rPr>
                <w:rFonts w:hint="eastAsia"/>
                <w:bCs/>
                <w:sz w:val="21"/>
                <w:szCs w:val="21"/>
              </w:rPr>
              <w:t>5</w:t>
            </w:r>
            <w:r>
              <w:rPr>
                <w:bCs/>
                <w:sz w:val="21"/>
                <w:szCs w:val="21"/>
                <w:lang w:val="zh-CN"/>
              </w:rPr>
              <w:t>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vAlign w:val="center"/>
          </w:tcPr>
          <w:p>
            <w:pPr>
              <w:widowControl w:val="0"/>
              <w:spacing w:line="360" w:lineRule="exact"/>
              <w:jc w:val="center"/>
              <w:rPr>
                <w:bCs/>
                <w:sz w:val="21"/>
                <w:szCs w:val="21"/>
                <w:lang w:val="zh-CN"/>
              </w:rPr>
            </w:pPr>
          </w:p>
        </w:tc>
        <w:tc>
          <w:tcPr>
            <w:tcW w:w="1665" w:type="pct"/>
            <w:vAlign w:val="center"/>
          </w:tcPr>
          <w:p>
            <w:pPr>
              <w:widowControl w:val="0"/>
              <w:spacing w:line="360" w:lineRule="exact"/>
              <w:jc w:val="center"/>
              <w:rPr>
                <w:bCs/>
                <w:sz w:val="21"/>
                <w:szCs w:val="21"/>
                <w:lang w:val="zh-CN"/>
              </w:rPr>
            </w:pPr>
            <w:r>
              <w:rPr>
                <w:bCs/>
                <w:sz w:val="21"/>
                <w:szCs w:val="21"/>
                <w:lang w:val="zh-CN"/>
              </w:rPr>
              <w:t>24小时平均</w:t>
            </w:r>
          </w:p>
        </w:tc>
        <w:tc>
          <w:tcPr>
            <w:tcW w:w="1669" w:type="pct"/>
            <w:vAlign w:val="center"/>
          </w:tcPr>
          <w:p>
            <w:pPr>
              <w:widowControl w:val="0"/>
              <w:spacing w:line="360" w:lineRule="exact"/>
              <w:jc w:val="center"/>
              <w:rPr>
                <w:bCs/>
                <w:sz w:val="21"/>
                <w:szCs w:val="21"/>
                <w:lang w:val="zh-CN"/>
              </w:rPr>
            </w:pPr>
            <w:r>
              <w:rPr>
                <w:rFonts w:hint="eastAsia"/>
                <w:bCs/>
                <w:sz w:val="21"/>
                <w:szCs w:val="21"/>
              </w:rPr>
              <w:t>10</w:t>
            </w:r>
            <w:r>
              <w:rPr>
                <w:bCs/>
                <w:sz w:val="21"/>
                <w:szCs w:val="21"/>
                <w:lang w:val="zh-CN"/>
              </w:rPr>
              <w:t>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vAlign w:val="center"/>
          </w:tcPr>
          <w:p>
            <w:pPr>
              <w:widowControl w:val="0"/>
              <w:spacing w:line="360" w:lineRule="exact"/>
              <w:jc w:val="center"/>
              <w:rPr>
                <w:bCs/>
                <w:sz w:val="21"/>
                <w:szCs w:val="21"/>
                <w:lang w:val="zh-CN"/>
              </w:rPr>
            </w:pPr>
          </w:p>
        </w:tc>
        <w:tc>
          <w:tcPr>
            <w:tcW w:w="1665" w:type="pct"/>
            <w:vAlign w:val="center"/>
          </w:tcPr>
          <w:p>
            <w:pPr>
              <w:widowControl w:val="0"/>
              <w:spacing w:line="360" w:lineRule="exact"/>
              <w:jc w:val="center"/>
              <w:rPr>
                <w:bCs/>
                <w:sz w:val="21"/>
                <w:szCs w:val="21"/>
                <w:lang w:val="zh-CN"/>
              </w:rPr>
            </w:pPr>
            <w:r>
              <w:rPr>
                <w:bCs/>
                <w:sz w:val="21"/>
                <w:szCs w:val="21"/>
                <w:lang w:val="zh-CN"/>
              </w:rPr>
              <w:t>1小时平均</w:t>
            </w:r>
          </w:p>
        </w:tc>
        <w:tc>
          <w:tcPr>
            <w:tcW w:w="1669" w:type="pct"/>
            <w:vAlign w:val="center"/>
          </w:tcPr>
          <w:p>
            <w:pPr>
              <w:widowControl w:val="0"/>
              <w:spacing w:line="360" w:lineRule="exact"/>
              <w:jc w:val="center"/>
              <w:rPr>
                <w:bCs/>
                <w:sz w:val="21"/>
                <w:szCs w:val="21"/>
                <w:lang w:val="zh-CN"/>
              </w:rPr>
            </w:pPr>
            <w:r>
              <w:rPr>
                <w:rFonts w:hint="eastAsia"/>
                <w:bCs/>
                <w:sz w:val="21"/>
                <w:szCs w:val="21"/>
              </w:rPr>
              <w:t>25</w:t>
            </w:r>
            <w:r>
              <w:rPr>
                <w:bCs/>
                <w:sz w:val="21"/>
                <w:szCs w:val="21"/>
                <w:lang w:val="zh-CN"/>
              </w:rPr>
              <w:t>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restart"/>
            <w:vAlign w:val="center"/>
          </w:tcPr>
          <w:p>
            <w:pPr>
              <w:widowControl w:val="0"/>
              <w:spacing w:line="360" w:lineRule="exact"/>
              <w:jc w:val="center"/>
              <w:rPr>
                <w:bCs/>
                <w:sz w:val="21"/>
                <w:szCs w:val="21"/>
                <w:lang w:val="zh-CN"/>
              </w:rPr>
            </w:pPr>
            <w:r>
              <w:rPr>
                <w:bCs/>
                <w:sz w:val="21"/>
                <w:szCs w:val="21"/>
                <w:lang w:val="zh-CN"/>
              </w:rPr>
              <w:t>TSP</w:t>
            </w:r>
          </w:p>
        </w:tc>
        <w:tc>
          <w:tcPr>
            <w:tcW w:w="1665" w:type="pct"/>
            <w:vAlign w:val="center"/>
          </w:tcPr>
          <w:p>
            <w:pPr>
              <w:widowControl w:val="0"/>
              <w:spacing w:line="360" w:lineRule="exact"/>
              <w:jc w:val="center"/>
              <w:rPr>
                <w:bCs/>
                <w:sz w:val="21"/>
                <w:szCs w:val="21"/>
                <w:lang w:val="zh-CN"/>
              </w:rPr>
            </w:pPr>
            <w:r>
              <w:rPr>
                <w:bCs/>
                <w:sz w:val="21"/>
                <w:szCs w:val="21"/>
                <w:lang w:val="zh-CN"/>
              </w:rPr>
              <w:t>年平均</w:t>
            </w:r>
          </w:p>
        </w:tc>
        <w:tc>
          <w:tcPr>
            <w:tcW w:w="1669" w:type="pct"/>
            <w:vAlign w:val="center"/>
          </w:tcPr>
          <w:p>
            <w:pPr>
              <w:widowControl w:val="0"/>
              <w:spacing w:line="360" w:lineRule="exact"/>
              <w:jc w:val="center"/>
              <w:rPr>
                <w:bCs/>
                <w:sz w:val="21"/>
                <w:szCs w:val="21"/>
                <w:lang w:val="zh-CN"/>
              </w:rPr>
            </w:pPr>
            <w:r>
              <w:rPr>
                <w:bCs/>
                <w:sz w:val="21"/>
                <w:szCs w:val="21"/>
                <w:lang w:val="zh-CN"/>
              </w:rPr>
              <w:t>200μg/m³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vAlign w:val="center"/>
          </w:tcPr>
          <w:p>
            <w:pPr>
              <w:widowControl w:val="0"/>
              <w:spacing w:line="360" w:lineRule="exact"/>
              <w:jc w:val="center"/>
              <w:rPr>
                <w:bCs/>
                <w:sz w:val="21"/>
                <w:szCs w:val="21"/>
                <w:lang w:val="zh-CN"/>
              </w:rPr>
            </w:pPr>
          </w:p>
        </w:tc>
        <w:tc>
          <w:tcPr>
            <w:tcW w:w="1665" w:type="pct"/>
            <w:vAlign w:val="center"/>
          </w:tcPr>
          <w:p>
            <w:pPr>
              <w:widowControl w:val="0"/>
              <w:spacing w:line="360" w:lineRule="exact"/>
              <w:jc w:val="center"/>
              <w:rPr>
                <w:bCs/>
                <w:sz w:val="21"/>
                <w:szCs w:val="21"/>
                <w:lang w:val="zh-CN"/>
              </w:rPr>
            </w:pPr>
            <w:r>
              <w:rPr>
                <w:bCs/>
                <w:sz w:val="21"/>
                <w:szCs w:val="21"/>
                <w:lang w:val="zh-CN"/>
              </w:rPr>
              <w:t>24小时平均</w:t>
            </w:r>
          </w:p>
        </w:tc>
        <w:tc>
          <w:tcPr>
            <w:tcW w:w="1669" w:type="pct"/>
            <w:vAlign w:val="center"/>
          </w:tcPr>
          <w:p>
            <w:pPr>
              <w:widowControl w:val="0"/>
              <w:spacing w:line="360" w:lineRule="exact"/>
              <w:jc w:val="center"/>
              <w:rPr>
                <w:bCs/>
                <w:sz w:val="21"/>
                <w:szCs w:val="21"/>
                <w:lang w:val="zh-CN"/>
              </w:rPr>
            </w:pPr>
            <w:r>
              <w:rPr>
                <w:bCs/>
                <w:sz w:val="21"/>
                <w:szCs w:val="21"/>
                <w:lang w:val="zh-CN"/>
              </w:rPr>
              <w:t>300μg/m³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restart"/>
            <w:vAlign w:val="center"/>
          </w:tcPr>
          <w:p>
            <w:pPr>
              <w:widowControl w:val="0"/>
              <w:spacing w:line="360" w:lineRule="exact"/>
              <w:jc w:val="center"/>
              <w:rPr>
                <w:bCs/>
                <w:sz w:val="21"/>
                <w:szCs w:val="21"/>
                <w:lang w:val="zh-CN"/>
              </w:rPr>
            </w:pPr>
            <w:r>
              <w:rPr>
                <w:bCs/>
                <w:sz w:val="21"/>
                <w:szCs w:val="21"/>
                <w:lang w:val="zh-CN"/>
              </w:rPr>
              <w:t>PM</w:t>
            </w:r>
            <w:r>
              <w:rPr>
                <w:bCs/>
                <w:sz w:val="21"/>
                <w:szCs w:val="21"/>
                <w:vertAlign w:val="subscript"/>
                <w:lang w:val="zh-CN"/>
              </w:rPr>
              <w:t>10</w:t>
            </w:r>
          </w:p>
        </w:tc>
        <w:tc>
          <w:tcPr>
            <w:tcW w:w="1665" w:type="pct"/>
            <w:vAlign w:val="center"/>
          </w:tcPr>
          <w:p>
            <w:pPr>
              <w:widowControl w:val="0"/>
              <w:spacing w:line="360" w:lineRule="exact"/>
              <w:jc w:val="center"/>
              <w:rPr>
                <w:bCs/>
                <w:sz w:val="21"/>
                <w:szCs w:val="21"/>
                <w:lang w:val="zh-CN"/>
              </w:rPr>
            </w:pPr>
            <w:r>
              <w:rPr>
                <w:bCs/>
                <w:sz w:val="21"/>
                <w:szCs w:val="21"/>
                <w:lang w:val="zh-CN"/>
              </w:rPr>
              <w:t>年平均</w:t>
            </w:r>
          </w:p>
        </w:tc>
        <w:tc>
          <w:tcPr>
            <w:tcW w:w="1669" w:type="pct"/>
            <w:vAlign w:val="center"/>
          </w:tcPr>
          <w:p>
            <w:pPr>
              <w:widowControl w:val="0"/>
              <w:spacing w:line="360" w:lineRule="exact"/>
              <w:jc w:val="center"/>
              <w:rPr>
                <w:bCs/>
                <w:sz w:val="21"/>
                <w:szCs w:val="21"/>
                <w:lang w:val="zh-CN"/>
              </w:rPr>
            </w:pPr>
            <w:r>
              <w:rPr>
                <w:bCs/>
                <w:sz w:val="21"/>
                <w:szCs w:val="21"/>
                <w:lang w:val="zh-CN"/>
              </w:rPr>
              <w:t>70μg/m³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vAlign w:val="center"/>
          </w:tcPr>
          <w:p>
            <w:pPr>
              <w:widowControl w:val="0"/>
              <w:spacing w:line="360" w:lineRule="exact"/>
              <w:jc w:val="center"/>
              <w:rPr>
                <w:bCs/>
                <w:sz w:val="21"/>
                <w:szCs w:val="21"/>
                <w:lang w:val="zh-CN"/>
              </w:rPr>
            </w:pPr>
          </w:p>
        </w:tc>
        <w:tc>
          <w:tcPr>
            <w:tcW w:w="1665" w:type="pct"/>
            <w:vAlign w:val="center"/>
          </w:tcPr>
          <w:p>
            <w:pPr>
              <w:widowControl w:val="0"/>
              <w:spacing w:line="360" w:lineRule="exact"/>
              <w:jc w:val="center"/>
              <w:rPr>
                <w:bCs/>
                <w:sz w:val="21"/>
                <w:szCs w:val="21"/>
                <w:lang w:val="zh-CN"/>
              </w:rPr>
            </w:pPr>
            <w:r>
              <w:rPr>
                <w:bCs/>
                <w:sz w:val="21"/>
                <w:szCs w:val="21"/>
                <w:lang w:val="zh-CN"/>
              </w:rPr>
              <w:t>24小时平均</w:t>
            </w:r>
          </w:p>
        </w:tc>
        <w:tc>
          <w:tcPr>
            <w:tcW w:w="1669" w:type="pct"/>
            <w:vAlign w:val="center"/>
          </w:tcPr>
          <w:p>
            <w:pPr>
              <w:widowControl w:val="0"/>
              <w:spacing w:line="360" w:lineRule="exact"/>
              <w:jc w:val="center"/>
              <w:rPr>
                <w:bCs/>
                <w:sz w:val="21"/>
                <w:szCs w:val="21"/>
                <w:lang w:val="zh-CN"/>
              </w:rPr>
            </w:pPr>
            <w:r>
              <w:rPr>
                <w:bCs/>
                <w:sz w:val="21"/>
                <w:szCs w:val="21"/>
                <w:lang w:val="zh-CN"/>
              </w:rPr>
              <w:t>150μg/m³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restart"/>
            <w:vAlign w:val="center"/>
          </w:tcPr>
          <w:p>
            <w:pPr>
              <w:widowControl w:val="0"/>
              <w:spacing w:line="360" w:lineRule="exact"/>
              <w:jc w:val="center"/>
              <w:rPr>
                <w:bCs/>
                <w:sz w:val="21"/>
                <w:szCs w:val="21"/>
              </w:rPr>
            </w:pPr>
            <w:r>
              <w:rPr>
                <w:bCs/>
                <w:sz w:val="21"/>
                <w:szCs w:val="21"/>
                <w:lang w:val="zh-CN"/>
              </w:rPr>
              <w:t>PM</w:t>
            </w:r>
            <w:r>
              <w:rPr>
                <w:rFonts w:hint="eastAsia"/>
                <w:bCs/>
                <w:sz w:val="21"/>
                <w:szCs w:val="21"/>
                <w:vertAlign w:val="subscript"/>
              </w:rPr>
              <w:t>2.5</w:t>
            </w:r>
          </w:p>
        </w:tc>
        <w:tc>
          <w:tcPr>
            <w:tcW w:w="1665" w:type="pct"/>
            <w:vAlign w:val="center"/>
          </w:tcPr>
          <w:p>
            <w:pPr>
              <w:widowControl w:val="0"/>
              <w:spacing w:line="360" w:lineRule="exact"/>
              <w:jc w:val="center"/>
              <w:rPr>
                <w:bCs/>
                <w:sz w:val="21"/>
                <w:szCs w:val="21"/>
                <w:lang w:val="zh-CN"/>
              </w:rPr>
            </w:pPr>
            <w:r>
              <w:rPr>
                <w:bCs/>
                <w:sz w:val="21"/>
                <w:szCs w:val="21"/>
                <w:lang w:val="zh-CN"/>
              </w:rPr>
              <w:t>年平均</w:t>
            </w:r>
          </w:p>
        </w:tc>
        <w:tc>
          <w:tcPr>
            <w:tcW w:w="1669" w:type="pct"/>
            <w:vAlign w:val="center"/>
          </w:tcPr>
          <w:p>
            <w:pPr>
              <w:widowControl w:val="0"/>
              <w:spacing w:line="360" w:lineRule="exact"/>
              <w:jc w:val="center"/>
              <w:rPr>
                <w:bCs/>
                <w:sz w:val="21"/>
                <w:szCs w:val="21"/>
              </w:rPr>
            </w:pPr>
            <w:r>
              <w:rPr>
                <w:rFonts w:hint="eastAsia"/>
                <w:bCs/>
                <w:sz w:val="21"/>
                <w:szCs w:val="21"/>
              </w:rPr>
              <w:t>35</w:t>
            </w:r>
            <w:r>
              <w:rPr>
                <w:bCs/>
                <w:sz w:val="21"/>
                <w:szCs w:val="21"/>
                <w:lang w:val="zh-CN"/>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vAlign w:val="center"/>
          </w:tcPr>
          <w:p>
            <w:pPr>
              <w:widowControl w:val="0"/>
              <w:spacing w:line="360" w:lineRule="exact"/>
              <w:jc w:val="center"/>
              <w:rPr>
                <w:bCs/>
                <w:sz w:val="21"/>
                <w:szCs w:val="21"/>
                <w:lang w:val="zh-CN"/>
              </w:rPr>
            </w:pPr>
          </w:p>
        </w:tc>
        <w:tc>
          <w:tcPr>
            <w:tcW w:w="1665" w:type="pct"/>
            <w:vAlign w:val="center"/>
          </w:tcPr>
          <w:p>
            <w:pPr>
              <w:widowControl w:val="0"/>
              <w:spacing w:line="360" w:lineRule="exact"/>
              <w:jc w:val="center"/>
              <w:rPr>
                <w:bCs/>
                <w:sz w:val="21"/>
                <w:szCs w:val="21"/>
                <w:lang w:val="zh-CN"/>
              </w:rPr>
            </w:pPr>
            <w:r>
              <w:rPr>
                <w:bCs/>
                <w:sz w:val="21"/>
                <w:szCs w:val="21"/>
                <w:lang w:val="zh-CN"/>
              </w:rPr>
              <w:t>24小时平均</w:t>
            </w:r>
          </w:p>
        </w:tc>
        <w:tc>
          <w:tcPr>
            <w:tcW w:w="1669" w:type="pct"/>
            <w:vAlign w:val="center"/>
          </w:tcPr>
          <w:p>
            <w:pPr>
              <w:widowControl w:val="0"/>
              <w:spacing w:line="360" w:lineRule="exact"/>
              <w:jc w:val="center"/>
              <w:rPr>
                <w:bCs/>
                <w:sz w:val="21"/>
                <w:szCs w:val="21"/>
              </w:rPr>
            </w:pPr>
            <w:r>
              <w:rPr>
                <w:rFonts w:hint="eastAsia"/>
                <w:bCs/>
                <w:sz w:val="21"/>
                <w:szCs w:val="21"/>
              </w:rPr>
              <w:t>75</w:t>
            </w:r>
            <w:r>
              <w:rPr>
                <w:bCs/>
                <w:sz w:val="21"/>
                <w:szCs w:val="21"/>
                <w:lang w:val="zh-CN"/>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restart"/>
            <w:vAlign w:val="center"/>
          </w:tcPr>
          <w:p>
            <w:pPr>
              <w:widowControl w:val="0"/>
              <w:spacing w:line="360" w:lineRule="exact"/>
              <w:jc w:val="center"/>
              <w:rPr>
                <w:bCs/>
                <w:sz w:val="21"/>
                <w:szCs w:val="21"/>
                <w:lang w:val="zh-CN"/>
              </w:rPr>
            </w:pPr>
            <w:r>
              <w:rPr>
                <w:bCs/>
                <w:sz w:val="21"/>
                <w:szCs w:val="21"/>
                <w:lang w:val="zh-CN"/>
              </w:rPr>
              <w:t>CO</w:t>
            </w:r>
          </w:p>
        </w:tc>
        <w:tc>
          <w:tcPr>
            <w:tcW w:w="1665" w:type="pct"/>
            <w:vAlign w:val="center"/>
          </w:tcPr>
          <w:p>
            <w:pPr>
              <w:widowControl w:val="0"/>
              <w:spacing w:line="360" w:lineRule="exact"/>
              <w:jc w:val="center"/>
              <w:rPr>
                <w:bCs/>
                <w:sz w:val="21"/>
                <w:szCs w:val="21"/>
                <w:lang w:val="zh-CN"/>
              </w:rPr>
            </w:pPr>
            <w:r>
              <w:rPr>
                <w:bCs/>
                <w:sz w:val="21"/>
                <w:szCs w:val="21"/>
                <w:lang w:val="zh-CN"/>
              </w:rPr>
              <w:t>24小时平均</w:t>
            </w:r>
          </w:p>
        </w:tc>
        <w:tc>
          <w:tcPr>
            <w:tcW w:w="1669" w:type="pct"/>
            <w:vAlign w:val="center"/>
          </w:tcPr>
          <w:p>
            <w:pPr>
              <w:widowControl w:val="0"/>
              <w:spacing w:line="360" w:lineRule="exact"/>
              <w:jc w:val="center"/>
              <w:rPr>
                <w:bCs/>
                <w:sz w:val="21"/>
                <w:szCs w:val="21"/>
                <w:lang w:val="zh-CN"/>
              </w:rPr>
            </w:pPr>
            <w:r>
              <w:rPr>
                <w:bCs/>
                <w:sz w:val="21"/>
                <w:szCs w:val="21"/>
                <w:lang w:val="zh-CN"/>
              </w:rPr>
              <w:t>4mg/m³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665" w:type="pct"/>
            <w:vMerge w:val="continue"/>
            <w:vAlign w:val="center"/>
          </w:tcPr>
          <w:p>
            <w:pPr>
              <w:widowControl w:val="0"/>
              <w:spacing w:line="360" w:lineRule="exact"/>
              <w:jc w:val="center"/>
              <w:rPr>
                <w:bCs/>
                <w:sz w:val="21"/>
                <w:szCs w:val="21"/>
                <w:lang w:val="zh-CN"/>
              </w:rPr>
            </w:pPr>
          </w:p>
        </w:tc>
        <w:tc>
          <w:tcPr>
            <w:tcW w:w="1665" w:type="pct"/>
            <w:vAlign w:val="center"/>
          </w:tcPr>
          <w:p>
            <w:pPr>
              <w:widowControl w:val="0"/>
              <w:spacing w:line="360" w:lineRule="exact"/>
              <w:jc w:val="center"/>
              <w:rPr>
                <w:bCs/>
                <w:sz w:val="21"/>
                <w:szCs w:val="21"/>
                <w:lang w:val="zh-CN"/>
              </w:rPr>
            </w:pPr>
            <w:r>
              <w:rPr>
                <w:bCs/>
                <w:sz w:val="21"/>
                <w:szCs w:val="21"/>
                <w:lang w:val="zh-CN"/>
              </w:rPr>
              <w:t>1小时平均</w:t>
            </w:r>
          </w:p>
        </w:tc>
        <w:tc>
          <w:tcPr>
            <w:tcW w:w="1669" w:type="pct"/>
            <w:vAlign w:val="center"/>
          </w:tcPr>
          <w:p>
            <w:pPr>
              <w:widowControl w:val="0"/>
              <w:spacing w:line="360" w:lineRule="exact"/>
              <w:jc w:val="center"/>
              <w:rPr>
                <w:bCs/>
                <w:sz w:val="21"/>
                <w:szCs w:val="21"/>
                <w:lang w:val="zh-CN"/>
              </w:rPr>
            </w:pPr>
            <w:r>
              <w:rPr>
                <w:bCs/>
                <w:sz w:val="21"/>
                <w:szCs w:val="21"/>
                <w:lang w:val="zh-CN"/>
              </w:rPr>
              <w:t>10mg/m³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restart"/>
            <w:vAlign w:val="center"/>
          </w:tcPr>
          <w:p>
            <w:pPr>
              <w:widowControl w:val="0"/>
              <w:spacing w:line="360" w:lineRule="exact"/>
              <w:jc w:val="center"/>
              <w:rPr>
                <w:bCs/>
                <w:sz w:val="21"/>
                <w:szCs w:val="21"/>
              </w:rPr>
            </w:pPr>
            <w:r>
              <w:rPr>
                <w:rFonts w:hint="eastAsia"/>
                <w:bCs/>
                <w:sz w:val="21"/>
                <w:szCs w:val="21"/>
              </w:rPr>
              <w:t>O</w:t>
            </w:r>
            <w:r>
              <w:rPr>
                <w:rFonts w:hint="eastAsia"/>
                <w:bCs/>
                <w:sz w:val="21"/>
                <w:szCs w:val="21"/>
                <w:vertAlign w:val="subscript"/>
              </w:rPr>
              <w:t>3</w:t>
            </w:r>
          </w:p>
        </w:tc>
        <w:tc>
          <w:tcPr>
            <w:tcW w:w="1665" w:type="pct"/>
            <w:vAlign w:val="center"/>
          </w:tcPr>
          <w:p>
            <w:pPr>
              <w:widowControl w:val="0"/>
              <w:spacing w:line="360" w:lineRule="exact"/>
              <w:jc w:val="center"/>
              <w:rPr>
                <w:bCs/>
                <w:sz w:val="21"/>
                <w:szCs w:val="21"/>
              </w:rPr>
            </w:pPr>
            <w:r>
              <w:rPr>
                <w:rFonts w:hint="eastAsia"/>
                <w:bCs/>
                <w:sz w:val="21"/>
                <w:szCs w:val="21"/>
                <w:lang w:val="zh-CN"/>
              </w:rPr>
              <w:t>日最大</w:t>
            </w:r>
            <w:r>
              <w:rPr>
                <w:rFonts w:hint="eastAsia"/>
                <w:bCs/>
                <w:sz w:val="21"/>
                <w:szCs w:val="21"/>
              </w:rPr>
              <w:t>8小时平均</w:t>
            </w:r>
          </w:p>
        </w:tc>
        <w:tc>
          <w:tcPr>
            <w:tcW w:w="1669" w:type="pct"/>
            <w:vAlign w:val="center"/>
          </w:tcPr>
          <w:p>
            <w:pPr>
              <w:widowControl w:val="0"/>
              <w:spacing w:line="360" w:lineRule="exact"/>
              <w:jc w:val="center"/>
              <w:rPr>
                <w:bCs/>
                <w:sz w:val="21"/>
                <w:szCs w:val="21"/>
              </w:rPr>
            </w:pPr>
            <w:r>
              <w:rPr>
                <w:rFonts w:hint="eastAsia"/>
                <w:bCs/>
                <w:sz w:val="21"/>
                <w:szCs w:val="21"/>
              </w:rPr>
              <w:t>160</w:t>
            </w:r>
            <w:r>
              <w:rPr>
                <w:bCs/>
                <w:sz w:val="21"/>
                <w:szCs w:val="21"/>
                <w:lang w:val="zh-CN"/>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vAlign w:val="center"/>
          </w:tcPr>
          <w:p>
            <w:pPr>
              <w:widowControl w:val="0"/>
              <w:spacing w:line="360" w:lineRule="exact"/>
              <w:jc w:val="center"/>
              <w:rPr>
                <w:bCs/>
                <w:sz w:val="21"/>
                <w:szCs w:val="21"/>
                <w:lang w:val="zh-CN"/>
              </w:rPr>
            </w:pPr>
          </w:p>
        </w:tc>
        <w:tc>
          <w:tcPr>
            <w:tcW w:w="1665" w:type="pct"/>
            <w:vAlign w:val="center"/>
          </w:tcPr>
          <w:p>
            <w:pPr>
              <w:widowControl w:val="0"/>
              <w:spacing w:line="360" w:lineRule="exact"/>
              <w:jc w:val="center"/>
              <w:rPr>
                <w:bCs/>
                <w:sz w:val="21"/>
                <w:szCs w:val="21"/>
                <w:lang w:val="zh-CN"/>
              </w:rPr>
            </w:pPr>
            <w:r>
              <w:rPr>
                <w:bCs/>
                <w:sz w:val="21"/>
                <w:szCs w:val="21"/>
                <w:lang w:val="zh-CN"/>
              </w:rPr>
              <w:t>1小时平均</w:t>
            </w:r>
          </w:p>
        </w:tc>
        <w:tc>
          <w:tcPr>
            <w:tcW w:w="1669" w:type="pct"/>
            <w:vAlign w:val="center"/>
          </w:tcPr>
          <w:p>
            <w:pPr>
              <w:widowControl w:val="0"/>
              <w:spacing w:line="360" w:lineRule="exact"/>
              <w:jc w:val="center"/>
              <w:rPr>
                <w:bCs/>
                <w:sz w:val="21"/>
                <w:szCs w:val="21"/>
              </w:rPr>
            </w:pPr>
            <w:r>
              <w:rPr>
                <w:rFonts w:hint="eastAsia"/>
                <w:bCs/>
                <w:sz w:val="21"/>
                <w:szCs w:val="21"/>
              </w:rPr>
              <w:t>200</w:t>
            </w:r>
            <w:r>
              <w:rPr>
                <w:bCs/>
                <w:sz w:val="21"/>
                <w:szCs w:val="21"/>
                <w:lang w:val="zh-CN"/>
              </w:rPr>
              <w:t>μg/m³</w:t>
            </w:r>
          </w:p>
        </w:tc>
      </w:tr>
    </w:tbl>
    <w:p>
      <w:pPr>
        <w:pStyle w:val="245"/>
        <w:spacing w:line="440" w:lineRule="exact"/>
        <w:ind w:firstLine="480"/>
        <w:rPr>
          <w:rFonts w:eastAsiaTheme="minorEastAsia"/>
          <w:sz w:val="24"/>
          <w:szCs w:val="24"/>
        </w:rPr>
      </w:pPr>
      <w:r>
        <w:rPr>
          <w:rFonts w:hint="eastAsia" w:eastAsiaTheme="minorEastAsia"/>
          <w:sz w:val="24"/>
          <w:szCs w:val="24"/>
        </w:rPr>
        <w:t>（2）</w:t>
      </w:r>
      <w:r>
        <w:rPr>
          <w:rFonts w:eastAsiaTheme="minorEastAsia"/>
          <w:sz w:val="24"/>
          <w:szCs w:val="24"/>
        </w:rPr>
        <w:t>地表水：</w:t>
      </w:r>
      <w:r>
        <w:rPr>
          <w:rFonts w:hint="eastAsia" w:eastAsiaTheme="minorEastAsia"/>
          <w:sz w:val="24"/>
          <w:szCs w:val="24"/>
        </w:rPr>
        <w:t>根据《山西省地表水水环境功能区划》（DB14/67-2019），本项目所在地的地表水体为滹沱河，处于源头至下茹越水库出口桥段，控制断面为乔儿沟和下茹越水库出口，水质要求为《地表水环境质量标准》(GB3838-2002)中</w:t>
      </w:r>
      <w:r>
        <w:rPr>
          <w:rFonts w:hint="eastAsia" w:asciiTheme="minorEastAsia" w:hAnsiTheme="minorEastAsia" w:eastAsiaTheme="minorEastAsia"/>
          <w:sz w:val="24"/>
          <w:szCs w:val="24"/>
        </w:rPr>
        <w:t>Ⅲ</w:t>
      </w:r>
      <w:r>
        <w:rPr>
          <w:rFonts w:hint="eastAsia" w:eastAsiaTheme="minorEastAsia"/>
          <w:sz w:val="24"/>
          <w:szCs w:val="24"/>
        </w:rPr>
        <w:t>类标准。</w:t>
      </w:r>
      <w:r>
        <w:rPr>
          <w:rFonts w:eastAsiaTheme="minorEastAsia"/>
          <w:sz w:val="24"/>
          <w:szCs w:val="24"/>
        </w:rPr>
        <w:t>标准值见表1.3-2。</w:t>
      </w:r>
    </w:p>
    <w:p>
      <w:pPr>
        <w:adjustRightInd w:val="0"/>
        <w:snapToGrid w:val="0"/>
        <w:spacing w:line="440" w:lineRule="exact"/>
        <w:jc w:val="center"/>
        <w:rPr>
          <w:rFonts w:ascii="黑体" w:hAnsi="黑体" w:eastAsia="黑体" w:cs="黑体"/>
          <w:sz w:val="21"/>
          <w:szCs w:val="21"/>
        </w:rPr>
      </w:pPr>
      <w:r>
        <w:rPr>
          <w:rFonts w:hint="eastAsia" w:ascii="黑体" w:hAnsi="黑体" w:eastAsia="黑体" w:cs="黑体"/>
          <w:sz w:val="21"/>
          <w:szCs w:val="21"/>
          <w:lang w:val="en-GB"/>
        </w:rPr>
        <w:t>表</w:t>
      </w:r>
      <w:r>
        <w:rPr>
          <w:rFonts w:eastAsia="黑体"/>
          <w:sz w:val="21"/>
          <w:szCs w:val="21"/>
          <w:lang w:val="en-GB"/>
        </w:rPr>
        <w:t xml:space="preserve">1.3-2 </w:t>
      </w:r>
      <w:r>
        <w:rPr>
          <w:rFonts w:hint="eastAsia" w:ascii="黑体" w:hAnsi="黑体" w:eastAsia="黑体" w:cs="黑体"/>
          <w:sz w:val="21"/>
          <w:szCs w:val="21"/>
          <w:lang w:val="en-GB"/>
        </w:rPr>
        <w:t xml:space="preserve"> 地表水质量标准</w:t>
      </w:r>
      <w:r>
        <w:rPr>
          <w:rFonts w:hint="eastAsia" w:ascii="黑体" w:hAnsi="黑体" w:eastAsia="黑体" w:cs="黑体"/>
          <w:sz w:val="21"/>
          <w:szCs w:val="21"/>
        </w:rPr>
        <w:t xml:space="preserve">   单位：mg/L（除pH外）</w:t>
      </w:r>
    </w:p>
    <w:tbl>
      <w:tblPr>
        <w:tblStyle w:val="8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29"/>
        <w:gridCol w:w="1529"/>
        <w:gridCol w:w="1530"/>
        <w:gridCol w:w="1530"/>
        <w:gridCol w:w="153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 w:hRule="atLeast"/>
        </w:trPr>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项目</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pH</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COD</w:t>
            </w:r>
            <w:r>
              <w:rPr>
                <w:rFonts w:eastAsiaTheme="minorEastAsia"/>
                <w:szCs w:val="21"/>
                <w:vertAlign w:val="subscript"/>
              </w:rPr>
              <w:t>Cr</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BOD</w:t>
            </w:r>
            <w:r>
              <w:rPr>
                <w:rFonts w:eastAsiaTheme="minorEastAsia"/>
                <w:szCs w:val="21"/>
                <w:vertAlign w:val="subscript"/>
              </w:rPr>
              <w:t>5</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石油类</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 w:hRule="atLeast"/>
        </w:trPr>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标准值</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6~9</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w:t>
            </w:r>
            <w:r>
              <w:rPr>
                <w:rFonts w:hint="eastAsia" w:eastAsiaTheme="minorEastAsia"/>
                <w:szCs w:val="21"/>
              </w:rPr>
              <w:t>20</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w:t>
            </w:r>
            <w:r>
              <w:rPr>
                <w:rFonts w:hint="eastAsia" w:eastAsiaTheme="minorEastAsia"/>
                <w:szCs w:val="21"/>
              </w:rPr>
              <w:t>4</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≤0.05</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w:t>
            </w:r>
            <w:r>
              <w:rPr>
                <w:rFonts w:hint="eastAsia" w:eastAsiaTheme="minor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 w:hRule="atLeast"/>
        </w:trPr>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项目</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硫化物(mg/L)</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挥发酚</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氰化物</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氟化物</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溶解氧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 w:hRule="atLeast"/>
        </w:trPr>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标准值</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≤0.</w:t>
            </w:r>
            <w:r>
              <w:rPr>
                <w:rFonts w:hint="eastAsia" w:eastAsiaTheme="minorEastAsia"/>
                <w:szCs w:val="21"/>
              </w:rPr>
              <w:t>2</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≤0.00</w:t>
            </w:r>
            <w:r>
              <w:rPr>
                <w:rFonts w:hint="eastAsia" w:eastAsiaTheme="minorEastAsia"/>
                <w:szCs w:val="21"/>
              </w:rPr>
              <w:t>5</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≤0.</w:t>
            </w:r>
            <w:r>
              <w:rPr>
                <w:rFonts w:hint="eastAsia" w:eastAsiaTheme="minorEastAsia"/>
                <w:szCs w:val="21"/>
              </w:rPr>
              <w:t>2</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≤1.0</w:t>
            </w:r>
          </w:p>
        </w:tc>
        <w:tc>
          <w:tcPr>
            <w:tcW w:w="833" w:type="pct"/>
            <w:tcBorders>
              <w:tl2br w:val="nil"/>
              <w:tr2bl w:val="nil"/>
            </w:tcBorders>
            <w:vAlign w:val="center"/>
          </w:tcPr>
          <w:p>
            <w:pPr>
              <w:pStyle w:val="247"/>
              <w:spacing w:line="360" w:lineRule="exact"/>
              <w:rPr>
                <w:rFonts w:eastAsiaTheme="minorEastAsia"/>
                <w:szCs w:val="21"/>
              </w:rPr>
            </w:pPr>
            <w:r>
              <w:rPr>
                <w:rFonts w:eastAsiaTheme="minorEastAsia"/>
                <w:szCs w:val="21"/>
              </w:rPr>
              <w:t>≥</w:t>
            </w:r>
            <w:r>
              <w:rPr>
                <w:rFonts w:hint="eastAsia" w:eastAsiaTheme="minorEastAsia"/>
                <w:szCs w:val="21"/>
              </w:rPr>
              <w:t>5</w:t>
            </w:r>
          </w:p>
        </w:tc>
      </w:tr>
    </w:tbl>
    <w:p>
      <w:pPr>
        <w:pStyle w:val="245"/>
        <w:spacing w:line="440" w:lineRule="exact"/>
        <w:ind w:firstLine="480"/>
        <w:rPr>
          <w:rFonts w:eastAsiaTheme="minorEastAsia"/>
          <w:sz w:val="24"/>
          <w:szCs w:val="24"/>
        </w:rPr>
      </w:pPr>
      <w:r>
        <w:rPr>
          <w:rFonts w:hint="eastAsia" w:eastAsiaTheme="minorEastAsia"/>
          <w:sz w:val="24"/>
          <w:szCs w:val="24"/>
        </w:rPr>
        <w:t>（3）地下水：根据《地下水质量标准》（GB/T14848-2017）中地下水分类要求，本区域地下水主要适用于集中式生活饮用水水源及工农业用水，执行地下水Ⅲ类标准。具体见表1-3-3。</w:t>
      </w:r>
    </w:p>
    <w:p>
      <w:pPr>
        <w:pStyle w:val="46"/>
        <w:spacing w:before="120" w:beforeLines="50"/>
        <w:jc w:val="center"/>
        <w:rPr>
          <w:rFonts w:ascii="黑体" w:hAnsi="黑体" w:eastAsia="黑体" w:cs="黑体"/>
          <w:snapToGrid w:val="0"/>
          <w:kern w:val="0"/>
          <w:szCs w:val="21"/>
          <w:shd w:val="clear" w:color="auto" w:fill="FFFFFF"/>
        </w:rPr>
      </w:pPr>
      <w:r>
        <w:rPr>
          <w:rFonts w:hint="eastAsia" w:ascii="黑体" w:hAnsi="黑体" w:eastAsia="黑体" w:cs="黑体"/>
          <w:szCs w:val="21"/>
        </w:rPr>
        <w:t>表</w:t>
      </w:r>
      <w:r>
        <w:rPr>
          <w:rFonts w:ascii="Times New Roman" w:hAnsi="Times New Roman" w:eastAsia="黑体"/>
          <w:szCs w:val="21"/>
        </w:rPr>
        <w:t>1</w:t>
      </w:r>
      <w:r>
        <w:rPr>
          <w:rFonts w:ascii="Times New Roman" w:hAnsi="Times New Roman" w:eastAsia="黑体"/>
          <w:snapToGrid w:val="0"/>
          <w:kern w:val="0"/>
          <w:szCs w:val="21"/>
          <w:shd w:val="clear" w:color="auto" w:fill="FFFFFF"/>
        </w:rPr>
        <w:t>-3-3</w:t>
      </w:r>
      <w:r>
        <w:rPr>
          <w:rFonts w:hint="eastAsia" w:ascii="黑体" w:hAnsi="黑体" w:eastAsia="黑体" w:cs="黑体"/>
          <w:snapToGrid w:val="0"/>
          <w:kern w:val="0"/>
          <w:szCs w:val="21"/>
          <w:shd w:val="clear" w:color="auto" w:fill="FFFFFF"/>
        </w:rPr>
        <w:t xml:space="preserve">  地下水质量标准  单位：mg/L（除PH）</w:t>
      </w:r>
    </w:p>
    <w:tbl>
      <w:tblPr>
        <w:tblStyle w:val="8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873"/>
        <w:gridCol w:w="858"/>
        <w:gridCol w:w="860"/>
        <w:gridCol w:w="858"/>
        <w:gridCol w:w="860"/>
        <w:gridCol w:w="1002"/>
        <w:gridCol w:w="1625"/>
        <w:gridCol w:w="2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480"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污染物</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PH</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总硬度</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氨氮</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硫酸盐</w:t>
            </w:r>
          </w:p>
        </w:tc>
        <w:tc>
          <w:tcPr>
            <w:tcW w:w="551"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氯化物</w:t>
            </w:r>
          </w:p>
        </w:tc>
        <w:tc>
          <w:tcPr>
            <w:tcW w:w="894"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氟化物</w:t>
            </w:r>
          </w:p>
        </w:tc>
        <w:tc>
          <w:tcPr>
            <w:tcW w:w="118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溶解性总固体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480"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标准值</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6.5-8.5</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≤450</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≤0.5</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≤250</w:t>
            </w:r>
          </w:p>
        </w:tc>
        <w:tc>
          <w:tcPr>
            <w:tcW w:w="551"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≤250</w:t>
            </w:r>
          </w:p>
        </w:tc>
        <w:tc>
          <w:tcPr>
            <w:tcW w:w="894"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≤1.0</w:t>
            </w:r>
          </w:p>
        </w:tc>
        <w:tc>
          <w:tcPr>
            <w:tcW w:w="118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480"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污染物</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NO3-N</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NO2-N</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铁</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锰</w:t>
            </w:r>
          </w:p>
        </w:tc>
        <w:tc>
          <w:tcPr>
            <w:tcW w:w="551"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氰化物</w:t>
            </w:r>
          </w:p>
        </w:tc>
        <w:tc>
          <w:tcPr>
            <w:tcW w:w="894"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挥发性酚类</w:t>
            </w:r>
          </w:p>
        </w:tc>
        <w:tc>
          <w:tcPr>
            <w:tcW w:w="118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耗氧量</w:t>
            </w:r>
            <w:r>
              <w:rPr>
                <w:rFonts w:hint="eastAsia" w:ascii="Times New Roman" w:hAnsi="Times New Roman" w:eastAsiaTheme="minorEastAsia"/>
                <w:szCs w:val="21"/>
              </w:rPr>
              <w:t>（</w:t>
            </w:r>
            <w:r>
              <w:rPr>
                <w:rFonts w:ascii="Times New Roman" w:hAnsi="Times New Roman" w:eastAsiaTheme="minorEastAsia"/>
                <w:szCs w:val="21"/>
              </w:rPr>
              <w:t>CODMn法</w:t>
            </w:r>
            <w:r>
              <w:rPr>
                <w:rFonts w:hint="eastAsia"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480"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标准值</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≤20</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≤1.0</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≤0.3</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≤0.1</w:t>
            </w:r>
          </w:p>
        </w:tc>
        <w:tc>
          <w:tcPr>
            <w:tcW w:w="551"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≤0.05</w:t>
            </w:r>
          </w:p>
        </w:tc>
        <w:tc>
          <w:tcPr>
            <w:tcW w:w="894"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≤0.002</w:t>
            </w:r>
          </w:p>
        </w:tc>
        <w:tc>
          <w:tcPr>
            <w:tcW w:w="118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480"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污染物</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砷</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汞</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镉</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铅</w:t>
            </w:r>
          </w:p>
        </w:tc>
        <w:tc>
          <w:tcPr>
            <w:tcW w:w="551"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六价铬</w:t>
            </w:r>
          </w:p>
        </w:tc>
        <w:tc>
          <w:tcPr>
            <w:tcW w:w="894"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总大肠菌群</w:t>
            </w:r>
          </w:p>
        </w:tc>
        <w:tc>
          <w:tcPr>
            <w:tcW w:w="118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菌落总数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480"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标准值</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≤0.01</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≤0.001</w:t>
            </w:r>
          </w:p>
        </w:tc>
        <w:tc>
          <w:tcPr>
            <w:tcW w:w="47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≤0.005</w:t>
            </w:r>
          </w:p>
        </w:tc>
        <w:tc>
          <w:tcPr>
            <w:tcW w:w="473"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≤0.01</w:t>
            </w:r>
          </w:p>
        </w:tc>
        <w:tc>
          <w:tcPr>
            <w:tcW w:w="551"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≤0.05</w:t>
            </w:r>
          </w:p>
        </w:tc>
        <w:tc>
          <w:tcPr>
            <w:tcW w:w="894"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≤3.0 CFU/100mL</w:t>
            </w:r>
          </w:p>
        </w:tc>
        <w:tc>
          <w:tcPr>
            <w:tcW w:w="1182" w:type="pc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≤100CFU/mL</w:t>
            </w:r>
          </w:p>
        </w:tc>
      </w:tr>
    </w:tbl>
    <w:p>
      <w:pPr>
        <w:pStyle w:val="245"/>
        <w:spacing w:line="440" w:lineRule="exact"/>
        <w:ind w:firstLine="480"/>
        <w:rPr>
          <w:rFonts w:eastAsiaTheme="minorEastAsia"/>
          <w:sz w:val="24"/>
          <w:szCs w:val="24"/>
        </w:rPr>
      </w:pPr>
      <w:r>
        <w:rPr>
          <w:rFonts w:hint="eastAsia" w:eastAsiaTheme="minorEastAsia"/>
          <w:sz w:val="24"/>
          <w:szCs w:val="24"/>
        </w:rPr>
        <w:t>（4）</w:t>
      </w:r>
      <w:r>
        <w:rPr>
          <w:rFonts w:eastAsiaTheme="minorEastAsia"/>
          <w:sz w:val="24"/>
          <w:szCs w:val="24"/>
        </w:rPr>
        <w:t>声环境：</w:t>
      </w:r>
      <w:r>
        <w:rPr>
          <w:rFonts w:hint="eastAsia" w:eastAsiaTheme="minorEastAsia"/>
          <w:sz w:val="24"/>
          <w:szCs w:val="24"/>
        </w:rPr>
        <w:t>区域</w:t>
      </w:r>
      <w:r>
        <w:rPr>
          <w:rFonts w:eastAsiaTheme="minorEastAsia"/>
          <w:sz w:val="24"/>
          <w:szCs w:val="24"/>
        </w:rPr>
        <w:t>执行《声环境质量标准》</w:t>
      </w:r>
      <w:r>
        <w:rPr>
          <w:rFonts w:hint="eastAsia" w:eastAsiaTheme="minorEastAsia"/>
          <w:sz w:val="24"/>
          <w:szCs w:val="24"/>
        </w:rPr>
        <w:t>(</w:t>
      </w:r>
      <w:r>
        <w:rPr>
          <w:rFonts w:eastAsiaTheme="minorEastAsia"/>
          <w:sz w:val="24"/>
          <w:szCs w:val="24"/>
        </w:rPr>
        <w:t>GB3096-2008</w:t>
      </w:r>
      <w:r>
        <w:rPr>
          <w:rFonts w:hint="eastAsia" w:eastAsiaTheme="minorEastAsia"/>
          <w:sz w:val="24"/>
          <w:szCs w:val="24"/>
        </w:rPr>
        <w:t>)</w:t>
      </w:r>
      <w:r>
        <w:rPr>
          <w:rFonts w:hint="eastAsia" w:eastAsiaTheme="minorEastAsia"/>
          <w:sz w:val="24"/>
          <w:szCs w:val="24"/>
          <w:lang w:val="en-US" w:eastAsia="zh-CN"/>
        </w:rPr>
        <w:t>1</w:t>
      </w:r>
      <w:r>
        <w:rPr>
          <w:rFonts w:eastAsiaTheme="minorEastAsia"/>
          <w:sz w:val="24"/>
          <w:szCs w:val="24"/>
        </w:rPr>
        <w:t>类标准。</w:t>
      </w:r>
    </w:p>
    <w:p>
      <w:pPr>
        <w:adjustRightInd w:val="0"/>
        <w:snapToGrid w:val="0"/>
        <w:spacing w:line="440" w:lineRule="exact"/>
        <w:jc w:val="center"/>
        <w:rPr>
          <w:rFonts w:ascii="黑体" w:hAnsi="黑体" w:eastAsia="黑体" w:cs="黑体"/>
          <w:sz w:val="21"/>
          <w:szCs w:val="21"/>
          <w:lang w:val="en-GB"/>
        </w:rPr>
      </w:pPr>
      <w:r>
        <w:rPr>
          <w:rFonts w:hint="eastAsia" w:ascii="黑体" w:hAnsi="黑体" w:eastAsia="黑体" w:cs="黑体"/>
          <w:sz w:val="21"/>
          <w:szCs w:val="21"/>
          <w:lang w:val="en-GB"/>
        </w:rPr>
        <w:t>表</w:t>
      </w:r>
      <w:r>
        <w:rPr>
          <w:rFonts w:eastAsia="黑体"/>
          <w:sz w:val="21"/>
          <w:szCs w:val="21"/>
          <w:lang w:val="en-GB"/>
        </w:rPr>
        <w:t>1.3-</w:t>
      </w:r>
      <w:r>
        <w:rPr>
          <w:rFonts w:eastAsia="黑体"/>
          <w:sz w:val="21"/>
          <w:szCs w:val="21"/>
        </w:rPr>
        <w:t>4</w:t>
      </w:r>
      <w:r>
        <w:rPr>
          <w:rFonts w:hint="eastAsia" w:ascii="黑体" w:hAnsi="黑体" w:eastAsia="黑体" w:cs="黑体"/>
          <w:sz w:val="21"/>
          <w:szCs w:val="21"/>
          <w:lang w:val="en-GB"/>
        </w:rPr>
        <w:t xml:space="preserve">  声环境质量标准</w:t>
      </w:r>
    </w:p>
    <w:tbl>
      <w:tblPr>
        <w:tblStyle w:val="88"/>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0"/>
        <w:gridCol w:w="3175"/>
        <w:gridCol w:w="3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9" w:hRule="atLeast"/>
          <w:jc w:val="center"/>
        </w:trPr>
        <w:tc>
          <w:tcPr>
            <w:tcW w:w="2850" w:type="dxa"/>
            <w:vMerge w:val="restart"/>
            <w:tcBorders>
              <w:tl2br w:val="nil"/>
              <w:tr2bl w:val="nil"/>
            </w:tcBorders>
            <w:vAlign w:val="center"/>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类   别</w:t>
            </w:r>
          </w:p>
        </w:tc>
        <w:tc>
          <w:tcPr>
            <w:tcW w:w="6200" w:type="dxa"/>
            <w:gridSpan w:val="2"/>
            <w:tcBorders>
              <w:tl2br w:val="nil"/>
              <w:tr2bl w:val="nil"/>
            </w:tcBorders>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850" w:type="dxa"/>
            <w:vMerge w:val="continue"/>
            <w:tcBorders>
              <w:tl2br w:val="nil"/>
              <w:tr2bl w:val="nil"/>
            </w:tcBorders>
          </w:tcPr>
          <w:p>
            <w:pPr>
              <w:pStyle w:val="46"/>
              <w:spacing w:line="360" w:lineRule="exact"/>
              <w:jc w:val="center"/>
              <w:rPr>
                <w:rFonts w:ascii="Times New Roman" w:hAnsi="Times New Roman" w:eastAsiaTheme="minorEastAsia"/>
                <w:szCs w:val="21"/>
              </w:rPr>
            </w:pPr>
          </w:p>
        </w:tc>
        <w:tc>
          <w:tcPr>
            <w:tcW w:w="3175" w:type="dxa"/>
            <w:tcBorders>
              <w:tl2br w:val="nil"/>
              <w:tr2bl w:val="nil"/>
            </w:tcBorders>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昼 间</w:t>
            </w:r>
          </w:p>
        </w:tc>
        <w:tc>
          <w:tcPr>
            <w:tcW w:w="3025" w:type="dxa"/>
            <w:tcBorders>
              <w:tl2br w:val="nil"/>
              <w:tr2bl w:val="nil"/>
            </w:tcBorders>
          </w:tcPr>
          <w:p>
            <w:pPr>
              <w:pStyle w:val="46"/>
              <w:spacing w:line="360" w:lineRule="exact"/>
              <w:jc w:val="center"/>
              <w:rPr>
                <w:rFonts w:ascii="Times New Roman" w:hAnsi="Times New Roman" w:eastAsiaTheme="minorEastAsia"/>
                <w:szCs w:val="21"/>
              </w:rPr>
            </w:pPr>
            <w:r>
              <w:rPr>
                <w:rFonts w:ascii="Times New Roman" w:hAnsi="Times New Roman" w:eastAsiaTheme="minorEastAsia"/>
                <w:szCs w:val="21"/>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50" w:type="dxa"/>
            <w:tcBorders>
              <w:tl2br w:val="nil"/>
              <w:tr2bl w:val="nil"/>
            </w:tcBorders>
          </w:tcPr>
          <w:p>
            <w:pPr>
              <w:pStyle w:val="46"/>
              <w:spacing w:line="360" w:lineRule="exact"/>
              <w:jc w:val="center"/>
              <w:rPr>
                <w:rFonts w:ascii="Times New Roman" w:hAnsi="Times New Roman" w:eastAsiaTheme="minorEastAsia"/>
                <w:szCs w:val="21"/>
              </w:rPr>
            </w:pPr>
            <w:r>
              <w:rPr>
                <w:rFonts w:hint="eastAsia" w:ascii="Times New Roman" w:hAnsi="Times New Roman" w:eastAsiaTheme="minorEastAsia"/>
                <w:szCs w:val="21"/>
                <w:lang w:val="en-US" w:eastAsia="zh-CN"/>
              </w:rPr>
              <w:t>1</w:t>
            </w:r>
            <w:r>
              <w:rPr>
                <w:rFonts w:ascii="Times New Roman" w:hAnsi="Times New Roman" w:eastAsiaTheme="minorEastAsia"/>
                <w:szCs w:val="21"/>
              </w:rPr>
              <w:t>类</w:t>
            </w:r>
          </w:p>
        </w:tc>
        <w:tc>
          <w:tcPr>
            <w:tcW w:w="3175" w:type="dxa"/>
            <w:tcBorders>
              <w:tl2br w:val="nil"/>
              <w:tr2bl w:val="nil"/>
            </w:tcBorders>
          </w:tcPr>
          <w:p>
            <w:pPr>
              <w:pStyle w:val="46"/>
              <w:spacing w:line="360" w:lineRule="exact"/>
              <w:jc w:val="center"/>
              <w:rPr>
                <w:rFonts w:hint="default" w:ascii="Times New Roman" w:hAnsi="Times New Roman" w:eastAsiaTheme="minorEastAsia"/>
                <w:szCs w:val="21"/>
                <w:lang w:val="en-US" w:eastAsia="zh-CN"/>
              </w:rPr>
            </w:pPr>
            <w:r>
              <w:rPr>
                <w:rFonts w:hint="eastAsia" w:ascii="Times New Roman" w:hAnsi="Times New Roman" w:eastAsiaTheme="minorEastAsia"/>
                <w:szCs w:val="21"/>
                <w:lang w:val="en-US" w:eastAsia="zh-CN"/>
              </w:rPr>
              <w:t>55</w:t>
            </w:r>
          </w:p>
        </w:tc>
        <w:tc>
          <w:tcPr>
            <w:tcW w:w="3025" w:type="dxa"/>
            <w:tcBorders>
              <w:tl2br w:val="nil"/>
              <w:tr2bl w:val="nil"/>
            </w:tcBorders>
          </w:tcPr>
          <w:p>
            <w:pPr>
              <w:pStyle w:val="46"/>
              <w:spacing w:line="360" w:lineRule="exact"/>
              <w:jc w:val="center"/>
              <w:rPr>
                <w:rFonts w:hint="default" w:ascii="Times New Roman" w:hAnsi="Times New Roman" w:eastAsiaTheme="minorEastAsia"/>
                <w:szCs w:val="21"/>
                <w:lang w:val="en-US" w:eastAsia="zh-CN"/>
              </w:rPr>
            </w:pPr>
            <w:r>
              <w:rPr>
                <w:rFonts w:hint="eastAsia" w:ascii="Times New Roman" w:hAnsi="Times New Roman" w:eastAsiaTheme="minorEastAsia"/>
                <w:szCs w:val="21"/>
                <w:lang w:val="en-US" w:eastAsia="zh-CN"/>
              </w:rPr>
              <w:t>45</w:t>
            </w:r>
          </w:p>
        </w:tc>
      </w:tr>
    </w:tbl>
    <w:p>
      <w:pPr>
        <w:widowControl w:val="0"/>
        <w:adjustRightInd w:val="0"/>
        <w:snapToGrid w:val="0"/>
        <w:spacing w:before="120" w:beforeLines="50" w:after="120" w:afterLines="50"/>
        <w:jc w:val="both"/>
        <w:outlineLvl w:val="2"/>
        <w:rPr>
          <w:b/>
          <w:kern w:val="2"/>
        </w:rPr>
      </w:pPr>
      <w:r>
        <w:rPr>
          <w:b/>
          <w:kern w:val="2"/>
        </w:rPr>
        <w:t>1.3.2污染物排放标准</w:t>
      </w:r>
      <w:bookmarkEnd w:id="76"/>
      <w:bookmarkEnd w:id="77"/>
    </w:p>
    <w:p>
      <w:pPr>
        <w:pStyle w:val="245"/>
        <w:spacing w:line="440" w:lineRule="exact"/>
        <w:ind w:firstLine="480"/>
        <w:rPr>
          <w:rFonts w:eastAsiaTheme="minorEastAsia"/>
          <w:sz w:val="24"/>
          <w:szCs w:val="24"/>
        </w:rPr>
      </w:pPr>
      <w:r>
        <w:rPr>
          <w:rFonts w:hint="eastAsia" w:eastAsiaTheme="minorEastAsia"/>
          <w:sz w:val="24"/>
          <w:szCs w:val="24"/>
        </w:rPr>
        <w:t>（1）废气排放标准</w:t>
      </w:r>
    </w:p>
    <w:p>
      <w:pPr>
        <w:pStyle w:val="245"/>
        <w:spacing w:line="440" w:lineRule="exact"/>
        <w:ind w:firstLine="480"/>
        <w:rPr>
          <w:rFonts w:ascii="宋体" w:hAnsi="宋体" w:cs="宋体"/>
          <w:sz w:val="24"/>
          <w:szCs w:val="24"/>
        </w:rPr>
      </w:pPr>
      <w:r>
        <w:rPr>
          <w:rFonts w:eastAsiaTheme="minorEastAsia"/>
          <w:sz w:val="24"/>
          <w:szCs w:val="24"/>
        </w:rPr>
        <w:t>废气：</w:t>
      </w:r>
      <w:r>
        <w:rPr>
          <w:rFonts w:hint="eastAsia" w:eastAsiaTheme="minorEastAsia"/>
          <w:sz w:val="24"/>
          <w:szCs w:val="24"/>
        </w:rPr>
        <w:t>本项目运营期大气污染物主要为采装作业粉尘、原料库粉尘和道路运输扬尘，污染源全部为无组织排放。根据《关于加快推进工业企业无组织排放治理工作的通知》（忻环发〔2019〕30号），</w:t>
      </w:r>
      <w:r>
        <w:rPr>
          <w:rFonts w:ascii="宋体" w:hAnsi="宋体" w:cs="宋体"/>
          <w:sz w:val="24"/>
          <w:szCs w:val="24"/>
        </w:rPr>
        <w:t>非煤矿山企业的矿山开采、破碎等排放的粉尘参照执行《水泥工业大气污染物排放标准》（GB4915-2013）标准限值</w:t>
      </w:r>
      <w:r>
        <w:rPr>
          <w:rFonts w:hint="eastAsia" w:ascii="宋体" w:hAnsi="宋体" w:cs="宋体"/>
          <w:sz w:val="24"/>
          <w:szCs w:val="24"/>
        </w:rPr>
        <w:t>。</w:t>
      </w:r>
    </w:p>
    <w:p>
      <w:pPr>
        <w:pStyle w:val="245"/>
        <w:spacing w:line="440" w:lineRule="exact"/>
        <w:ind w:firstLine="480"/>
        <w:rPr>
          <w:rFonts w:eastAsiaTheme="minorEastAsia"/>
          <w:sz w:val="24"/>
          <w:szCs w:val="24"/>
        </w:rPr>
      </w:pPr>
      <w:r>
        <w:rPr>
          <w:rFonts w:hint="eastAsia" w:ascii="宋体" w:hAnsi="宋体" w:cs="宋体"/>
          <w:sz w:val="24"/>
          <w:szCs w:val="24"/>
        </w:rPr>
        <w:t>因而，本项目无组织</w:t>
      </w:r>
      <w:r>
        <w:rPr>
          <w:rFonts w:hint="eastAsia" w:eastAsiaTheme="minorEastAsia"/>
          <w:sz w:val="24"/>
          <w:szCs w:val="24"/>
        </w:rPr>
        <w:t>粉尘排放浓度执行</w:t>
      </w:r>
      <w:r>
        <w:rPr>
          <w:rFonts w:ascii="宋体" w:hAnsi="宋体" w:cs="宋体"/>
          <w:sz w:val="24"/>
          <w:szCs w:val="24"/>
        </w:rPr>
        <w:t>《水泥工业大气污染物排放标准》（GB4915-2013）</w:t>
      </w:r>
      <w:r>
        <w:rPr>
          <w:rFonts w:hint="eastAsia" w:ascii="宋体" w:hAnsi="宋体" w:cs="宋体"/>
          <w:sz w:val="24"/>
          <w:szCs w:val="24"/>
        </w:rPr>
        <w:t>中表3大气污染物无组织排放限值</w:t>
      </w:r>
      <w:r>
        <w:rPr>
          <w:rFonts w:hint="eastAsia" w:ascii="宋体" w:hAnsi="宋体"/>
          <w:sz w:val="24"/>
        </w:rPr>
        <w:t>；具体要求见下表：</w:t>
      </w:r>
    </w:p>
    <w:p>
      <w:pPr>
        <w:adjustRightInd w:val="0"/>
        <w:snapToGrid w:val="0"/>
        <w:spacing w:line="440" w:lineRule="exact"/>
        <w:jc w:val="center"/>
        <w:rPr>
          <w:rFonts w:ascii="黑体" w:hAnsi="黑体" w:eastAsia="黑体" w:cs="黑体"/>
          <w:sz w:val="21"/>
          <w:szCs w:val="21"/>
          <w:lang w:val="en-GB"/>
        </w:rPr>
      </w:pPr>
      <w:r>
        <w:rPr>
          <w:rFonts w:hint="eastAsia" w:ascii="黑体" w:hAnsi="黑体" w:eastAsia="黑体" w:cs="黑体"/>
          <w:sz w:val="21"/>
          <w:szCs w:val="21"/>
          <w:lang w:val="en-GB"/>
        </w:rPr>
        <w:t>表</w:t>
      </w:r>
      <w:r>
        <w:rPr>
          <w:rFonts w:eastAsia="黑体"/>
          <w:sz w:val="21"/>
          <w:szCs w:val="21"/>
          <w:lang w:val="en-GB"/>
        </w:rPr>
        <w:t>1.3-</w:t>
      </w:r>
      <w:r>
        <w:rPr>
          <w:rFonts w:eastAsia="黑体"/>
          <w:sz w:val="21"/>
          <w:szCs w:val="21"/>
        </w:rPr>
        <w:t>5</w:t>
      </w:r>
      <w:r>
        <w:rPr>
          <w:rFonts w:hint="eastAsia" w:ascii="黑体" w:hAnsi="黑体" w:eastAsia="黑体" w:cs="黑体"/>
          <w:sz w:val="21"/>
          <w:szCs w:val="21"/>
          <w:lang w:val="en-GB"/>
        </w:rPr>
        <w:t xml:space="preserve">  大气污染物排放浓度限值</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679"/>
        <w:gridCol w:w="2992"/>
        <w:gridCol w:w="3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6" w:type="pct"/>
            <w:tcBorders>
              <w:tl2br w:val="nil"/>
              <w:tr2bl w:val="nil"/>
            </w:tcBorders>
            <w:vAlign w:val="center"/>
          </w:tcPr>
          <w:p>
            <w:pPr>
              <w:widowControl w:val="0"/>
              <w:spacing w:line="360" w:lineRule="exact"/>
              <w:jc w:val="center"/>
              <w:rPr>
                <w:sz w:val="21"/>
                <w:szCs w:val="21"/>
              </w:rPr>
            </w:pPr>
            <w:r>
              <w:rPr>
                <w:rFonts w:hint="eastAsia"/>
                <w:sz w:val="21"/>
                <w:szCs w:val="21"/>
              </w:rPr>
              <w:t>污染物</w:t>
            </w:r>
          </w:p>
        </w:tc>
        <w:tc>
          <w:tcPr>
            <w:tcW w:w="904" w:type="pct"/>
            <w:tcBorders>
              <w:tl2br w:val="nil"/>
              <w:tr2bl w:val="nil"/>
            </w:tcBorders>
            <w:vAlign w:val="center"/>
          </w:tcPr>
          <w:p>
            <w:pPr>
              <w:widowControl w:val="0"/>
              <w:spacing w:line="360" w:lineRule="exact"/>
              <w:jc w:val="center"/>
              <w:rPr>
                <w:sz w:val="21"/>
                <w:szCs w:val="21"/>
              </w:rPr>
            </w:pPr>
            <w:r>
              <w:rPr>
                <w:rFonts w:hint="eastAsia"/>
                <w:sz w:val="21"/>
                <w:szCs w:val="21"/>
              </w:rPr>
              <w:t>限值（mg/m</w:t>
            </w:r>
            <w:r>
              <w:rPr>
                <w:rFonts w:hint="eastAsia"/>
                <w:sz w:val="21"/>
                <w:szCs w:val="21"/>
                <w:vertAlign w:val="superscript"/>
              </w:rPr>
              <w:t>3</w:t>
            </w:r>
            <w:r>
              <w:rPr>
                <w:rFonts w:hint="eastAsia"/>
                <w:sz w:val="21"/>
                <w:szCs w:val="21"/>
              </w:rPr>
              <w:t>）</w:t>
            </w:r>
          </w:p>
        </w:tc>
        <w:tc>
          <w:tcPr>
            <w:tcW w:w="1611" w:type="pct"/>
            <w:tcBorders>
              <w:tl2br w:val="nil"/>
              <w:tr2bl w:val="nil"/>
            </w:tcBorders>
            <w:vAlign w:val="center"/>
          </w:tcPr>
          <w:p>
            <w:pPr>
              <w:widowControl w:val="0"/>
              <w:spacing w:line="360" w:lineRule="exact"/>
              <w:jc w:val="center"/>
              <w:rPr>
                <w:sz w:val="21"/>
                <w:szCs w:val="21"/>
              </w:rPr>
            </w:pPr>
            <w:r>
              <w:rPr>
                <w:rFonts w:hint="eastAsia"/>
                <w:sz w:val="21"/>
                <w:szCs w:val="21"/>
              </w:rPr>
              <w:t>限值含义</w:t>
            </w:r>
          </w:p>
        </w:tc>
        <w:tc>
          <w:tcPr>
            <w:tcW w:w="1847" w:type="pct"/>
            <w:tcBorders>
              <w:tl2br w:val="nil"/>
              <w:tr2bl w:val="nil"/>
            </w:tcBorders>
            <w:vAlign w:val="center"/>
          </w:tcPr>
          <w:p>
            <w:pPr>
              <w:widowControl w:val="0"/>
              <w:spacing w:line="360" w:lineRule="exact"/>
              <w:jc w:val="center"/>
              <w:rPr>
                <w:sz w:val="21"/>
                <w:szCs w:val="21"/>
              </w:rPr>
            </w:pPr>
            <w:r>
              <w:rPr>
                <w:rFonts w:hint="eastAsia"/>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6" w:type="pct"/>
            <w:tcBorders>
              <w:tl2br w:val="nil"/>
              <w:tr2bl w:val="nil"/>
            </w:tcBorders>
            <w:vAlign w:val="center"/>
          </w:tcPr>
          <w:p>
            <w:pPr>
              <w:widowControl w:val="0"/>
              <w:spacing w:line="360" w:lineRule="exact"/>
              <w:jc w:val="center"/>
              <w:rPr>
                <w:sz w:val="21"/>
                <w:szCs w:val="21"/>
              </w:rPr>
            </w:pPr>
            <w:r>
              <w:rPr>
                <w:rFonts w:hint="eastAsia"/>
                <w:sz w:val="21"/>
                <w:szCs w:val="21"/>
              </w:rPr>
              <w:t>颗粒物</w:t>
            </w:r>
          </w:p>
        </w:tc>
        <w:tc>
          <w:tcPr>
            <w:tcW w:w="904" w:type="pct"/>
            <w:tcBorders>
              <w:tl2br w:val="nil"/>
              <w:tr2bl w:val="nil"/>
            </w:tcBorders>
            <w:vAlign w:val="center"/>
          </w:tcPr>
          <w:p>
            <w:pPr>
              <w:widowControl w:val="0"/>
              <w:spacing w:line="360" w:lineRule="exact"/>
              <w:jc w:val="center"/>
              <w:rPr>
                <w:sz w:val="21"/>
                <w:szCs w:val="21"/>
              </w:rPr>
            </w:pPr>
            <w:r>
              <w:rPr>
                <w:rFonts w:hint="eastAsia"/>
                <w:sz w:val="21"/>
                <w:szCs w:val="21"/>
              </w:rPr>
              <w:t>0.5</w:t>
            </w:r>
          </w:p>
        </w:tc>
        <w:tc>
          <w:tcPr>
            <w:tcW w:w="1611" w:type="pct"/>
            <w:tcBorders>
              <w:tl2br w:val="nil"/>
              <w:tr2bl w:val="nil"/>
            </w:tcBorders>
            <w:vAlign w:val="center"/>
          </w:tcPr>
          <w:p>
            <w:pPr>
              <w:widowControl w:val="0"/>
              <w:spacing w:line="360" w:lineRule="exact"/>
              <w:jc w:val="center"/>
              <w:rPr>
                <w:sz w:val="21"/>
                <w:szCs w:val="21"/>
              </w:rPr>
            </w:pPr>
            <w:r>
              <w:rPr>
                <w:rFonts w:hint="eastAsia"/>
                <w:sz w:val="21"/>
                <w:szCs w:val="21"/>
              </w:rPr>
              <w:t>监测点与参照点总悬浮颗粒物（TSP）1小时浓度值的差值</w:t>
            </w:r>
          </w:p>
        </w:tc>
        <w:tc>
          <w:tcPr>
            <w:tcW w:w="1847" w:type="pct"/>
            <w:tcBorders>
              <w:tl2br w:val="nil"/>
              <w:tr2bl w:val="nil"/>
            </w:tcBorders>
            <w:vAlign w:val="center"/>
          </w:tcPr>
          <w:p>
            <w:pPr>
              <w:widowControl w:val="0"/>
              <w:spacing w:line="360" w:lineRule="exact"/>
              <w:jc w:val="center"/>
              <w:rPr>
                <w:sz w:val="21"/>
                <w:szCs w:val="21"/>
              </w:rPr>
            </w:pPr>
            <w:r>
              <w:rPr>
                <w:rFonts w:hint="eastAsia"/>
                <w:sz w:val="21"/>
                <w:szCs w:val="21"/>
              </w:rPr>
              <w:t>厂界外20m处上风向设参照点，下风向设监控点</w:t>
            </w:r>
          </w:p>
        </w:tc>
      </w:tr>
    </w:tbl>
    <w:p>
      <w:pPr>
        <w:pStyle w:val="245"/>
        <w:adjustRightInd w:val="0"/>
        <w:snapToGrid w:val="0"/>
        <w:spacing w:line="440" w:lineRule="exact"/>
        <w:ind w:firstLine="480"/>
        <w:rPr>
          <w:rFonts w:eastAsiaTheme="minorEastAsia"/>
          <w:sz w:val="24"/>
          <w:szCs w:val="24"/>
        </w:rPr>
      </w:pPr>
      <w:r>
        <w:rPr>
          <w:rFonts w:hint="eastAsia" w:eastAsiaTheme="minorEastAsia"/>
          <w:sz w:val="24"/>
          <w:szCs w:val="24"/>
        </w:rPr>
        <w:t>（2）</w:t>
      </w:r>
      <w:r>
        <w:rPr>
          <w:rFonts w:eastAsiaTheme="minorEastAsia"/>
          <w:sz w:val="24"/>
          <w:szCs w:val="24"/>
        </w:rPr>
        <w:t>噪声排放标准</w:t>
      </w:r>
    </w:p>
    <w:p>
      <w:pPr>
        <w:pStyle w:val="245"/>
        <w:adjustRightInd w:val="0"/>
        <w:snapToGrid w:val="0"/>
        <w:spacing w:line="440" w:lineRule="exact"/>
        <w:ind w:firstLine="480"/>
        <w:rPr>
          <w:rFonts w:eastAsiaTheme="minorEastAsia"/>
          <w:color w:val="auto"/>
          <w:sz w:val="24"/>
          <w:szCs w:val="24"/>
        </w:rPr>
      </w:pPr>
      <w:r>
        <w:rPr>
          <w:rFonts w:hint="eastAsia" w:eastAsiaTheme="minorEastAsia"/>
          <w:sz w:val="24"/>
          <w:szCs w:val="24"/>
        </w:rPr>
        <w:t>运营期</w:t>
      </w:r>
      <w:r>
        <w:rPr>
          <w:rFonts w:eastAsiaTheme="minorEastAsia"/>
          <w:sz w:val="24"/>
          <w:szCs w:val="24"/>
        </w:rPr>
        <w:t>厂界噪声执行</w:t>
      </w:r>
      <w:r>
        <w:rPr>
          <w:rFonts w:eastAsiaTheme="minorEastAsia"/>
          <w:color w:val="auto"/>
          <w:sz w:val="24"/>
          <w:szCs w:val="24"/>
        </w:rPr>
        <w:t>《工业企业厂界环境噪声排放标准》(GB12348-2008)的</w:t>
      </w:r>
      <w:r>
        <w:rPr>
          <w:rFonts w:hint="eastAsia" w:eastAsiaTheme="minorEastAsia"/>
          <w:color w:val="auto"/>
          <w:sz w:val="24"/>
          <w:szCs w:val="24"/>
          <w:lang w:val="en-US" w:eastAsia="zh-CN"/>
        </w:rPr>
        <w:t>1</w:t>
      </w:r>
      <w:r>
        <w:rPr>
          <w:rFonts w:eastAsiaTheme="minorEastAsia"/>
          <w:color w:val="auto"/>
          <w:sz w:val="24"/>
          <w:szCs w:val="24"/>
        </w:rPr>
        <w:t>类标准，标准值见表1.3-</w:t>
      </w:r>
      <w:r>
        <w:rPr>
          <w:rFonts w:hint="eastAsia" w:eastAsiaTheme="minorEastAsia"/>
          <w:color w:val="auto"/>
          <w:sz w:val="24"/>
          <w:szCs w:val="24"/>
        </w:rPr>
        <w:t>6</w:t>
      </w:r>
      <w:r>
        <w:rPr>
          <w:rFonts w:eastAsiaTheme="minorEastAsia"/>
          <w:color w:val="auto"/>
          <w:sz w:val="24"/>
          <w:szCs w:val="24"/>
        </w:rPr>
        <w:t>。</w:t>
      </w:r>
    </w:p>
    <w:p>
      <w:pPr>
        <w:adjustRightInd w:val="0"/>
        <w:snapToGrid w:val="0"/>
        <w:spacing w:line="440" w:lineRule="exact"/>
        <w:jc w:val="center"/>
        <w:rPr>
          <w:rFonts w:ascii="黑体" w:hAnsi="黑体" w:eastAsia="黑体" w:cs="黑体"/>
          <w:color w:val="auto"/>
          <w:sz w:val="21"/>
          <w:szCs w:val="21"/>
          <w:lang w:val="en-GB"/>
        </w:rPr>
      </w:pPr>
      <w:r>
        <w:rPr>
          <w:rFonts w:hint="eastAsia" w:ascii="黑体" w:hAnsi="黑体" w:eastAsia="黑体" w:cs="黑体"/>
          <w:color w:val="auto"/>
          <w:sz w:val="21"/>
          <w:szCs w:val="21"/>
          <w:lang w:val="en-GB"/>
        </w:rPr>
        <w:t>表</w:t>
      </w:r>
      <w:r>
        <w:rPr>
          <w:rFonts w:eastAsia="黑体"/>
          <w:color w:val="auto"/>
          <w:sz w:val="21"/>
          <w:szCs w:val="21"/>
          <w:lang w:val="en-GB"/>
        </w:rPr>
        <w:t>1.3-</w:t>
      </w:r>
      <w:r>
        <w:rPr>
          <w:rFonts w:eastAsia="黑体"/>
          <w:color w:val="auto"/>
          <w:sz w:val="21"/>
          <w:szCs w:val="21"/>
        </w:rPr>
        <w:t>6</w:t>
      </w:r>
      <w:r>
        <w:rPr>
          <w:rFonts w:hint="eastAsia" w:ascii="黑体" w:hAnsi="黑体" w:eastAsia="黑体" w:cs="黑体"/>
          <w:color w:val="auto"/>
          <w:sz w:val="21"/>
          <w:szCs w:val="21"/>
          <w:lang w:val="en-GB"/>
        </w:rPr>
        <w:t xml:space="preserve">  工业企业厂界环境噪声排放标准</w:t>
      </w:r>
    </w:p>
    <w:tbl>
      <w:tblPr>
        <w:tblStyle w:val="8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7"/>
        <w:gridCol w:w="3098"/>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trPr>
        <w:tc>
          <w:tcPr>
            <w:tcW w:w="1646" w:type="pct"/>
            <w:vMerge w:val="restart"/>
            <w:tcBorders>
              <w:tl2br w:val="nil"/>
              <w:tr2bl w:val="nil"/>
            </w:tcBorders>
            <w:vAlign w:val="center"/>
          </w:tcPr>
          <w:p>
            <w:pPr>
              <w:pStyle w:val="46"/>
              <w:spacing w:line="360" w:lineRule="exact"/>
              <w:jc w:val="center"/>
              <w:rPr>
                <w:rFonts w:ascii="Times New Roman" w:hAnsi="Times New Roman" w:eastAsiaTheme="minorEastAsia"/>
                <w:color w:val="auto"/>
                <w:szCs w:val="21"/>
              </w:rPr>
            </w:pPr>
            <w:r>
              <w:rPr>
                <w:rFonts w:ascii="Times New Roman" w:hAnsi="Times New Roman" w:eastAsiaTheme="minorEastAsia"/>
                <w:color w:val="auto"/>
                <w:szCs w:val="21"/>
              </w:rPr>
              <w:t>类   别</w:t>
            </w:r>
          </w:p>
        </w:tc>
        <w:tc>
          <w:tcPr>
            <w:tcW w:w="3353" w:type="pct"/>
            <w:gridSpan w:val="2"/>
            <w:tcBorders>
              <w:tl2br w:val="nil"/>
              <w:tr2bl w:val="nil"/>
            </w:tcBorders>
          </w:tcPr>
          <w:p>
            <w:pPr>
              <w:pStyle w:val="46"/>
              <w:spacing w:line="360" w:lineRule="exact"/>
              <w:jc w:val="center"/>
              <w:rPr>
                <w:rFonts w:ascii="Times New Roman" w:hAnsi="Times New Roman" w:eastAsiaTheme="minorEastAsia"/>
                <w:color w:val="auto"/>
                <w:szCs w:val="21"/>
              </w:rPr>
            </w:pPr>
            <w:r>
              <w:rPr>
                <w:rFonts w:ascii="Times New Roman" w:hAnsi="Times New Roman" w:eastAsiaTheme="minorEastAsia"/>
                <w:color w:val="auto"/>
                <w:szCs w:val="21"/>
              </w:rPr>
              <w:t>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46" w:type="pct"/>
            <w:vMerge w:val="continue"/>
            <w:tcBorders>
              <w:tl2br w:val="nil"/>
              <w:tr2bl w:val="nil"/>
            </w:tcBorders>
          </w:tcPr>
          <w:p>
            <w:pPr>
              <w:pStyle w:val="46"/>
              <w:spacing w:line="360" w:lineRule="exact"/>
              <w:jc w:val="center"/>
              <w:rPr>
                <w:rFonts w:ascii="Times New Roman" w:hAnsi="Times New Roman" w:eastAsiaTheme="minorEastAsia"/>
                <w:color w:val="auto"/>
                <w:szCs w:val="21"/>
              </w:rPr>
            </w:pPr>
          </w:p>
        </w:tc>
        <w:tc>
          <w:tcPr>
            <w:tcW w:w="1668" w:type="pct"/>
            <w:tcBorders>
              <w:tl2br w:val="nil"/>
              <w:tr2bl w:val="nil"/>
            </w:tcBorders>
          </w:tcPr>
          <w:p>
            <w:pPr>
              <w:pStyle w:val="46"/>
              <w:spacing w:line="360" w:lineRule="exact"/>
              <w:jc w:val="center"/>
              <w:rPr>
                <w:rFonts w:ascii="Times New Roman" w:hAnsi="Times New Roman" w:eastAsiaTheme="minorEastAsia"/>
                <w:color w:val="auto"/>
                <w:szCs w:val="21"/>
              </w:rPr>
            </w:pPr>
            <w:r>
              <w:rPr>
                <w:rFonts w:ascii="Times New Roman" w:hAnsi="Times New Roman" w:eastAsiaTheme="minorEastAsia"/>
                <w:color w:val="auto"/>
                <w:szCs w:val="21"/>
              </w:rPr>
              <w:t>昼 间</w:t>
            </w:r>
          </w:p>
        </w:tc>
        <w:tc>
          <w:tcPr>
            <w:tcW w:w="1685" w:type="pct"/>
            <w:tcBorders>
              <w:tl2br w:val="nil"/>
              <w:tr2bl w:val="nil"/>
            </w:tcBorders>
          </w:tcPr>
          <w:p>
            <w:pPr>
              <w:pStyle w:val="46"/>
              <w:spacing w:line="360" w:lineRule="exact"/>
              <w:jc w:val="center"/>
              <w:rPr>
                <w:rFonts w:ascii="Times New Roman" w:hAnsi="Times New Roman" w:eastAsiaTheme="minorEastAsia"/>
                <w:color w:val="auto"/>
                <w:szCs w:val="21"/>
              </w:rPr>
            </w:pPr>
            <w:r>
              <w:rPr>
                <w:rFonts w:ascii="Times New Roman" w:hAnsi="Times New Roman" w:eastAsiaTheme="minorEastAsia"/>
                <w:color w:val="auto"/>
                <w:szCs w:val="21"/>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pct"/>
            <w:tcBorders>
              <w:tl2br w:val="nil"/>
              <w:tr2bl w:val="nil"/>
            </w:tcBorders>
          </w:tcPr>
          <w:p>
            <w:pPr>
              <w:pStyle w:val="46"/>
              <w:spacing w:line="360" w:lineRule="exact"/>
              <w:jc w:val="center"/>
              <w:rPr>
                <w:rFonts w:ascii="Times New Roman" w:hAnsi="Times New Roman" w:eastAsiaTheme="minorEastAsia"/>
                <w:color w:val="auto"/>
                <w:szCs w:val="21"/>
              </w:rPr>
            </w:pPr>
            <w:r>
              <w:rPr>
                <w:rFonts w:hint="eastAsia" w:ascii="Times New Roman" w:hAnsi="Times New Roman" w:eastAsiaTheme="minorEastAsia"/>
                <w:color w:val="auto"/>
                <w:szCs w:val="21"/>
                <w:lang w:val="en-US" w:eastAsia="zh-CN"/>
              </w:rPr>
              <w:t>1</w:t>
            </w:r>
            <w:r>
              <w:rPr>
                <w:rFonts w:ascii="Times New Roman" w:hAnsi="Times New Roman" w:eastAsiaTheme="minorEastAsia"/>
                <w:color w:val="auto"/>
                <w:szCs w:val="21"/>
              </w:rPr>
              <w:t>类</w:t>
            </w:r>
          </w:p>
        </w:tc>
        <w:tc>
          <w:tcPr>
            <w:tcW w:w="1668" w:type="pct"/>
            <w:tcBorders>
              <w:tl2br w:val="nil"/>
              <w:tr2bl w:val="nil"/>
            </w:tcBorders>
          </w:tcPr>
          <w:p>
            <w:pPr>
              <w:pStyle w:val="46"/>
              <w:spacing w:line="360" w:lineRule="exact"/>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55</w:t>
            </w:r>
          </w:p>
        </w:tc>
        <w:tc>
          <w:tcPr>
            <w:tcW w:w="1685" w:type="pct"/>
            <w:tcBorders>
              <w:tl2br w:val="nil"/>
              <w:tr2bl w:val="nil"/>
            </w:tcBorders>
          </w:tcPr>
          <w:p>
            <w:pPr>
              <w:pStyle w:val="46"/>
              <w:spacing w:line="360" w:lineRule="exact"/>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45</w:t>
            </w:r>
          </w:p>
        </w:tc>
      </w:tr>
    </w:tbl>
    <w:p>
      <w:pPr>
        <w:pStyle w:val="245"/>
        <w:adjustRightInd w:val="0"/>
        <w:snapToGrid w:val="0"/>
        <w:spacing w:line="440" w:lineRule="exact"/>
        <w:ind w:firstLine="480"/>
        <w:rPr>
          <w:rFonts w:eastAsiaTheme="minorEastAsia"/>
          <w:kern w:val="0"/>
          <w:sz w:val="24"/>
          <w:szCs w:val="24"/>
        </w:rPr>
      </w:pPr>
      <w:r>
        <w:rPr>
          <w:rFonts w:hint="eastAsia" w:eastAsiaTheme="minorEastAsia"/>
          <w:kern w:val="0"/>
          <w:sz w:val="24"/>
          <w:szCs w:val="24"/>
        </w:rPr>
        <w:t>（3）</w:t>
      </w:r>
      <w:r>
        <w:rPr>
          <w:rFonts w:eastAsiaTheme="minorEastAsia"/>
          <w:kern w:val="0"/>
          <w:sz w:val="24"/>
          <w:szCs w:val="24"/>
        </w:rPr>
        <w:t>工业固体废物</w:t>
      </w:r>
    </w:p>
    <w:p>
      <w:pPr>
        <w:pStyle w:val="245"/>
        <w:adjustRightInd w:val="0"/>
        <w:snapToGrid w:val="0"/>
        <w:spacing w:line="440" w:lineRule="exact"/>
        <w:ind w:firstLine="480"/>
        <w:rPr>
          <w:rFonts w:eastAsiaTheme="minorEastAsia"/>
          <w:spacing w:val="2"/>
          <w:sz w:val="24"/>
          <w:szCs w:val="24"/>
        </w:rPr>
      </w:pPr>
      <w:r>
        <w:rPr>
          <w:rFonts w:eastAsiaTheme="minorEastAsia"/>
          <w:kern w:val="0"/>
          <w:sz w:val="24"/>
          <w:szCs w:val="24"/>
        </w:rPr>
        <w:t>一般工业固体废物执行《一般工业固体废物贮存、处置场污染控制标准》(GB18599-2001)及其</w:t>
      </w:r>
      <w:r>
        <w:rPr>
          <w:rFonts w:hint="eastAsia" w:eastAsiaTheme="minorEastAsia"/>
          <w:kern w:val="0"/>
          <w:sz w:val="24"/>
          <w:szCs w:val="24"/>
        </w:rPr>
        <w:t>2013年修改单要求；危险废物执行《危险废物贮存污染控制标准》（GB18597-2001）及2013年修改单要求</w:t>
      </w:r>
      <w:r>
        <w:rPr>
          <w:rFonts w:eastAsiaTheme="minorEastAsia"/>
          <w:sz w:val="24"/>
          <w:szCs w:val="24"/>
        </w:rPr>
        <w:t>。</w:t>
      </w:r>
    </w:p>
    <w:p>
      <w:pPr>
        <w:widowControl w:val="0"/>
        <w:adjustRightInd w:val="0"/>
        <w:snapToGrid w:val="0"/>
        <w:spacing w:before="120" w:beforeLines="50" w:after="120" w:afterLines="50"/>
        <w:jc w:val="both"/>
        <w:outlineLvl w:val="1"/>
        <w:rPr>
          <w:b/>
          <w:kern w:val="2"/>
          <w:sz w:val="28"/>
          <w:szCs w:val="28"/>
        </w:rPr>
      </w:pPr>
      <w:bookmarkStart w:id="78" w:name="_Toc21924"/>
      <w:bookmarkStart w:id="79" w:name="_Toc396395407"/>
      <w:bookmarkStart w:id="80" w:name="_Toc399150354"/>
      <w:bookmarkStart w:id="81" w:name="_Toc395801200"/>
      <w:r>
        <w:rPr>
          <w:b/>
          <w:kern w:val="2"/>
          <w:sz w:val="28"/>
          <w:szCs w:val="28"/>
        </w:rPr>
        <w:t>1.4评价工作等级和评价范围</w:t>
      </w:r>
      <w:bookmarkEnd w:id="78"/>
      <w:bookmarkEnd w:id="79"/>
      <w:bookmarkEnd w:id="80"/>
      <w:bookmarkEnd w:id="81"/>
    </w:p>
    <w:p>
      <w:pPr>
        <w:pStyle w:val="112"/>
        <w:snapToGrid w:val="0"/>
        <w:spacing w:line="440" w:lineRule="exact"/>
        <w:ind w:firstLine="480" w:firstLineChars="200"/>
      </w:pPr>
      <w:r>
        <w:t>根据工程排污特征及厂址区域环境特点，按照《建设项目环境影响评价技术导则  总则》（HJ2.1-2016）及其他相关环境要素导则中关于评价等级判定依据以及评价范围的规定，确定本次工作评价等级和范围。</w:t>
      </w:r>
    </w:p>
    <w:p>
      <w:pPr>
        <w:widowControl w:val="0"/>
        <w:adjustRightInd w:val="0"/>
        <w:snapToGrid w:val="0"/>
        <w:spacing w:before="120" w:beforeLines="50" w:after="120" w:afterLines="50"/>
        <w:jc w:val="both"/>
        <w:outlineLvl w:val="2"/>
        <w:rPr>
          <w:b/>
          <w:kern w:val="2"/>
        </w:rPr>
      </w:pPr>
      <w:bookmarkStart w:id="82" w:name="_Toc399150355"/>
      <w:bookmarkStart w:id="83" w:name="_Toc395801201"/>
      <w:r>
        <w:rPr>
          <w:b/>
          <w:kern w:val="2"/>
        </w:rPr>
        <w:t>1.4.1环境空气评价工作等级</w:t>
      </w:r>
      <w:bookmarkEnd w:id="82"/>
      <w:bookmarkEnd w:id="83"/>
      <w:r>
        <w:rPr>
          <w:b/>
          <w:kern w:val="2"/>
        </w:rPr>
        <w:t>和评价范围</w:t>
      </w:r>
    </w:p>
    <w:p>
      <w:pPr>
        <w:pStyle w:val="52"/>
        <w:spacing w:before="0"/>
        <w:ind w:firstLine="480" w:firstLineChars="200"/>
        <w:rPr>
          <w:rFonts w:ascii="Times New Roman" w:eastAsiaTheme="minorEastAsia"/>
          <w:sz w:val="24"/>
        </w:rPr>
      </w:pPr>
      <w:r>
        <w:rPr>
          <w:rFonts w:hint="eastAsia" w:ascii="Times New Roman" w:eastAsiaTheme="minorEastAsia"/>
          <w:sz w:val="24"/>
        </w:rPr>
        <w:t>本项目主要大气污染源为全封闭原料库、排土场和采装作业区，主要污染物为TSP，根据《环境影响评价技术导则 大气环境》（HJ2.2-2018），采用推荐的AERSCREEN模型进行评价等级判定。</w:t>
      </w:r>
    </w:p>
    <w:p>
      <w:pPr>
        <w:tabs>
          <w:tab w:val="left" w:pos="3828"/>
        </w:tabs>
        <w:spacing w:line="440" w:lineRule="exact"/>
        <w:ind w:firstLine="480" w:firstLineChars="200"/>
        <w:jc w:val="both"/>
        <w:rPr>
          <w:szCs w:val="28"/>
        </w:rPr>
      </w:pPr>
      <w:r>
        <w:rPr>
          <w:szCs w:val="28"/>
        </w:rPr>
        <w:t>AERSCREEN估算模式为一种单源预测模式，可计算点源、面源和体源等污染源的最大地面浓度，以及建筑物下洗和熏烟等特殊条件下的最大地面浓度，适用于评价等级及评价范围的确定。</w:t>
      </w:r>
    </w:p>
    <w:p>
      <w:pPr>
        <w:ind w:firstLine="420" w:firstLineChars="200"/>
        <w:jc w:val="both"/>
        <w:rPr>
          <w:rFonts w:eastAsia="楷体_GB2312"/>
          <w:b/>
          <w:sz w:val="28"/>
        </w:rPr>
      </w:pPr>
      <w:r>
        <w:rPr>
          <w:position w:val="-24"/>
          <w:sz w:val="21"/>
        </w:rPr>
        <w:object>
          <v:shape id="_x0000_i1025" o:spt="75" type="#_x0000_t75" style="height:32.15pt;width:123.15pt;" o:ole="t" filled="f" o:preferrelative="t" stroked="f" coordsize="21600,21600">
            <v:path/>
            <v:fill on="f" focussize="0,0"/>
            <v:stroke on="f" joinstyle="miter"/>
            <v:imagedata r:id="rId27" o:title=""/>
            <o:lock v:ext="edit" aspectratio="t"/>
            <w10:wrap type="none"/>
            <w10:anchorlock/>
          </v:shape>
          <o:OLEObject Type="Embed" ProgID="Equation.3" ShapeID="_x0000_i1025" DrawAspect="Content" ObjectID="_1468075725" r:id="rId26">
            <o:LockedField>false</o:LockedField>
          </o:OLEObject>
        </w:object>
      </w:r>
    </w:p>
    <w:p>
      <w:pPr>
        <w:spacing w:line="440" w:lineRule="exact"/>
        <w:ind w:firstLine="496" w:firstLineChars="200"/>
        <w:jc w:val="both"/>
        <w:rPr>
          <w:spacing w:val="4"/>
        </w:rPr>
      </w:pPr>
      <w:r>
        <w:rPr>
          <w:spacing w:val="4"/>
        </w:rPr>
        <w:t>式中：</w:t>
      </w:r>
      <w:r>
        <w:t>P</w:t>
      </w:r>
      <w:r>
        <w:rPr>
          <w:vertAlign w:val="subscript"/>
        </w:rPr>
        <w:t>i</w:t>
      </w:r>
      <w:r>
        <w:t>—第i个污染物的最大地面空气质量浓度占标率，%</w:t>
      </w:r>
    </w:p>
    <w:p>
      <w:pPr>
        <w:spacing w:line="440" w:lineRule="exact"/>
        <w:ind w:firstLine="480" w:firstLineChars="200"/>
        <w:jc w:val="both"/>
      </w:pPr>
      <w:r>
        <w:t>C</w:t>
      </w:r>
      <w:r>
        <w:rPr>
          <w:vertAlign w:val="subscript"/>
        </w:rPr>
        <w:t>i</w:t>
      </w:r>
      <w:r>
        <w:t>—采用估算模型计算出的第i个污染物的最大1h地面空气质量浓度，μg/m</w:t>
      </w:r>
      <w:r>
        <w:rPr>
          <w:vertAlign w:val="superscript"/>
        </w:rPr>
        <w:t>3</w:t>
      </w:r>
      <w:r>
        <w:t>；</w:t>
      </w:r>
    </w:p>
    <w:p>
      <w:pPr>
        <w:spacing w:line="440" w:lineRule="exact"/>
        <w:ind w:firstLine="480" w:firstLineChars="200"/>
        <w:jc w:val="both"/>
      </w:pPr>
      <w:r>
        <w:t>C</w:t>
      </w:r>
      <w:r>
        <w:rPr>
          <w:vertAlign w:val="subscript"/>
        </w:rPr>
        <w:t>0i</w:t>
      </w:r>
      <w:r>
        <w:t>—第i个污染物的环境空气质量标准，mg/m</w:t>
      </w:r>
      <w:r>
        <w:rPr>
          <w:vertAlign w:val="superscript"/>
        </w:rPr>
        <w:t>3</w:t>
      </w:r>
      <w:r>
        <w:t>。</w:t>
      </w:r>
    </w:p>
    <w:p>
      <w:pPr>
        <w:spacing w:line="440" w:lineRule="exact"/>
        <w:ind w:firstLine="480" w:firstLineChars="200"/>
        <w:jc w:val="both"/>
        <w:rPr>
          <w:spacing w:val="4"/>
          <w:sz w:val="28"/>
          <w:szCs w:val="28"/>
        </w:rPr>
      </w:pPr>
      <w:r>
        <w:t>C</w:t>
      </w:r>
      <w:r>
        <w:rPr>
          <w:vertAlign w:val="subscript"/>
        </w:rPr>
        <w:t>0i</w:t>
      </w:r>
      <w:r>
        <w:t>一般选用GB3095中1小时平均质量浓度的二级浓度限值；如项目位于一类环境空气功能区，应选择相应的一级浓度限值；对于仅有8h平均质量浓度限值、日平均质量浓度限值或年平均质量浓度限值的，可分别按2倍、3倍、6倍折算为1h平均质量浓度限值。</w:t>
      </w:r>
    </w:p>
    <w:p>
      <w:pPr>
        <w:adjustRightInd w:val="0"/>
        <w:snapToGrid w:val="0"/>
        <w:spacing w:line="440" w:lineRule="exact"/>
        <w:ind w:firstLine="480"/>
        <w:rPr>
          <w:rFonts w:eastAsiaTheme="minorEastAsia"/>
          <w:kern w:val="2"/>
          <w:szCs w:val="20"/>
        </w:rPr>
      </w:pPr>
      <w:r>
        <w:rPr>
          <w:rFonts w:hint="eastAsia" w:eastAsiaTheme="minorEastAsia"/>
          <w:kern w:val="2"/>
          <w:szCs w:val="20"/>
        </w:rPr>
        <w:t>评价工作等级按表1.4-1的分级判据进行划分。</w:t>
      </w:r>
    </w:p>
    <w:p>
      <w:pPr>
        <w:adjustRightInd w:val="0"/>
        <w:snapToGrid w:val="0"/>
        <w:spacing w:before="120" w:beforeLines="50"/>
        <w:jc w:val="center"/>
        <w:rPr>
          <w:rFonts w:ascii="黑体" w:hAnsi="黑体" w:eastAsia="黑体" w:cs="黑体"/>
          <w:sz w:val="21"/>
          <w:szCs w:val="21"/>
          <w:lang w:val="en-GB"/>
        </w:rPr>
      </w:pPr>
      <w:r>
        <w:rPr>
          <w:rFonts w:hint="eastAsia" w:ascii="黑体" w:hAnsi="黑体" w:eastAsia="黑体" w:cs="黑体"/>
          <w:sz w:val="21"/>
          <w:szCs w:val="21"/>
          <w:lang w:val="en-GB"/>
        </w:rPr>
        <w:t>表</w:t>
      </w:r>
      <w:r>
        <w:rPr>
          <w:rFonts w:eastAsia="黑体"/>
          <w:sz w:val="21"/>
          <w:szCs w:val="21"/>
        </w:rPr>
        <w:t>1</w:t>
      </w:r>
      <w:r>
        <w:rPr>
          <w:rFonts w:eastAsia="黑体"/>
          <w:sz w:val="21"/>
          <w:szCs w:val="21"/>
          <w:lang w:val="en-GB"/>
        </w:rPr>
        <w:t>.</w:t>
      </w:r>
      <w:r>
        <w:rPr>
          <w:rFonts w:eastAsia="黑体"/>
          <w:sz w:val="21"/>
          <w:szCs w:val="21"/>
        </w:rPr>
        <w:t>4</w:t>
      </w:r>
      <w:r>
        <w:rPr>
          <w:rFonts w:eastAsia="黑体"/>
          <w:sz w:val="21"/>
          <w:szCs w:val="21"/>
          <w:lang w:val="en-GB"/>
        </w:rPr>
        <w:t>-1</w:t>
      </w:r>
      <w:r>
        <w:rPr>
          <w:rFonts w:hint="eastAsia" w:ascii="黑体" w:hAnsi="黑体" w:eastAsia="黑体" w:cs="黑体"/>
          <w:sz w:val="21"/>
          <w:szCs w:val="21"/>
          <w:lang w:val="en-GB"/>
        </w:rPr>
        <w:t xml:space="preserve">     评价工作级别判定依据</w:t>
      </w:r>
    </w:p>
    <w:tbl>
      <w:tblPr>
        <w:tblStyle w:val="88"/>
        <w:tblW w:w="5130" w:type="pct"/>
        <w:tblInd w:w="-9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3720"/>
        <w:gridCol w:w="560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82" w:hRule="atLeast"/>
        </w:trPr>
        <w:tc>
          <w:tcPr>
            <w:tcW w:w="1994" w:type="pct"/>
            <w:shd w:val="clear" w:color="auto" w:fill="auto"/>
            <w:vAlign w:val="center"/>
          </w:tcPr>
          <w:p>
            <w:pPr>
              <w:autoSpaceDE w:val="0"/>
              <w:autoSpaceDN w:val="0"/>
              <w:adjustRightInd w:val="0"/>
              <w:snapToGrid w:val="0"/>
              <w:spacing w:line="360" w:lineRule="exact"/>
              <w:jc w:val="center"/>
              <w:rPr>
                <w:snapToGrid w:val="0"/>
                <w:sz w:val="21"/>
                <w:szCs w:val="21"/>
              </w:rPr>
            </w:pPr>
            <w:r>
              <w:rPr>
                <w:snapToGrid w:val="0"/>
                <w:sz w:val="21"/>
                <w:szCs w:val="21"/>
              </w:rPr>
              <w:t>评价工作等级</w:t>
            </w:r>
          </w:p>
        </w:tc>
        <w:tc>
          <w:tcPr>
            <w:tcW w:w="3005" w:type="pct"/>
            <w:shd w:val="clear" w:color="auto" w:fill="auto"/>
            <w:vAlign w:val="center"/>
          </w:tcPr>
          <w:p>
            <w:pPr>
              <w:autoSpaceDE w:val="0"/>
              <w:autoSpaceDN w:val="0"/>
              <w:adjustRightInd w:val="0"/>
              <w:snapToGrid w:val="0"/>
              <w:spacing w:line="360" w:lineRule="exact"/>
              <w:jc w:val="center"/>
              <w:rPr>
                <w:snapToGrid w:val="0"/>
                <w:sz w:val="21"/>
                <w:szCs w:val="21"/>
              </w:rPr>
            </w:pPr>
            <w:r>
              <w:rPr>
                <w:snapToGrid w:val="0"/>
                <w:sz w:val="21"/>
                <w:szCs w:val="21"/>
              </w:rPr>
              <w:t>评价工作分级判据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3" w:hRule="atLeast"/>
        </w:trPr>
        <w:tc>
          <w:tcPr>
            <w:tcW w:w="1994" w:type="pct"/>
            <w:shd w:val="clear" w:color="auto" w:fill="auto"/>
            <w:vAlign w:val="center"/>
          </w:tcPr>
          <w:p>
            <w:pPr>
              <w:autoSpaceDE w:val="0"/>
              <w:autoSpaceDN w:val="0"/>
              <w:adjustRightInd w:val="0"/>
              <w:snapToGrid w:val="0"/>
              <w:spacing w:line="360" w:lineRule="exact"/>
              <w:jc w:val="center"/>
              <w:rPr>
                <w:snapToGrid w:val="0"/>
                <w:sz w:val="21"/>
                <w:szCs w:val="21"/>
              </w:rPr>
            </w:pPr>
            <w:r>
              <w:rPr>
                <w:snapToGrid w:val="0"/>
                <w:sz w:val="21"/>
                <w:szCs w:val="21"/>
              </w:rPr>
              <w:t>一级</w:t>
            </w:r>
          </w:p>
        </w:tc>
        <w:tc>
          <w:tcPr>
            <w:tcW w:w="3005" w:type="pct"/>
            <w:shd w:val="clear" w:color="auto" w:fill="auto"/>
            <w:vAlign w:val="center"/>
          </w:tcPr>
          <w:p>
            <w:pPr>
              <w:autoSpaceDE w:val="0"/>
              <w:autoSpaceDN w:val="0"/>
              <w:adjustRightInd w:val="0"/>
              <w:snapToGrid w:val="0"/>
              <w:spacing w:line="360" w:lineRule="exact"/>
              <w:jc w:val="center"/>
              <w:rPr>
                <w:snapToGrid w:val="0"/>
                <w:sz w:val="21"/>
                <w:szCs w:val="21"/>
              </w:rPr>
            </w:pPr>
            <w:r>
              <w:rPr>
                <w:i/>
                <w:iCs/>
                <w:snapToGrid w:val="0"/>
                <w:sz w:val="21"/>
                <w:szCs w:val="21"/>
              </w:rPr>
              <w:t>P</w:t>
            </w:r>
            <w:r>
              <w:rPr>
                <w:snapToGrid w:val="0"/>
                <w:sz w:val="21"/>
                <w:szCs w:val="21"/>
                <w:vertAlign w:val="subscript"/>
              </w:rPr>
              <w:t>max</w:t>
            </w:r>
            <w:r>
              <w:rPr>
                <w:snapToGrid w:val="0"/>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2" w:hRule="atLeast"/>
        </w:trPr>
        <w:tc>
          <w:tcPr>
            <w:tcW w:w="1994" w:type="pct"/>
            <w:shd w:val="clear" w:color="auto" w:fill="auto"/>
            <w:vAlign w:val="center"/>
          </w:tcPr>
          <w:p>
            <w:pPr>
              <w:autoSpaceDE w:val="0"/>
              <w:autoSpaceDN w:val="0"/>
              <w:adjustRightInd w:val="0"/>
              <w:snapToGrid w:val="0"/>
              <w:spacing w:line="360" w:lineRule="exact"/>
              <w:jc w:val="center"/>
              <w:rPr>
                <w:snapToGrid w:val="0"/>
                <w:sz w:val="21"/>
                <w:szCs w:val="21"/>
              </w:rPr>
            </w:pPr>
            <w:r>
              <w:rPr>
                <w:snapToGrid w:val="0"/>
                <w:sz w:val="21"/>
                <w:szCs w:val="21"/>
              </w:rPr>
              <w:t>二级</w:t>
            </w:r>
          </w:p>
        </w:tc>
        <w:tc>
          <w:tcPr>
            <w:tcW w:w="3005" w:type="pct"/>
            <w:shd w:val="clear" w:color="auto" w:fill="auto"/>
            <w:vAlign w:val="center"/>
          </w:tcPr>
          <w:p>
            <w:pPr>
              <w:autoSpaceDE w:val="0"/>
              <w:autoSpaceDN w:val="0"/>
              <w:adjustRightInd w:val="0"/>
              <w:snapToGrid w:val="0"/>
              <w:spacing w:line="360" w:lineRule="exact"/>
              <w:jc w:val="center"/>
              <w:rPr>
                <w:snapToGrid w:val="0"/>
                <w:sz w:val="21"/>
                <w:szCs w:val="21"/>
              </w:rPr>
            </w:pPr>
            <w:r>
              <w:rPr>
                <w:iCs/>
                <w:snapToGrid w:val="0"/>
                <w:sz w:val="21"/>
                <w:szCs w:val="21"/>
              </w:rPr>
              <w:t>1%≤</w:t>
            </w:r>
            <w:r>
              <w:rPr>
                <w:i/>
                <w:iCs/>
                <w:snapToGrid w:val="0"/>
                <w:sz w:val="21"/>
                <w:szCs w:val="21"/>
              </w:rPr>
              <w:t>P</w:t>
            </w:r>
            <w:r>
              <w:rPr>
                <w:snapToGrid w:val="0"/>
                <w:sz w:val="21"/>
                <w:szCs w:val="21"/>
                <w:vertAlign w:val="subscript"/>
              </w:rPr>
              <w:t>max</w:t>
            </w:r>
            <w:r>
              <w:rPr>
                <w:snapToGrid w:val="0"/>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6" w:hRule="atLeast"/>
        </w:trPr>
        <w:tc>
          <w:tcPr>
            <w:tcW w:w="1994" w:type="pct"/>
            <w:shd w:val="clear" w:color="auto" w:fill="auto"/>
            <w:vAlign w:val="center"/>
          </w:tcPr>
          <w:p>
            <w:pPr>
              <w:adjustRightInd w:val="0"/>
              <w:snapToGrid w:val="0"/>
              <w:spacing w:line="360" w:lineRule="exact"/>
              <w:jc w:val="center"/>
              <w:rPr>
                <w:snapToGrid w:val="0"/>
                <w:sz w:val="21"/>
                <w:szCs w:val="21"/>
              </w:rPr>
            </w:pPr>
            <w:r>
              <w:rPr>
                <w:snapToGrid w:val="0"/>
                <w:sz w:val="21"/>
                <w:szCs w:val="21"/>
              </w:rPr>
              <w:t>三级</w:t>
            </w:r>
          </w:p>
        </w:tc>
        <w:tc>
          <w:tcPr>
            <w:tcW w:w="3005" w:type="pct"/>
            <w:shd w:val="clear" w:color="auto" w:fill="auto"/>
            <w:vAlign w:val="center"/>
          </w:tcPr>
          <w:p>
            <w:pPr>
              <w:adjustRightInd w:val="0"/>
              <w:snapToGrid w:val="0"/>
              <w:spacing w:line="360" w:lineRule="exact"/>
              <w:jc w:val="center"/>
              <w:rPr>
                <w:snapToGrid w:val="0"/>
                <w:sz w:val="21"/>
                <w:szCs w:val="21"/>
              </w:rPr>
            </w:pPr>
            <w:r>
              <w:rPr>
                <w:i/>
                <w:iCs/>
                <w:snapToGrid w:val="0"/>
                <w:sz w:val="21"/>
                <w:szCs w:val="21"/>
              </w:rPr>
              <w:t>P</w:t>
            </w:r>
            <w:r>
              <w:rPr>
                <w:snapToGrid w:val="0"/>
                <w:sz w:val="21"/>
                <w:szCs w:val="21"/>
                <w:vertAlign w:val="subscript"/>
              </w:rPr>
              <w:t>max</w:t>
            </w:r>
            <w:r>
              <w:rPr>
                <w:snapToGrid w:val="0"/>
                <w:sz w:val="21"/>
                <w:szCs w:val="21"/>
              </w:rPr>
              <w:t xml:space="preserve">＜1% </w:t>
            </w:r>
          </w:p>
        </w:tc>
      </w:tr>
    </w:tbl>
    <w:p>
      <w:pPr>
        <w:adjustRightInd w:val="0"/>
        <w:snapToGrid w:val="0"/>
        <w:spacing w:line="440" w:lineRule="exact"/>
        <w:jc w:val="center"/>
        <w:rPr>
          <w:rFonts w:ascii="黑体" w:hAnsi="黑体" w:eastAsia="黑体" w:cs="黑体"/>
          <w:sz w:val="21"/>
          <w:szCs w:val="21"/>
          <w:lang w:val="en-GB"/>
        </w:rPr>
      </w:pPr>
      <w:r>
        <w:rPr>
          <w:rFonts w:hint="eastAsia" w:ascii="黑体" w:hAnsi="黑体" w:eastAsia="黑体" w:cs="黑体"/>
          <w:sz w:val="21"/>
          <w:szCs w:val="21"/>
          <w:lang w:val="en-GB"/>
        </w:rPr>
        <w:t>表</w:t>
      </w:r>
      <w:r>
        <w:rPr>
          <w:rFonts w:eastAsia="黑体"/>
          <w:sz w:val="21"/>
          <w:szCs w:val="21"/>
        </w:rPr>
        <w:t>1</w:t>
      </w:r>
      <w:r>
        <w:rPr>
          <w:rFonts w:eastAsia="黑体"/>
          <w:sz w:val="21"/>
          <w:szCs w:val="21"/>
          <w:lang w:val="en-GB"/>
        </w:rPr>
        <w:t>.</w:t>
      </w:r>
      <w:r>
        <w:rPr>
          <w:rFonts w:eastAsia="黑体"/>
          <w:sz w:val="21"/>
          <w:szCs w:val="21"/>
        </w:rPr>
        <w:t>4</w:t>
      </w:r>
      <w:r>
        <w:rPr>
          <w:rFonts w:eastAsia="黑体"/>
          <w:sz w:val="21"/>
          <w:szCs w:val="21"/>
          <w:lang w:val="en-GB"/>
        </w:rPr>
        <w:t>-</w:t>
      </w:r>
      <w:r>
        <w:rPr>
          <w:rFonts w:eastAsia="黑体"/>
          <w:sz w:val="21"/>
          <w:szCs w:val="21"/>
        </w:rPr>
        <w:t>2</w:t>
      </w:r>
      <w:r>
        <w:rPr>
          <w:rFonts w:eastAsia="黑体"/>
          <w:sz w:val="21"/>
          <w:szCs w:val="21"/>
          <w:lang w:val="en-GB"/>
        </w:rPr>
        <w:t xml:space="preserve">  </w:t>
      </w:r>
      <w:r>
        <w:rPr>
          <w:rFonts w:hint="eastAsia" w:ascii="黑体" w:hAnsi="黑体" w:eastAsia="黑体" w:cs="黑体"/>
          <w:sz w:val="21"/>
          <w:szCs w:val="21"/>
          <w:lang w:val="en-GB"/>
        </w:rPr>
        <w:t xml:space="preserve">   污染源参数（面源）</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1399"/>
        <w:gridCol w:w="1403"/>
        <w:gridCol w:w="899"/>
        <w:gridCol w:w="769"/>
        <w:gridCol w:w="769"/>
        <w:gridCol w:w="810"/>
        <w:gridCol w:w="643"/>
        <w:gridCol w:w="1040"/>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vMerge w:val="restart"/>
            <w:vAlign w:val="center"/>
          </w:tcPr>
          <w:p>
            <w:pPr>
              <w:widowControl/>
              <w:spacing w:line="360" w:lineRule="atLeast"/>
              <w:jc w:val="center"/>
              <w:rPr>
                <w:sz w:val="21"/>
                <w:szCs w:val="21"/>
              </w:rPr>
            </w:pPr>
            <w:r>
              <w:rPr>
                <w:sz w:val="21"/>
                <w:szCs w:val="21"/>
              </w:rPr>
              <w:t>污染源名称</w:t>
            </w:r>
          </w:p>
        </w:tc>
        <w:tc>
          <w:tcPr>
            <w:tcW w:w="1508" w:type="pct"/>
            <w:gridSpan w:val="2"/>
            <w:vAlign w:val="center"/>
          </w:tcPr>
          <w:p>
            <w:pPr>
              <w:widowControl/>
              <w:snapToGrid w:val="0"/>
              <w:spacing w:line="360" w:lineRule="atLeast"/>
              <w:jc w:val="center"/>
              <w:rPr>
                <w:sz w:val="21"/>
                <w:szCs w:val="21"/>
              </w:rPr>
            </w:pPr>
            <w:r>
              <w:rPr>
                <w:sz w:val="21"/>
                <w:szCs w:val="21"/>
              </w:rPr>
              <w:t>左下角坐标(</w:t>
            </w:r>
            <w:r>
              <w:rPr>
                <w:sz w:val="21"/>
                <w:szCs w:val="21"/>
                <w:vertAlign w:val="superscript"/>
              </w:rPr>
              <w:t>o</w:t>
            </w:r>
            <w:r>
              <w:rPr>
                <w:sz w:val="21"/>
                <w:szCs w:val="21"/>
              </w:rPr>
              <w:t>)</w:t>
            </w:r>
          </w:p>
        </w:tc>
        <w:tc>
          <w:tcPr>
            <w:tcW w:w="484" w:type="pct"/>
            <w:vMerge w:val="restart"/>
            <w:vAlign w:val="center"/>
          </w:tcPr>
          <w:p>
            <w:pPr>
              <w:widowControl/>
              <w:snapToGrid w:val="0"/>
              <w:spacing w:line="360" w:lineRule="atLeast"/>
              <w:jc w:val="center"/>
              <w:rPr>
                <w:sz w:val="21"/>
                <w:szCs w:val="21"/>
              </w:rPr>
            </w:pPr>
            <w:r>
              <w:rPr>
                <w:sz w:val="21"/>
                <w:szCs w:val="21"/>
              </w:rPr>
              <w:t>海拔高度(m)</w:t>
            </w:r>
          </w:p>
        </w:tc>
        <w:tc>
          <w:tcPr>
            <w:tcW w:w="1264" w:type="pct"/>
            <w:gridSpan w:val="3"/>
            <w:vAlign w:val="center"/>
          </w:tcPr>
          <w:p>
            <w:pPr>
              <w:widowControl/>
              <w:snapToGrid w:val="0"/>
              <w:spacing w:line="360" w:lineRule="atLeast"/>
              <w:jc w:val="center"/>
              <w:rPr>
                <w:sz w:val="21"/>
                <w:szCs w:val="21"/>
              </w:rPr>
            </w:pPr>
            <w:r>
              <w:rPr>
                <w:sz w:val="21"/>
                <w:szCs w:val="21"/>
              </w:rPr>
              <w:t>矩形面源</w:t>
            </w:r>
          </w:p>
        </w:tc>
        <w:tc>
          <w:tcPr>
            <w:tcW w:w="346" w:type="pct"/>
            <w:vMerge w:val="restart"/>
            <w:vAlign w:val="center"/>
          </w:tcPr>
          <w:p>
            <w:pPr>
              <w:widowControl/>
              <w:snapToGrid w:val="0"/>
              <w:spacing w:line="360" w:lineRule="atLeast"/>
              <w:jc w:val="center"/>
              <w:rPr>
                <w:sz w:val="21"/>
                <w:szCs w:val="21"/>
              </w:rPr>
            </w:pPr>
            <w:r>
              <w:rPr>
                <w:sz w:val="21"/>
                <w:szCs w:val="21"/>
              </w:rPr>
              <w:t>污染物</w:t>
            </w:r>
          </w:p>
        </w:tc>
        <w:tc>
          <w:tcPr>
            <w:tcW w:w="559" w:type="pct"/>
            <w:vMerge w:val="restart"/>
            <w:vAlign w:val="center"/>
          </w:tcPr>
          <w:p>
            <w:pPr>
              <w:widowControl/>
              <w:snapToGrid w:val="0"/>
              <w:spacing w:line="360" w:lineRule="atLeast"/>
              <w:jc w:val="center"/>
              <w:rPr>
                <w:sz w:val="21"/>
                <w:szCs w:val="21"/>
              </w:rPr>
            </w:pPr>
            <w:r>
              <w:rPr>
                <w:sz w:val="21"/>
                <w:szCs w:val="21"/>
              </w:rPr>
              <w:t>排放速率</w:t>
            </w:r>
          </w:p>
        </w:tc>
        <w:tc>
          <w:tcPr>
            <w:tcW w:w="330" w:type="pct"/>
            <w:vMerge w:val="restart"/>
            <w:vAlign w:val="center"/>
          </w:tcPr>
          <w:p>
            <w:pPr>
              <w:widowControl/>
              <w:snapToGrid w:val="0"/>
              <w:spacing w:line="360" w:lineRule="atLeast"/>
              <w:jc w:val="center"/>
              <w:rPr>
                <w:sz w:val="21"/>
                <w:szCs w:val="21"/>
              </w:rPr>
            </w:pPr>
            <w:r>
              <w:rPr>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506" w:type="pct"/>
            <w:vMerge w:val="continue"/>
            <w:vAlign w:val="center"/>
          </w:tcPr>
          <w:p>
            <w:pPr>
              <w:widowControl/>
              <w:snapToGrid w:val="0"/>
              <w:spacing w:line="360" w:lineRule="atLeast"/>
              <w:jc w:val="center"/>
              <w:rPr>
                <w:sz w:val="21"/>
                <w:szCs w:val="21"/>
              </w:rPr>
            </w:pPr>
          </w:p>
        </w:tc>
        <w:tc>
          <w:tcPr>
            <w:tcW w:w="753" w:type="pct"/>
            <w:vAlign w:val="center"/>
          </w:tcPr>
          <w:p>
            <w:pPr>
              <w:widowControl/>
              <w:snapToGrid w:val="0"/>
              <w:spacing w:line="360" w:lineRule="atLeast"/>
              <w:jc w:val="center"/>
              <w:rPr>
                <w:sz w:val="21"/>
                <w:szCs w:val="21"/>
              </w:rPr>
            </w:pPr>
            <w:r>
              <w:rPr>
                <w:sz w:val="21"/>
                <w:szCs w:val="21"/>
              </w:rPr>
              <w:t>经度</w:t>
            </w:r>
          </w:p>
        </w:tc>
        <w:tc>
          <w:tcPr>
            <w:tcW w:w="755" w:type="pct"/>
            <w:vAlign w:val="center"/>
          </w:tcPr>
          <w:p>
            <w:pPr>
              <w:widowControl/>
              <w:snapToGrid w:val="0"/>
              <w:spacing w:line="360" w:lineRule="atLeast"/>
              <w:jc w:val="center"/>
              <w:rPr>
                <w:sz w:val="21"/>
                <w:szCs w:val="21"/>
              </w:rPr>
            </w:pPr>
            <w:r>
              <w:rPr>
                <w:sz w:val="21"/>
                <w:szCs w:val="21"/>
              </w:rPr>
              <w:t>经度</w:t>
            </w:r>
          </w:p>
        </w:tc>
        <w:tc>
          <w:tcPr>
            <w:tcW w:w="484" w:type="pct"/>
            <w:vMerge w:val="continue"/>
            <w:vAlign w:val="center"/>
          </w:tcPr>
          <w:p>
            <w:pPr>
              <w:widowControl/>
              <w:snapToGrid w:val="0"/>
              <w:spacing w:line="360" w:lineRule="atLeast"/>
              <w:jc w:val="center"/>
              <w:rPr>
                <w:sz w:val="21"/>
                <w:szCs w:val="21"/>
              </w:rPr>
            </w:pPr>
          </w:p>
        </w:tc>
        <w:tc>
          <w:tcPr>
            <w:tcW w:w="414" w:type="pct"/>
            <w:vAlign w:val="center"/>
          </w:tcPr>
          <w:p>
            <w:pPr>
              <w:widowControl/>
              <w:snapToGrid w:val="0"/>
              <w:spacing w:line="360" w:lineRule="atLeast"/>
              <w:jc w:val="center"/>
              <w:rPr>
                <w:sz w:val="21"/>
                <w:szCs w:val="21"/>
              </w:rPr>
            </w:pPr>
            <w:r>
              <w:rPr>
                <w:sz w:val="21"/>
                <w:szCs w:val="21"/>
              </w:rPr>
              <w:t>长度</w:t>
            </w:r>
          </w:p>
          <w:p>
            <w:pPr>
              <w:widowControl/>
              <w:snapToGrid w:val="0"/>
              <w:spacing w:line="360" w:lineRule="atLeast"/>
              <w:jc w:val="center"/>
              <w:rPr>
                <w:sz w:val="21"/>
                <w:szCs w:val="21"/>
              </w:rPr>
            </w:pPr>
            <w:r>
              <w:rPr>
                <w:sz w:val="21"/>
                <w:szCs w:val="21"/>
              </w:rPr>
              <w:t>(m)</w:t>
            </w:r>
          </w:p>
        </w:tc>
        <w:tc>
          <w:tcPr>
            <w:tcW w:w="414" w:type="pct"/>
            <w:vAlign w:val="center"/>
          </w:tcPr>
          <w:p>
            <w:pPr>
              <w:widowControl/>
              <w:snapToGrid w:val="0"/>
              <w:spacing w:line="360" w:lineRule="atLeast"/>
              <w:jc w:val="center"/>
              <w:rPr>
                <w:sz w:val="21"/>
                <w:szCs w:val="21"/>
              </w:rPr>
            </w:pPr>
            <w:r>
              <w:rPr>
                <w:sz w:val="21"/>
                <w:szCs w:val="21"/>
              </w:rPr>
              <w:t>宽度</w:t>
            </w:r>
          </w:p>
          <w:p>
            <w:pPr>
              <w:widowControl/>
              <w:snapToGrid w:val="0"/>
              <w:spacing w:line="360" w:lineRule="atLeast"/>
              <w:jc w:val="center"/>
              <w:rPr>
                <w:sz w:val="21"/>
                <w:szCs w:val="21"/>
              </w:rPr>
            </w:pPr>
            <w:r>
              <w:rPr>
                <w:sz w:val="21"/>
                <w:szCs w:val="21"/>
              </w:rPr>
              <w:t>(m)</w:t>
            </w:r>
          </w:p>
        </w:tc>
        <w:tc>
          <w:tcPr>
            <w:tcW w:w="436" w:type="pct"/>
            <w:vAlign w:val="center"/>
          </w:tcPr>
          <w:p>
            <w:pPr>
              <w:widowControl/>
              <w:snapToGrid w:val="0"/>
              <w:spacing w:line="360" w:lineRule="atLeast"/>
              <w:jc w:val="center"/>
              <w:rPr>
                <w:sz w:val="21"/>
                <w:szCs w:val="21"/>
              </w:rPr>
            </w:pPr>
            <w:r>
              <w:rPr>
                <w:sz w:val="21"/>
                <w:szCs w:val="21"/>
              </w:rPr>
              <w:t>高度(m)</w:t>
            </w:r>
          </w:p>
        </w:tc>
        <w:tc>
          <w:tcPr>
            <w:tcW w:w="346" w:type="pct"/>
            <w:vMerge w:val="continue"/>
            <w:vAlign w:val="center"/>
          </w:tcPr>
          <w:p>
            <w:pPr>
              <w:widowControl/>
              <w:snapToGrid w:val="0"/>
              <w:spacing w:line="360" w:lineRule="atLeast"/>
              <w:jc w:val="center"/>
              <w:rPr>
                <w:sz w:val="21"/>
                <w:szCs w:val="21"/>
              </w:rPr>
            </w:pPr>
          </w:p>
        </w:tc>
        <w:tc>
          <w:tcPr>
            <w:tcW w:w="559" w:type="pct"/>
            <w:vMerge w:val="continue"/>
            <w:vAlign w:val="center"/>
          </w:tcPr>
          <w:p>
            <w:pPr>
              <w:widowControl/>
              <w:snapToGrid w:val="0"/>
              <w:spacing w:line="360" w:lineRule="atLeast"/>
              <w:jc w:val="center"/>
              <w:rPr>
                <w:sz w:val="21"/>
                <w:szCs w:val="21"/>
              </w:rPr>
            </w:pPr>
          </w:p>
        </w:tc>
        <w:tc>
          <w:tcPr>
            <w:tcW w:w="330" w:type="pct"/>
            <w:vMerge w:val="continue"/>
            <w:vAlign w:val="center"/>
          </w:tcPr>
          <w:p>
            <w:pPr>
              <w:widowControl/>
              <w:snapToGrid w:val="0"/>
              <w:spacing w:line="360" w:lineRule="atLeas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6" w:type="pct"/>
            <w:vAlign w:val="center"/>
          </w:tcPr>
          <w:p>
            <w:pPr>
              <w:widowControl/>
              <w:spacing w:line="360" w:lineRule="atLeast"/>
              <w:jc w:val="center"/>
              <w:rPr>
                <w:sz w:val="21"/>
                <w:szCs w:val="21"/>
              </w:rPr>
            </w:pPr>
            <w:r>
              <w:rPr>
                <w:rFonts w:hint="eastAsia"/>
                <w:sz w:val="21"/>
                <w:szCs w:val="21"/>
              </w:rPr>
              <w:t>采装作业区</w:t>
            </w:r>
          </w:p>
        </w:tc>
        <w:tc>
          <w:tcPr>
            <w:tcW w:w="1399" w:type="dxa"/>
            <w:vAlign w:val="center"/>
          </w:tcPr>
          <w:p>
            <w:pPr>
              <w:widowControl w:val="0"/>
              <w:spacing w:line="360" w:lineRule="atLeast"/>
              <w:jc w:val="center"/>
              <w:rPr>
                <w:kern w:val="2"/>
                <w:sz w:val="21"/>
                <w:szCs w:val="21"/>
              </w:rPr>
            </w:pPr>
            <w:r>
              <w:rPr>
                <w:sz w:val="21"/>
                <w:szCs w:val="21"/>
              </w:rPr>
              <w:t>113.863072</w:t>
            </w:r>
          </w:p>
        </w:tc>
        <w:tc>
          <w:tcPr>
            <w:tcW w:w="1403" w:type="dxa"/>
            <w:vAlign w:val="center"/>
          </w:tcPr>
          <w:p>
            <w:pPr>
              <w:widowControl w:val="0"/>
              <w:spacing w:line="360" w:lineRule="atLeast"/>
              <w:jc w:val="center"/>
              <w:rPr>
                <w:kern w:val="2"/>
                <w:sz w:val="21"/>
                <w:szCs w:val="21"/>
              </w:rPr>
            </w:pPr>
            <w:r>
              <w:rPr>
                <w:sz w:val="21"/>
                <w:szCs w:val="21"/>
              </w:rPr>
              <w:t>39.286614</w:t>
            </w:r>
          </w:p>
        </w:tc>
        <w:tc>
          <w:tcPr>
            <w:tcW w:w="899" w:type="dxa"/>
            <w:vAlign w:val="center"/>
          </w:tcPr>
          <w:p>
            <w:pPr>
              <w:widowControl w:val="0"/>
              <w:spacing w:line="360" w:lineRule="atLeast"/>
              <w:jc w:val="center"/>
              <w:rPr>
                <w:kern w:val="2"/>
                <w:sz w:val="21"/>
                <w:szCs w:val="21"/>
              </w:rPr>
            </w:pPr>
            <w:r>
              <w:rPr>
                <w:sz w:val="21"/>
                <w:szCs w:val="21"/>
              </w:rPr>
              <w:t>1260.00</w:t>
            </w:r>
          </w:p>
        </w:tc>
        <w:tc>
          <w:tcPr>
            <w:tcW w:w="414" w:type="pct"/>
            <w:vAlign w:val="center"/>
          </w:tcPr>
          <w:p>
            <w:pPr>
              <w:widowControl/>
              <w:spacing w:line="360" w:lineRule="atLeast"/>
              <w:jc w:val="center"/>
              <w:rPr>
                <w:sz w:val="21"/>
                <w:szCs w:val="21"/>
              </w:rPr>
            </w:pPr>
            <w:r>
              <w:rPr>
                <w:rFonts w:hint="eastAsia"/>
                <w:sz w:val="21"/>
                <w:szCs w:val="21"/>
              </w:rPr>
              <w:t>170</w:t>
            </w:r>
          </w:p>
        </w:tc>
        <w:tc>
          <w:tcPr>
            <w:tcW w:w="414" w:type="pct"/>
            <w:vAlign w:val="center"/>
          </w:tcPr>
          <w:p>
            <w:pPr>
              <w:widowControl/>
              <w:spacing w:line="360" w:lineRule="atLeast"/>
              <w:jc w:val="center"/>
              <w:rPr>
                <w:sz w:val="21"/>
                <w:szCs w:val="21"/>
              </w:rPr>
            </w:pPr>
            <w:r>
              <w:rPr>
                <w:rFonts w:hint="eastAsia"/>
                <w:sz w:val="21"/>
                <w:szCs w:val="21"/>
              </w:rPr>
              <w:t>60</w:t>
            </w:r>
          </w:p>
        </w:tc>
        <w:tc>
          <w:tcPr>
            <w:tcW w:w="436" w:type="pct"/>
            <w:vAlign w:val="center"/>
          </w:tcPr>
          <w:p>
            <w:pPr>
              <w:widowControl/>
              <w:spacing w:line="360" w:lineRule="atLeast"/>
              <w:jc w:val="center"/>
              <w:rPr>
                <w:sz w:val="21"/>
                <w:szCs w:val="21"/>
              </w:rPr>
            </w:pPr>
            <w:r>
              <w:rPr>
                <w:rFonts w:hint="eastAsia"/>
                <w:sz w:val="21"/>
                <w:szCs w:val="21"/>
              </w:rPr>
              <w:t>5</w:t>
            </w:r>
          </w:p>
        </w:tc>
        <w:tc>
          <w:tcPr>
            <w:tcW w:w="346" w:type="pct"/>
            <w:vAlign w:val="center"/>
          </w:tcPr>
          <w:p>
            <w:pPr>
              <w:widowControl/>
              <w:spacing w:line="360" w:lineRule="atLeast"/>
              <w:jc w:val="center"/>
              <w:rPr>
                <w:sz w:val="21"/>
                <w:szCs w:val="21"/>
              </w:rPr>
            </w:pPr>
            <w:r>
              <w:rPr>
                <w:sz w:val="21"/>
                <w:szCs w:val="21"/>
              </w:rPr>
              <w:t>TSP</w:t>
            </w:r>
          </w:p>
        </w:tc>
        <w:tc>
          <w:tcPr>
            <w:tcW w:w="559" w:type="pct"/>
            <w:vAlign w:val="center"/>
          </w:tcPr>
          <w:p>
            <w:pPr>
              <w:widowControl/>
              <w:spacing w:line="360" w:lineRule="atLeast"/>
              <w:jc w:val="center"/>
              <w:rPr>
                <w:sz w:val="21"/>
                <w:szCs w:val="21"/>
              </w:rPr>
            </w:pPr>
            <w:r>
              <w:rPr>
                <w:rFonts w:hint="eastAsia"/>
                <w:sz w:val="21"/>
                <w:szCs w:val="21"/>
              </w:rPr>
              <w:t>0.0472</w:t>
            </w:r>
          </w:p>
        </w:tc>
        <w:tc>
          <w:tcPr>
            <w:tcW w:w="330" w:type="pct"/>
            <w:vAlign w:val="center"/>
          </w:tcPr>
          <w:p>
            <w:pPr>
              <w:widowControl/>
              <w:spacing w:line="360" w:lineRule="atLeast"/>
              <w:jc w:val="center"/>
              <w:rPr>
                <w:sz w:val="21"/>
                <w:szCs w:val="21"/>
              </w:rPr>
            </w:pPr>
            <w:r>
              <w:rPr>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506" w:type="pct"/>
            <w:vAlign w:val="center"/>
          </w:tcPr>
          <w:p>
            <w:pPr>
              <w:widowControl/>
              <w:spacing w:line="360" w:lineRule="atLeast"/>
              <w:jc w:val="center"/>
              <w:rPr>
                <w:sz w:val="21"/>
                <w:szCs w:val="21"/>
              </w:rPr>
            </w:pPr>
            <w:r>
              <w:rPr>
                <w:rFonts w:hint="eastAsia"/>
                <w:sz w:val="21"/>
                <w:szCs w:val="21"/>
              </w:rPr>
              <w:t>排土场</w:t>
            </w:r>
          </w:p>
        </w:tc>
        <w:tc>
          <w:tcPr>
            <w:tcW w:w="1399" w:type="dxa"/>
            <w:vAlign w:val="center"/>
          </w:tcPr>
          <w:p>
            <w:pPr>
              <w:widowControl w:val="0"/>
              <w:spacing w:line="360" w:lineRule="atLeast"/>
              <w:jc w:val="center"/>
              <w:rPr>
                <w:sz w:val="21"/>
                <w:szCs w:val="21"/>
              </w:rPr>
            </w:pPr>
            <w:r>
              <w:rPr>
                <w:sz w:val="21"/>
                <w:szCs w:val="21"/>
              </w:rPr>
              <w:t>113.864019</w:t>
            </w:r>
          </w:p>
        </w:tc>
        <w:tc>
          <w:tcPr>
            <w:tcW w:w="1403" w:type="dxa"/>
            <w:vAlign w:val="center"/>
          </w:tcPr>
          <w:p>
            <w:pPr>
              <w:widowControl w:val="0"/>
              <w:spacing w:line="360" w:lineRule="atLeast"/>
              <w:jc w:val="center"/>
              <w:rPr>
                <w:sz w:val="21"/>
                <w:szCs w:val="21"/>
              </w:rPr>
            </w:pPr>
            <w:r>
              <w:rPr>
                <w:sz w:val="21"/>
                <w:szCs w:val="21"/>
              </w:rPr>
              <w:t>39.285909</w:t>
            </w:r>
          </w:p>
        </w:tc>
        <w:tc>
          <w:tcPr>
            <w:tcW w:w="899" w:type="dxa"/>
            <w:vAlign w:val="center"/>
          </w:tcPr>
          <w:p>
            <w:pPr>
              <w:widowControl w:val="0"/>
              <w:spacing w:line="360" w:lineRule="atLeast"/>
              <w:jc w:val="center"/>
              <w:rPr>
                <w:sz w:val="21"/>
                <w:szCs w:val="21"/>
              </w:rPr>
            </w:pPr>
            <w:r>
              <w:rPr>
                <w:sz w:val="21"/>
                <w:szCs w:val="21"/>
              </w:rPr>
              <w:t>1254.00</w:t>
            </w:r>
          </w:p>
        </w:tc>
        <w:tc>
          <w:tcPr>
            <w:tcW w:w="414" w:type="pct"/>
            <w:vAlign w:val="center"/>
          </w:tcPr>
          <w:p>
            <w:pPr>
              <w:widowControl/>
              <w:spacing w:line="360" w:lineRule="atLeast"/>
              <w:jc w:val="center"/>
              <w:rPr>
                <w:sz w:val="21"/>
                <w:szCs w:val="21"/>
              </w:rPr>
            </w:pPr>
            <w:r>
              <w:rPr>
                <w:rFonts w:hint="eastAsia"/>
                <w:sz w:val="21"/>
                <w:szCs w:val="21"/>
              </w:rPr>
              <w:t>14</w:t>
            </w:r>
          </w:p>
        </w:tc>
        <w:tc>
          <w:tcPr>
            <w:tcW w:w="414" w:type="pct"/>
            <w:vAlign w:val="center"/>
          </w:tcPr>
          <w:p>
            <w:pPr>
              <w:widowControl/>
              <w:spacing w:line="360" w:lineRule="atLeast"/>
              <w:jc w:val="center"/>
              <w:rPr>
                <w:sz w:val="21"/>
                <w:szCs w:val="21"/>
              </w:rPr>
            </w:pPr>
            <w:r>
              <w:rPr>
                <w:rFonts w:hint="eastAsia"/>
                <w:sz w:val="21"/>
                <w:szCs w:val="21"/>
              </w:rPr>
              <w:t>13</w:t>
            </w:r>
          </w:p>
        </w:tc>
        <w:tc>
          <w:tcPr>
            <w:tcW w:w="436" w:type="pct"/>
            <w:vAlign w:val="center"/>
          </w:tcPr>
          <w:p>
            <w:pPr>
              <w:widowControl/>
              <w:spacing w:line="360" w:lineRule="atLeast"/>
              <w:jc w:val="center"/>
              <w:rPr>
                <w:sz w:val="21"/>
                <w:szCs w:val="21"/>
              </w:rPr>
            </w:pPr>
            <w:r>
              <w:rPr>
                <w:rFonts w:hint="eastAsia"/>
                <w:sz w:val="21"/>
                <w:szCs w:val="21"/>
              </w:rPr>
              <w:t>5</w:t>
            </w:r>
          </w:p>
        </w:tc>
        <w:tc>
          <w:tcPr>
            <w:tcW w:w="346" w:type="pct"/>
            <w:vAlign w:val="center"/>
          </w:tcPr>
          <w:p>
            <w:pPr>
              <w:widowControl/>
              <w:spacing w:line="360" w:lineRule="atLeast"/>
              <w:jc w:val="center"/>
              <w:rPr>
                <w:sz w:val="21"/>
                <w:szCs w:val="21"/>
              </w:rPr>
            </w:pPr>
            <w:r>
              <w:rPr>
                <w:sz w:val="21"/>
                <w:szCs w:val="21"/>
              </w:rPr>
              <w:t>TSP</w:t>
            </w:r>
          </w:p>
        </w:tc>
        <w:tc>
          <w:tcPr>
            <w:tcW w:w="559" w:type="pct"/>
            <w:vAlign w:val="center"/>
          </w:tcPr>
          <w:p>
            <w:pPr>
              <w:widowControl/>
              <w:spacing w:line="360" w:lineRule="atLeast"/>
              <w:jc w:val="center"/>
              <w:rPr>
                <w:sz w:val="21"/>
                <w:szCs w:val="21"/>
              </w:rPr>
            </w:pPr>
            <w:r>
              <w:rPr>
                <w:rFonts w:hint="eastAsia"/>
                <w:sz w:val="21"/>
                <w:szCs w:val="21"/>
              </w:rPr>
              <w:t>0.0004</w:t>
            </w:r>
          </w:p>
        </w:tc>
        <w:tc>
          <w:tcPr>
            <w:tcW w:w="330" w:type="pct"/>
            <w:vAlign w:val="center"/>
          </w:tcPr>
          <w:p>
            <w:pPr>
              <w:widowControl/>
              <w:spacing w:line="360" w:lineRule="atLeast"/>
              <w:jc w:val="center"/>
              <w:rPr>
                <w:sz w:val="21"/>
                <w:szCs w:val="21"/>
              </w:rPr>
            </w:pPr>
            <w:r>
              <w:rPr>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6" w:type="pct"/>
            <w:vAlign w:val="center"/>
          </w:tcPr>
          <w:p>
            <w:pPr>
              <w:widowControl/>
              <w:spacing w:line="360" w:lineRule="atLeast"/>
              <w:jc w:val="center"/>
              <w:rPr>
                <w:sz w:val="21"/>
                <w:szCs w:val="21"/>
              </w:rPr>
            </w:pPr>
            <w:r>
              <w:rPr>
                <w:rFonts w:hint="eastAsia"/>
                <w:sz w:val="21"/>
                <w:szCs w:val="21"/>
              </w:rPr>
              <w:t>原料库</w:t>
            </w:r>
          </w:p>
        </w:tc>
        <w:tc>
          <w:tcPr>
            <w:tcW w:w="753" w:type="pct"/>
            <w:vAlign w:val="center"/>
          </w:tcPr>
          <w:p>
            <w:pPr>
              <w:widowControl w:val="0"/>
              <w:spacing w:line="360" w:lineRule="atLeast"/>
              <w:jc w:val="center"/>
              <w:rPr>
                <w:kern w:val="2"/>
                <w:sz w:val="21"/>
                <w:szCs w:val="21"/>
              </w:rPr>
            </w:pPr>
            <w:r>
              <w:rPr>
                <w:sz w:val="21"/>
                <w:szCs w:val="21"/>
              </w:rPr>
              <w:t>113.863322</w:t>
            </w:r>
          </w:p>
        </w:tc>
        <w:tc>
          <w:tcPr>
            <w:tcW w:w="755" w:type="pct"/>
            <w:vAlign w:val="center"/>
          </w:tcPr>
          <w:p>
            <w:pPr>
              <w:widowControl w:val="0"/>
              <w:spacing w:line="360" w:lineRule="atLeast"/>
              <w:jc w:val="center"/>
              <w:rPr>
                <w:kern w:val="2"/>
                <w:sz w:val="21"/>
                <w:szCs w:val="21"/>
              </w:rPr>
            </w:pPr>
            <w:r>
              <w:rPr>
                <w:sz w:val="21"/>
                <w:szCs w:val="21"/>
              </w:rPr>
              <w:t>39.284857</w:t>
            </w:r>
          </w:p>
        </w:tc>
        <w:tc>
          <w:tcPr>
            <w:tcW w:w="484" w:type="pct"/>
            <w:vAlign w:val="center"/>
          </w:tcPr>
          <w:p>
            <w:pPr>
              <w:widowControl w:val="0"/>
              <w:spacing w:line="360" w:lineRule="atLeast"/>
              <w:jc w:val="center"/>
              <w:rPr>
                <w:kern w:val="2"/>
                <w:sz w:val="21"/>
                <w:szCs w:val="21"/>
              </w:rPr>
            </w:pPr>
            <w:r>
              <w:rPr>
                <w:sz w:val="21"/>
                <w:szCs w:val="21"/>
              </w:rPr>
              <w:t>1254.00</w:t>
            </w:r>
          </w:p>
        </w:tc>
        <w:tc>
          <w:tcPr>
            <w:tcW w:w="414" w:type="pct"/>
            <w:vAlign w:val="center"/>
          </w:tcPr>
          <w:p>
            <w:pPr>
              <w:widowControl/>
              <w:spacing w:line="360" w:lineRule="atLeast"/>
              <w:jc w:val="center"/>
              <w:rPr>
                <w:sz w:val="21"/>
                <w:szCs w:val="21"/>
              </w:rPr>
            </w:pPr>
            <w:r>
              <w:rPr>
                <w:rFonts w:hint="eastAsia"/>
                <w:sz w:val="21"/>
                <w:szCs w:val="21"/>
              </w:rPr>
              <w:t>50</w:t>
            </w:r>
          </w:p>
        </w:tc>
        <w:tc>
          <w:tcPr>
            <w:tcW w:w="414" w:type="pct"/>
            <w:vAlign w:val="center"/>
          </w:tcPr>
          <w:p>
            <w:pPr>
              <w:widowControl/>
              <w:spacing w:line="360" w:lineRule="atLeast"/>
              <w:jc w:val="center"/>
              <w:rPr>
                <w:sz w:val="21"/>
                <w:szCs w:val="21"/>
              </w:rPr>
            </w:pPr>
            <w:r>
              <w:rPr>
                <w:rFonts w:hint="eastAsia"/>
                <w:sz w:val="21"/>
                <w:szCs w:val="21"/>
              </w:rPr>
              <w:t>10</w:t>
            </w:r>
          </w:p>
        </w:tc>
        <w:tc>
          <w:tcPr>
            <w:tcW w:w="436" w:type="pct"/>
            <w:vAlign w:val="center"/>
          </w:tcPr>
          <w:p>
            <w:pPr>
              <w:widowControl/>
              <w:spacing w:line="360" w:lineRule="atLeast"/>
              <w:jc w:val="center"/>
              <w:rPr>
                <w:sz w:val="21"/>
                <w:szCs w:val="21"/>
              </w:rPr>
            </w:pPr>
            <w:r>
              <w:rPr>
                <w:rFonts w:hint="eastAsia"/>
                <w:sz w:val="21"/>
                <w:szCs w:val="21"/>
              </w:rPr>
              <w:t>10</w:t>
            </w:r>
          </w:p>
        </w:tc>
        <w:tc>
          <w:tcPr>
            <w:tcW w:w="346" w:type="pct"/>
            <w:vAlign w:val="center"/>
          </w:tcPr>
          <w:p>
            <w:pPr>
              <w:widowControl/>
              <w:spacing w:line="360" w:lineRule="atLeast"/>
              <w:jc w:val="center"/>
              <w:rPr>
                <w:sz w:val="21"/>
                <w:szCs w:val="21"/>
              </w:rPr>
            </w:pPr>
            <w:r>
              <w:rPr>
                <w:sz w:val="21"/>
                <w:szCs w:val="21"/>
              </w:rPr>
              <w:t>TSP</w:t>
            </w:r>
          </w:p>
        </w:tc>
        <w:tc>
          <w:tcPr>
            <w:tcW w:w="559" w:type="pct"/>
            <w:vAlign w:val="center"/>
          </w:tcPr>
          <w:p>
            <w:pPr>
              <w:widowControl/>
              <w:spacing w:line="360" w:lineRule="atLeast"/>
              <w:jc w:val="center"/>
              <w:rPr>
                <w:sz w:val="21"/>
                <w:szCs w:val="21"/>
              </w:rPr>
            </w:pPr>
            <w:r>
              <w:rPr>
                <w:rFonts w:hint="eastAsia"/>
                <w:sz w:val="21"/>
                <w:szCs w:val="21"/>
              </w:rPr>
              <w:t>0.0022</w:t>
            </w:r>
          </w:p>
        </w:tc>
        <w:tc>
          <w:tcPr>
            <w:tcW w:w="330" w:type="pct"/>
            <w:vAlign w:val="center"/>
          </w:tcPr>
          <w:p>
            <w:pPr>
              <w:widowControl/>
              <w:spacing w:line="360" w:lineRule="atLeast"/>
              <w:jc w:val="center"/>
              <w:rPr>
                <w:sz w:val="21"/>
                <w:szCs w:val="21"/>
              </w:rPr>
            </w:pPr>
            <w:r>
              <w:rPr>
                <w:sz w:val="21"/>
                <w:szCs w:val="21"/>
              </w:rPr>
              <w:t>kg/h</w:t>
            </w:r>
          </w:p>
        </w:tc>
      </w:tr>
    </w:tbl>
    <w:p>
      <w:pPr>
        <w:adjustRightInd w:val="0"/>
        <w:snapToGrid w:val="0"/>
        <w:spacing w:before="120" w:beforeLines="50"/>
        <w:jc w:val="center"/>
        <w:rPr>
          <w:rFonts w:ascii="黑体" w:hAnsi="黑体" w:eastAsia="黑体" w:cs="黑体"/>
          <w:sz w:val="21"/>
          <w:szCs w:val="21"/>
          <w:lang w:val="en-GB"/>
        </w:rPr>
      </w:pPr>
      <w:r>
        <w:rPr>
          <w:rFonts w:hint="eastAsia" w:ascii="黑体" w:hAnsi="黑体" w:eastAsia="黑体" w:cs="黑体"/>
          <w:sz w:val="21"/>
          <w:szCs w:val="21"/>
          <w:lang w:val="en-GB"/>
        </w:rPr>
        <w:t>表</w:t>
      </w:r>
      <w:r>
        <w:rPr>
          <w:rFonts w:eastAsia="黑体"/>
          <w:sz w:val="21"/>
          <w:szCs w:val="21"/>
        </w:rPr>
        <w:t>1</w:t>
      </w:r>
      <w:r>
        <w:rPr>
          <w:rFonts w:eastAsia="黑体"/>
          <w:sz w:val="21"/>
          <w:szCs w:val="21"/>
          <w:lang w:val="en-GB"/>
        </w:rPr>
        <w:t>.</w:t>
      </w:r>
      <w:r>
        <w:rPr>
          <w:rFonts w:eastAsia="黑体"/>
          <w:sz w:val="21"/>
          <w:szCs w:val="21"/>
        </w:rPr>
        <w:t>4</w:t>
      </w:r>
      <w:r>
        <w:rPr>
          <w:rFonts w:eastAsia="黑体"/>
          <w:sz w:val="21"/>
          <w:szCs w:val="21"/>
          <w:lang w:val="en-GB"/>
        </w:rPr>
        <w:t>-</w:t>
      </w:r>
      <w:r>
        <w:rPr>
          <w:rFonts w:eastAsia="黑体"/>
          <w:sz w:val="21"/>
          <w:szCs w:val="21"/>
        </w:rPr>
        <w:t>3</w:t>
      </w:r>
      <w:r>
        <w:rPr>
          <w:rFonts w:hint="eastAsia" w:ascii="黑体" w:hAnsi="黑体" w:eastAsia="黑体" w:cs="黑体"/>
          <w:sz w:val="21"/>
          <w:szCs w:val="21"/>
          <w:lang w:val="en-GB"/>
        </w:rPr>
        <w:t xml:space="preserve">     估算模型参数表</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2135"/>
        <w:gridCol w:w="1173"/>
        <w:gridCol w:w="4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701" w:type="pct"/>
            <w:gridSpan w:val="2"/>
            <w:shd w:val="clear" w:color="auto" w:fill="auto"/>
            <w:vAlign w:val="center"/>
          </w:tcPr>
          <w:p>
            <w:pPr>
              <w:spacing w:line="360" w:lineRule="exact"/>
              <w:jc w:val="center"/>
              <w:rPr>
                <w:sz w:val="21"/>
                <w:szCs w:val="21"/>
              </w:rPr>
            </w:pPr>
            <w:r>
              <w:rPr>
                <w:sz w:val="21"/>
                <w:szCs w:val="21"/>
              </w:rPr>
              <w:t>参数</w:t>
            </w:r>
          </w:p>
        </w:tc>
        <w:tc>
          <w:tcPr>
            <w:tcW w:w="632" w:type="pct"/>
            <w:shd w:val="clear" w:color="auto" w:fill="auto"/>
            <w:vAlign w:val="center"/>
          </w:tcPr>
          <w:p>
            <w:pPr>
              <w:spacing w:line="360" w:lineRule="exact"/>
              <w:jc w:val="center"/>
              <w:rPr>
                <w:sz w:val="21"/>
                <w:szCs w:val="21"/>
              </w:rPr>
            </w:pPr>
            <w:r>
              <w:rPr>
                <w:sz w:val="21"/>
                <w:szCs w:val="21"/>
              </w:rPr>
              <w:t>取值</w:t>
            </w:r>
          </w:p>
        </w:tc>
        <w:tc>
          <w:tcPr>
            <w:tcW w:w="2666" w:type="pct"/>
            <w:shd w:val="clear" w:color="auto" w:fill="auto"/>
            <w:vAlign w:val="center"/>
          </w:tcPr>
          <w:p>
            <w:pPr>
              <w:spacing w:line="360" w:lineRule="exact"/>
              <w:jc w:val="center"/>
              <w:rPr>
                <w:sz w:val="21"/>
                <w:szCs w:val="21"/>
              </w:rPr>
            </w:pPr>
            <w:r>
              <w:rPr>
                <w:rFonts w:hint="eastAsia"/>
                <w:sz w:val="21"/>
                <w:szCs w:val="21"/>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51" w:type="pct"/>
            <w:vMerge w:val="restart"/>
            <w:shd w:val="clear" w:color="auto" w:fill="auto"/>
            <w:vAlign w:val="center"/>
          </w:tcPr>
          <w:p>
            <w:pPr>
              <w:spacing w:line="360" w:lineRule="exact"/>
              <w:jc w:val="center"/>
              <w:rPr>
                <w:sz w:val="21"/>
                <w:szCs w:val="21"/>
              </w:rPr>
            </w:pPr>
            <w:r>
              <w:rPr>
                <w:sz w:val="21"/>
                <w:szCs w:val="21"/>
              </w:rPr>
              <w:t>城市农村/选项</w:t>
            </w:r>
          </w:p>
        </w:tc>
        <w:tc>
          <w:tcPr>
            <w:tcW w:w="1149" w:type="pct"/>
            <w:shd w:val="clear" w:color="auto" w:fill="auto"/>
            <w:vAlign w:val="center"/>
          </w:tcPr>
          <w:p>
            <w:pPr>
              <w:spacing w:line="360" w:lineRule="exact"/>
              <w:jc w:val="center"/>
              <w:rPr>
                <w:sz w:val="21"/>
                <w:szCs w:val="21"/>
              </w:rPr>
            </w:pPr>
            <w:r>
              <w:rPr>
                <w:sz w:val="21"/>
                <w:szCs w:val="21"/>
              </w:rPr>
              <w:t>城市/农村</w:t>
            </w:r>
          </w:p>
        </w:tc>
        <w:tc>
          <w:tcPr>
            <w:tcW w:w="632" w:type="pct"/>
            <w:shd w:val="clear" w:color="auto" w:fill="auto"/>
            <w:vAlign w:val="center"/>
          </w:tcPr>
          <w:p>
            <w:pPr>
              <w:spacing w:line="360" w:lineRule="exact"/>
              <w:jc w:val="center"/>
              <w:rPr>
                <w:sz w:val="21"/>
                <w:szCs w:val="21"/>
              </w:rPr>
            </w:pPr>
            <w:r>
              <w:rPr>
                <w:sz w:val="21"/>
                <w:szCs w:val="21"/>
              </w:rPr>
              <w:t>农村</w:t>
            </w:r>
          </w:p>
        </w:tc>
        <w:tc>
          <w:tcPr>
            <w:tcW w:w="2666" w:type="pct"/>
            <w:shd w:val="clear" w:color="auto" w:fill="auto"/>
            <w:vAlign w:val="center"/>
          </w:tcPr>
          <w:p>
            <w:pPr>
              <w:spacing w:line="360" w:lineRule="exact"/>
              <w:jc w:val="center"/>
              <w:rPr>
                <w:sz w:val="21"/>
                <w:szCs w:val="21"/>
              </w:rPr>
            </w:pPr>
            <w:r>
              <w:rPr>
                <w:rFonts w:hint="eastAsia"/>
                <w:sz w:val="21"/>
                <w:szCs w:val="21"/>
              </w:rPr>
              <w:t>项目周边3km范围内均不属于城市建成区和规划区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51" w:type="pct"/>
            <w:vMerge w:val="continue"/>
            <w:shd w:val="clear" w:color="auto" w:fill="auto"/>
            <w:vAlign w:val="center"/>
          </w:tcPr>
          <w:p>
            <w:pPr>
              <w:spacing w:line="360" w:lineRule="exact"/>
              <w:jc w:val="center"/>
              <w:rPr>
                <w:sz w:val="21"/>
                <w:szCs w:val="21"/>
              </w:rPr>
            </w:pPr>
          </w:p>
        </w:tc>
        <w:tc>
          <w:tcPr>
            <w:tcW w:w="1149" w:type="pct"/>
            <w:shd w:val="clear" w:color="auto" w:fill="auto"/>
            <w:vAlign w:val="center"/>
          </w:tcPr>
          <w:p>
            <w:pPr>
              <w:spacing w:line="360" w:lineRule="exact"/>
              <w:jc w:val="center"/>
              <w:rPr>
                <w:sz w:val="21"/>
                <w:szCs w:val="21"/>
              </w:rPr>
            </w:pPr>
            <w:r>
              <w:rPr>
                <w:sz w:val="21"/>
                <w:szCs w:val="21"/>
              </w:rPr>
              <w:t>人口数(城市人口数)</w:t>
            </w:r>
          </w:p>
        </w:tc>
        <w:tc>
          <w:tcPr>
            <w:tcW w:w="632" w:type="pct"/>
            <w:shd w:val="clear" w:color="auto" w:fill="auto"/>
            <w:vAlign w:val="center"/>
          </w:tcPr>
          <w:p>
            <w:pPr>
              <w:spacing w:line="360" w:lineRule="exact"/>
              <w:jc w:val="center"/>
              <w:rPr>
                <w:sz w:val="21"/>
                <w:szCs w:val="21"/>
              </w:rPr>
            </w:pPr>
            <w:r>
              <w:rPr>
                <w:rFonts w:hint="eastAsia"/>
                <w:sz w:val="21"/>
                <w:szCs w:val="21"/>
              </w:rPr>
              <w:t>/</w:t>
            </w:r>
          </w:p>
        </w:tc>
        <w:tc>
          <w:tcPr>
            <w:tcW w:w="2666" w:type="pct"/>
            <w:shd w:val="clear" w:color="auto" w:fill="auto"/>
            <w:vAlign w:val="center"/>
          </w:tcPr>
          <w:p>
            <w:pPr>
              <w:spacing w:line="3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01" w:type="pct"/>
            <w:gridSpan w:val="2"/>
            <w:shd w:val="clear" w:color="auto" w:fill="auto"/>
            <w:vAlign w:val="center"/>
          </w:tcPr>
          <w:p>
            <w:pPr>
              <w:spacing w:line="360" w:lineRule="exact"/>
              <w:jc w:val="center"/>
              <w:rPr>
                <w:sz w:val="21"/>
                <w:szCs w:val="21"/>
              </w:rPr>
            </w:pPr>
            <w:r>
              <w:rPr>
                <w:sz w:val="21"/>
                <w:szCs w:val="21"/>
              </w:rPr>
              <w:t>最高环境温度</w:t>
            </w:r>
          </w:p>
        </w:tc>
        <w:tc>
          <w:tcPr>
            <w:tcW w:w="632" w:type="pct"/>
            <w:shd w:val="clear" w:color="auto" w:fill="auto"/>
            <w:vAlign w:val="center"/>
          </w:tcPr>
          <w:p>
            <w:pPr>
              <w:spacing w:line="360" w:lineRule="exact"/>
              <w:jc w:val="center"/>
              <w:rPr>
                <w:sz w:val="21"/>
                <w:szCs w:val="21"/>
              </w:rPr>
            </w:pPr>
            <w:r>
              <w:rPr>
                <w:rFonts w:hint="eastAsia"/>
                <w:sz w:val="21"/>
                <w:szCs w:val="21"/>
              </w:rPr>
              <w:t>37.2</w:t>
            </w:r>
            <w:r>
              <w:rPr>
                <w:sz w:val="21"/>
                <w:szCs w:val="21"/>
              </w:rPr>
              <w:t xml:space="preserve"> °C</w:t>
            </w:r>
          </w:p>
        </w:tc>
        <w:tc>
          <w:tcPr>
            <w:tcW w:w="2666" w:type="pct"/>
            <w:shd w:val="clear" w:color="auto" w:fill="auto"/>
            <w:vAlign w:val="center"/>
          </w:tcPr>
          <w:p>
            <w:pPr>
              <w:spacing w:line="360" w:lineRule="exact"/>
              <w:jc w:val="center"/>
              <w:rPr>
                <w:sz w:val="21"/>
                <w:szCs w:val="21"/>
              </w:rPr>
            </w:pPr>
            <w:r>
              <w:rPr>
                <w:rFonts w:hint="eastAsia"/>
                <w:sz w:val="21"/>
                <w:szCs w:val="21"/>
              </w:rPr>
              <w:t>根据历年统计资料得出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01" w:type="pct"/>
            <w:gridSpan w:val="2"/>
            <w:shd w:val="clear" w:color="auto" w:fill="auto"/>
            <w:vAlign w:val="center"/>
          </w:tcPr>
          <w:p>
            <w:pPr>
              <w:spacing w:line="360" w:lineRule="exact"/>
              <w:jc w:val="center"/>
              <w:rPr>
                <w:sz w:val="21"/>
                <w:szCs w:val="21"/>
              </w:rPr>
            </w:pPr>
            <w:r>
              <w:rPr>
                <w:sz w:val="21"/>
                <w:szCs w:val="21"/>
              </w:rPr>
              <w:t>最低环境温度</w:t>
            </w:r>
          </w:p>
        </w:tc>
        <w:tc>
          <w:tcPr>
            <w:tcW w:w="632" w:type="pct"/>
            <w:shd w:val="clear" w:color="auto" w:fill="auto"/>
            <w:vAlign w:val="center"/>
          </w:tcPr>
          <w:p>
            <w:pPr>
              <w:spacing w:line="360" w:lineRule="exact"/>
              <w:jc w:val="center"/>
              <w:rPr>
                <w:sz w:val="21"/>
                <w:szCs w:val="21"/>
              </w:rPr>
            </w:pPr>
            <w:r>
              <w:rPr>
                <w:sz w:val="21"/>
                <w:szCs w:val="21"/>
              </w:rPr>
              <w:t>-</w:t>
            </w:r>
            <w:r>
              <w:rPr>
                <w:rFonts w:hint="eastAsia"/>
                <w:sz w:val="21"/>
                <w:szCs w:val="21"/>
              </w:rPr>
              <w:t>28.5</w:t>
            </w:r>
            <w:r>
              <w:rPr>
                <w:sz w:val="21"/>
                <w:szCs w:val="21"/>
              </w:rPr>
              <w:t xml:space="preserve"> °C</w:t>
            </w:r>
          </w:p>
        </w:tc>
        <w:tc>
          <w:tcPr>
            <w:tcW w:w="2666" w:type="pct"/>
            <w:shd w:val="clear" w:color="auto" w:fill="auto"/>
            <w:vAlign w:val="center"/>
          </w:tcPr>
          <w:p>
            <w:pPr>
              <w:spacing w:line="360" w:lineRule="exact"/>
              <w:jc w:val="center"/>
              <w:rPr>
                <w:sz w:val="21"/>
                <w:szCs w:val="21"/>
              </w:rPr>
            </w:pPr>
            <w:r>
              <w:rPr>
                <w:rFonts w:hint="eastAsia"/>
                <w:sz w:val="21"/>
                <w:szCs w:val="21"/>
              </w:rPr>
              <w:t>根据历年统计资料得出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701" w:type="pct"/>
            <w:gridSpan w:val="2"/>
            <w:shd w:val="clear" w:color="auto" w:fill="auto"/>
            <w:vAlign w:val="center"/>
          </w:tcPr>
          <w:p>
            <w:pPr>
              <w:spacing w:line="360" w:lineRule="exact"/>
              <w:jc w:val="center"/>
              <w:rPr>
                <w:sz w:val="21"/>
                <w:szCs w:val="21"/>
              </w:rPr>
            </w:pPr>
            <w:r>
              <w:rPr>
                <w:sz w:val="21"/>
                <w:szCs w:val="21"/>
              </w:rPr>
              <w:t>土地利用类型</w:t>
            </w:r>
          </w:p>
        </w:tc>
        <w:tc>
          <w:tcPr>
            <w:tcW w:w="632" w:type="pct"/>
            <w:shd w:val="clear" w:color="auto" w:fill="auto"/>
            <w:vAlign w:val="center"/>
          </w:tcPr>
          <w:p>
            <w:pPr>
              <w:spacing w:line="360" w:lineRule="exact"/>
              <w:jc w:val="center"/>
              <w:rPr>
                <w:sz w:val="21"/>
                <w:szCs w:val="21"/>
              </w:rPr>
            </w:pPr>
            <w:r>
              <w:rPr>
                <w:sz w:val="21"/>
                <w:szCs w:val="21"/>
              </w:rPr>
              <w:t>农田</w:t>
            </w:r>
          </w:p>
        </w:tc>
        <w:tc>
          <w:tcPr>
            <w:tcW w:w="2666" w:type="pct"/>
            <w:shd w:val="clear" w:color="auto" w:fill="auto"/>
            <w:vAlign w:val="center"/>
          </w:tcPr>
          <w:p>
            <w:pPr>
              <w:spacing w:line="360" w:lineRule="exact"/>
              <w:jc w:val="center"/>
              <w:rPr>
                <w:sz w:val="21"/>
                <w:szCs w:val="21"/>
              </w:rPr>
            </w:pPr>
            <w:r>
              <w:rPr>
                <w:rFonts w:hint="eastAsia"/>
                <w:sz w:val="21"/>
                <w:szCs w:val="21"/>
              </w:rPr>
              <w:t>根据区域卫星影像</w:t>
            </w:r>
            <w:r>
              <w:rPr>
                <w:sz w:val="21"/>
                <w:szCs w:val="21"/>
              </w:rPr>
              <w:t>图，厂区周围</w:t>
            </w:r>
            <w:r>
              <w:rPr>
                <w:rFonts w:hint="eastAsia"/>
                <w:sz w:val="21"/>
                <w:szCs w:val="21"/>
              </w:rPr>
              <w:t>3</w:t>
            </w:r>
            <w:r>
              <w:rPr>
                <w:sz w:val="21"/>
                <w:szCs w:val="21"/>
              </w:rPr>
              <w:t>km</w:t>
            </w:r>
            <w:r>
              <w:rPr>
                <w:rFonts w:hint="eastAsia"/>
                <w:sz w:val="21"/>
                <w:szCs w:val="21"/>
              </w:rPr>
              <w:t>范围</w:t>
            </w:r>
            <w:r>
              <w:rPr>
                <w:sz w:val="21"/>
                <w:szCs w:val="21"/>
              </w:rPr>
              <w:t>内占地面积最大的土地利用类型为</w:t>
            </w:r>
            <w:r>
              <w:rPr>
                <w:rFonts w:hint="eastAsia"/>
                <w:sz w:val="21"/>
                <w:szCs w:val="21"/>
              </w:rPr>
              <w:t>农田，见图1-4-1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01" w:type="pct"/>
            <w:gridSpan w:val="2"/>
            <w:shd w:val="clear" w:color="auto" w:fill="auto"/>
            <w:vAlign w:val="center"/>
          </w:tcPr>
          <w:p>
            <w:pPr>
              <w:spacing w:line="360" w:lineRule="exact"/>
              <w:jc w:val="center"/>
              <w:rPr>
                <w:sz w:val="21"/>
                <w:szCs w:val="21"/>
              </w:rPr>
            </w:pPr>
            <w:r>
              <w:rPr>
                <w:sz w:val="21"/>
                <w:szCs w:val="21"/>
              </w:rPr>
              <w:t>区域湿度条件</w:t>
            </w:r>
          </w:p>
        </w:tc>
        <w:tc>
          <w:tcPr>
            <w:tcW w:w="632" w:type="pct"/>
            <w:shd w:val="clear" w:color="auto" w:fill="auto"/>
            <w:vAlign w:val="center"/>
          </w:tcPr>
          <w:p>
            <w:pPr>
              <w:spacing w:line="360" w:lineRule="exact"/>
              <w:jc w:val="center"/>
              <w:rPr>
                <w:sz w:val="21"/>
                <w:szCs w:val="21"/>
              </w:rPr>
            </w:pPr>
            <w:r>
              <w:rPr>
                <w:rFonts w:hint="eastAsia"/>
                <w:sz w:val="21"/>
                <w:szCs w:val="21"/>
              </w:rPr>
              <w:t>中等湿度</w:t>
            </w:r>
          </w:p>
        </w:tc>
        <w:tc>
          <w:tcPr>
            <w:tcW w:w="2666" w:type="pct"/>
            <w:shd w:val="clear" w:color="auto" w:fill="auto"/>
            <w:vAlign w:val="center"/>
          </w:tcPr>
          <w:p>
            <w:pPr>
              <w:spacing w:line="360" w:lineRule="exact"/>
              <w:jc w:val="center"/>
              <w:rPr>
                <w:sz w:val="21"/>
                <w:szCs w:val="21"/>
              </w:rPr>
            </w:pPr>
            <w:r>
              <w:rPr>
                <w:rFonts w:hint="eastAsia"/>
                <w:bCs/>
                <w:sz w:val="21"/>
                <w:szCs w:val="21"/>
              </w:rPr>
              <w:t>根据中国干湿地区分区图，项目所在区域湿度条件属于中等湿度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51" w:type="pct"/>
            <w:vMerge w:val="restart"/>
            <w:shd w:val="clear" w:color="auto" w:fill="auto"/>
            <w:vAlign w:val="center"/>
          </w:tcPr>
          <w:p>
            <w:pPr>
              <w:spacing w:line="360" w:lineRule="exact"/>
              <w:jc w:val="center"/>
              <w:rPr>
                <w:sz w:val="21"/>
                <w:szCs w:val="21"/>
              </w:rPr>
            </w:pPr>
            <w:r>
              <w:rPr>
                <w:sz w:val="21"/>
                <w:szCs w:val="21"/>
              </w:rPr>
              <w:t>是否考虑地形</w:t>
            </w:r>
          </w:p>
        </w:tc>
        <w:tc>
          <w:tcPr>
            <w:tcW w:w="1149" w:type="pct"/>
            <w:shd w:val="clear" w:color="auto" w:fill="auto"/>
            <w:vAlign w:val="center"/>
          </w:tcPr>
          <w:p>
            <w:pPr>
              <w:spacing w:line="360" w:lineRule="exact"/>
              <w:jc w:val="center"/>
              <w:rPr>
                <w:sz w:val="21"/>
                <w:szCs w:val="21"/>
              </w:rPr>
            </w:pPr>
            <w:r>
              <w:rPr>
                <w:sz w:val="21"/>
                <w:szCs w:val="21"/>
              </w:rPr>
              <w:t>考虑地形</w:t>
            </w:r>
          </w:p>
        </w:tc>
        <w:tc>
          <w:tcPr>
            <w:tcW w:w="632" w:type="pct"/>
            <w:shd w:val="clear" w:color="auto" w:fill="auto"/>
            <w:vAlign w:val="center"/>
          </w:tcPr>
          <w:p>
            <w:pPr>
              <w:spacing w:line="360" w:lineRule="exact"/>
              <w:jc w:val="center"/>
              <w:rPr>
                <w:sz w:val="21"/>
                <w:szCs w:val="21"/>
              </w:rPr>
            </w:pPr>
            <w:r>
              <w:rPr>
                <w:rFonts w:hint="eastAsia"/>
                <w:sz w:val="21"/>
                <w:szCs w:val="21"/>
              </w:rPr>
              <w:t>是</w:t>
            </w:r>
          </w:p>
        </w:tc>
        <w:tc>
          <w:tcPr>
            <w:tcW w:w="2666" w:type="pct"/>
            <w:shd w:val="clear" w:color="auto" w:fill="auto"/>
            <w:vAlign w:val="center"/>
          </w:tcPr>
          <w:p>
            <w:pPr>
              <w:spacing w:line="360" w:lineRule="exact"/>
              <w:jc w:val="center"/>
              <w:rPr>
                <w:sz w:val="21"/>
                <w:szCs w:val="21"/>
              </w:rPr>
            </w:pPr>
            <w:r>
              <w:rPr>
                <w:rFonts w:hint="eastAsia"/>
                <w:sz w:val="21"/>
                <w:szCs w:val="21"/>
              </w:rPr>
              <w:t>报告书考虑地形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51" w:type="pct"/>
            <w:vMerge w:val="continue"/>
            <w:shd w:val="clear" w:color="auto" w:fill="auto"/>
            <w:vAlign w:val="center"/>
          </w:tcPr>
          <w:p>
            <w:pPr>
              <w:spacing w:line="360" w:lineRule="exact"/>
              <w:jc w:val="center"/>
              <w:rPr>
                <w:sz w:val="21"/>
                <w:szCs w:val="21"/>
              </w:rPr>
            </w:pPr>
          </w:p>
        </w:tc>
        <w:tc>
          <w:tcPr>
            <w:tcW w:w="1149" w:type="pct"/>
            <w:shd w:val="clear" w:color="auto" w:fill="auto"/>
            <w:vAlign w:val="center"/>
          </w:tcPr>
          <w:p>
            <w:pPr>
              <w:spacing w:line="360" w:lineRule="exact"/>
              <w:jc w:val="center"/>
              <w:rPr>
                <w:sz w:val="21"/>
                <w:szCs w:val="21"/>
              </w:rPr>
            </w:pPr>
            <w:r>
              <w:rPr>
                <w:sz w:val="21"/>
                <w:szCs w:val="21"/>
              </w:rPr>
              <w:t>地形数据分辨率(m)</w:t>
            </w:r>
          </w:p>
        </w:tc>
        <w:tc>
          <w:tcPr>
            <w:tcW w:w="632" w:type="pct"/>
            <w:shd w:val="clear" w:color="auto" w:fill="auto"/>
            <w:vAlign w:val="center"/>
          </w:tcPr>
          <w:p>
            <w:pPr>
              <w:spacing w:line="360" w:lineRule="exact"/>
              <w:jc w:val="center"/>
              <w:rPr>
                <w:sz w:val="21"/>
                <w:szCs w:val="21"/>
              </w:rPr>
            </w:pPr>
            <w:r>
              <w:rPr>
                <w:rFonts w:hint="eastAsia"/>
                <w:sz w:val="21"/>
                <w:szCs w:val="21"/>
              </w:rPr>
              <w:t>90</w:t>
            </w:r>
          </w:p>
        </w:tc>
        <w:tc>
          <w:tcPr>
            <w:tcW w:w="2666" w:type="pct"/>
            <w:shd w:val="clear" w:color="auto" w:fill="auto"/>
            <w:vAlign w:val="center"/>
          </w:tcPr>
          <w:p>
            <w:pPr>
              <w:spacing w:line="360" w:lineRule="exact"/>
              <w:jc w:val="center"/>
              <w:rPr>
                <w:sz w:val="21"/>
                <w:szCs w:val="21"/>
              </w:rPr>
            </w:pPr>
            <w:r>
              <w:rPr>
                <w:rFonts w:hint="eastAsia"/>
                <w:sz w:val="21"/>
                <w:szCs w:val="21"/>
              </w:rPr>
              <w:t>根据导则，地形数据分辨率不得小于90m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51" w:type="pct"/>
            <w:vMerge w:val="restart"/>
            <w:shd w:val="clear" w:color="auto" w:fill="auto"/>
            <w:vAlign w:val="center"/>
          </w:tcPr>
          <w:p>
            <w:pPr>
              <w:spacing w:line="360" w:lineRule="exact"/>
              <w:jc w:val="center"/>
              <w:rPr>
                <w:sz w:val="21"/>
                <w:szCs w:val="21"/>
              </w:rPr>
            </w:pPr>
            <w:r>
              <w:rPr>
                <w:sz w:val="21"/>
                <w:szCs w:val="21"/>
              </w:rPr>
              <w:t>是否考虑海岸线熏烟</w:t>
            </w:r>
          </w:p>
        </w:tc>
        <w:tc>
          <w:tcPr>
            <w:tcW w:w="1149" w:type="pct"/>
            <w:shd w:val="clear" w:color="auto" w:fill="auto"/>
            <w:vAlign w:val="center"/>
          </w:tcPr>
          <w:p>
            <w:pPr>
              <w:spacing w:line="360" w:lineRule="exact"/>
              <w:jc w:val="center"/>
              <w:rPr>
                <w:sz w:val="21"/>
                <w:szCs w:val="21"/>
              </w:rPr>
            </w:pPr>
            <w:r>
              <w:rPr>
                <w:sz w:val="21"/>
                <w:szCs w:val="21"/>
              </w:rPr>
              <w:t>考虑海岸线熏烟</w:t>
            </w:r>
          </w:p>
        </w:tc>
        <w:tc>
          <w:tcPr>
            <w:tcW w:w="632" w:type="pct"/>
            <w:shd w:val="clear" w:color="auto" w:fill="auto"/>
            <w:vAlign w:val="center"/>
          </w:tcPr>
          <w:p>
            <w:pPr>
              <w:spacing w:line="360" w:lineRule="exact"/>
              <w:jc w:val="center"/>
              <w:rPr>
                <w:sz w:val="21"/>
                <w:szCs w:val="21"/>
              </w:rPr>
            </w:pPr>
            <w:r>
              <w:rPr>
                <w:sz w:val="21"/>
                <w:szCs w:val="21"/>
              </w:rPr>
              <w:t>否</w:t>
            </w:r>
          </w:p>
        </w:tc>
        <w:tc>
          <w:tcPr>
            <w:tcW w:w="2666" w:type="pct"/>
            <w:shd w:val="clear" w:color="auto" w:fill="auto"/>
            <w:vAlign w:val="center"/>
          </w:tcPr>
          <w:p>
            <w:pPr>
              <w:spacing w:line="360" w:lineRule="exact"/>
              <w:jc w:val="center"/>
              <w:rPr>
                <w:sz w:val="21"/>
                <w:szCs w:val="21"/>
              </w:rPr>
            </w:pPr>
            <w:r>
              <w:rPr>
                <w:rFonts w:hint="eastAsia"/>
                <w:sz w:val="21"/>
                <w:szCs w:val="21"/>
              </w:rPr>
              <w:t>厂区周围3km范围内无大型水体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1" w:type="pct"/>
            <w:vMerge w:val="continue"/>
            <w:shd w:val="clear" w:color="auto" w:fill="auto"/>
            <w:vAlign w:val="center"/>
          </w:tcPr>
          <w:p>
            <w:pPr>
              <w:spacing w:line="360" w:lineRule="exact"/>
              <w:jc w:val="center"/>
              <w:rPr>
                <w:sz w:val="21"/>
                <w:szCs w:val="21"/>
              </w:rPr>
            </w:pPr>
          </w:p>
        </w:tc>
        <w:tc>
          <w:tcPr>
            <w:tcW w:w="1149" w:type="pct"/>
            <w:shd w:val="clear" w:color="auto" w:fill="auto"/>
            <w:vAlign w:val="center"/>
          </w:tcPr>
          <w:p>
            <w:pPr>
              <w:spacing w:line="360" w:lineRule="exact"/>
              <w:jc w:val="center"/>
              <w:rPr>
                <w:sz w:val="21"/>
                <w:szCs w:val="21"/>
              </w:rPr>
            </w:pPr>
            <w:r>
              <w:rPr>
                <w:sz w:val="21"/>
                <w:szCs w:val="21"/>
              </w:rPr>
              <w:t>海岸线距离/km</w:t>
            </w:r>
          </w:p>
        </w:tc>
        <w:tc>
          <w:tcPr>
            <w:tcW w:w="632" w:type="pct"/>
            <w:shd w:val="clear" w:color="auto" w:fill="auto"/>
            <w:vAlign w:val="center"/>
          </w:tcPr>
          <w:p>
            <w:pPr>
              <w:spacing w:line="360" w:lineRule="exact"/>
              <w:jc w:val="center"/>
              <w:rPr>
                <w:sz w:val="21"/>
                <w:szCs w:val="21"/>
              </w:rPr>
            </w:pPr>
            <w:r>
              <w:rPr>
                <w:rFonts w:hint="eastAsia"/>
                <w:sz w:val="21"/>
                <w:szCs w:val="21"/>
              </w:rPr>
              <w:t>/</w:t>
            </w:r>
          </w:p>
        </w:tc>
        <w:tc>
          <w:tcPr>
            <w:tcW w:w="2666" w:type="pct"/>
            <w:shd w:val="clear" w:color="auto" w:fill="auto"/>
            <w:vAlign w:val="center"/>
          </w:tcPr>
          <w:p>
            <w:pPr>
              <w:spacing w:line="3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51" w:type="pct"/>
            <w:vMerge w:val="continue"/>
            <w:shd w:val="clear" w:color="auto" w:fill="auto"/>
            <w:vAlign w:val="center"/>
          </w:tcPr>
          <w:p>
            <w:pPr>
              <w:spacing w:line="360" w:lineRule="exact"/>
              <w:jc w:val="center"/>
              <w:rPr>
                <w:sz w:val="21"/>
                <w:szCs w:val="21"/>
              </w:rPr>
            </w:pPr>
          </w:p>
        </w:tc>
        <w:tc>
          <w:tcPr>
            <w:tcW w:w="1149" w:type="pct"/>
            <w:shd w:val="clear" w:color="auto" w:fill="auto"/>
            <w:vAlign w:val="center"/>
          </w:tcPr>
          <w:p>
            <w:pPr>
              <w:spacing w:line="360" w:lineRule="exact"/>
              <w:jc w:val="center"/>
              <w:rPr>
                <w:sz w:val="21"/>
                <w:szCs w:val="21"/>
              </w:rPr>
            </w:pPr>
            <w:r>
              <w:rPr>
                <w:sz w:val="21"/>
                <w:szCs w:val="21"/>
              </w:rPr>
              <w:t>海岸线方向/</w:t>
            </w:r>
            <w:r>
              <w:rPr>
                <w:sz w:val="21"/>
                <w:szCs w:val="21"/>
                <w:vertAlign w:val="superscript"/>
              </w:rPr>
              <w:t>o</w:t>
            </w:r>
          </w:p>
        </w:tc>
        <w:tc>
          <w:tcPr>
            <w:tcW w:w="632" w:type="pct"/>
            <w:shd w:val="clear" w:color="auto" w:fill="auto"/>
            <w:vAlign w:val="center"/>
          </w:tcPr>
          <w:p>
            <w:pPr>
              <w:spacing w:line="360" w:lineRule="exact"/>
              <w:jc w:val="center"/>
              <w:rPr>
                <w:sz w:val="21"/>
                <w:szCs w:val="21"/>
              </w:rPr>
            </w:pPr>
            <w:r>
              <w:rPr>
                <w:rFonts w:hint="eastAsia"/>
                <w:sz w:val="21"/>
                <w:szCs w:val="21"/>
              </w:rPr>
              <w:t>/</w:t>
            </w:r>
          </w:p>
        </w:tc>
        <w:tc>
          <w:tcPr>
            <w:tcW w:w="2666" w:type="pct"/>
            <w:shd w:val="clear" w:color="auto" w:fill="auto"/>
            <w:vAlign w:val="center"/>
          </w:tcPr>
          <w:p>
            <w:pPr>
              <w:spacing w:line="360" w:lineRule="exact"/>
              <w:jc w:val="center"/>
              <w:rPr>
                <w:sz w:val="21"/>
                <w:szCs w:val="21"/>
              </w:rPr>
            </w:pPr>
          </w:p>
        </w:tc>
      </w:tr>
    </w:tbl>
    <w:p>
      <w:pPr>
        <w:adjustRightInd w:val="0"/>
        <w:snapToGrid w:val="0"/>
        <w:spacing w:line="440" w:lineRule="exact"/>
        <w:jc w:val="center"/>
        <w:rPr>
          <w:rFonts w:hint="eastAsia" w:ascii="黑体" w:hAnsi="黑体" w:eastAsia="黑体" w:cs="黑体"/>
          <w:sz w:val="21"/>
          <w:szCs w:val="21"/>
          <w:lang w:val="en-GB"/>
        </w:rPr>
      </w:pPr>
    </w:p>
    <w:p>
      <w:pPr>
        <w:adjustRightInd w:val="0"/>
        <w:snapToGrid w:val="0"/>
        <w:spacing w:line="440" w:lineRule="exact"/>
        <w:jc w:val="center"/>
        <w:rPr>
          <w:rFonts w:hint="eastAsia" w:ascii="黑体" w:hAnsi="黑体" w:eastAsia="黑体" w:cs="黑体"/>
          <w:sz w:val="21"/>
          <w:szCs w:val="21"/>
          <w:lang w:val="en-GB"/>
        </w:rPr>
      </w:pPr>
    </w:p>
    <w:p>
      <w:pPr>
        <w:adjustRightInd w:val="0"/>
        <w:snapToGrid w:val="0"/>
        <w:spacing w:line="440" w:lineRule="exact"/>
        <w:jc w:val="center"/>
        <w:rPr>
          <w:rFonts w:ascii="黑体" w:hAnsi="黑体" w:eastAsia="黑体" w:cs="黑体"/>
          <w:sz w:val="21"/>
          <w:szCs w:val="21"/>
          <w:lang w:val="en-GB"/>
        </w:rPr>
      </w:pPr>
      <w:r>
        <w:rPr>
          <w:rFonts w:hint="eastAsia" w:ascii="黑体" w:hAnsi="黑体" w:eastAsia="黑体" w:cs="黑体"/>
          <w:sz w:val="21"/>
          <w:szCs w:val="21"/>
          <w:lang w:val="en-GB"/>
        </w:rPr>
        <w:t>表</w:t>
      </w:r>
      <w:r>
        <w:rPr>
          <w:rFonts w:eastAsia="黑体"/>
          <w:sz w:val="21"/>
          <w:szCs w:val="21"/>
        </w:rPr>
        <w:t>1</w:t>
      </w:r>
      <w:r>
        <w:rPr>
          <w:rFonts w:eastAsia="黑体"/>
          <w:sz w:val="21"/>
          <w:szCs w:val="21"/>
          <w:lang w:val="en-GB"/>
        </w:rPr>
        <w:t>.</w:t>
      </w:r>
      <w:r>
        <w:rPr>
          <w:rFonts w:eastAsia="黑体"/>
          <w:sz w:val="21"/>
          <w:szCs w:val="21"/>
        </w:rPr>
        <w:t>4</w:t>
      </w:r>
      <w:r>
        <w:rPr>
          <w:rFonts w:eastAsia="黑体"/>
          <w:sz w:val="21"/>
          <w:szCs w:val="21"/>
          <w:lang w:val="en-GB"/>
        </w:rPr>
        <w:t>-</w:t>
      </w:r>
      <w:r>
        <w:rPr>
          <w:rFonts w:eastAsia="黑体"/>
          <w:sz w:val="21"/>
          <w:szCs w:val="21"/>
        </w:rPr>
        <w:t>4</w:t>
      </w:r>
      <w:r>
        <w:rPr>
          <w:rFonts w:hint="eastAsia" w:ascii="黑体" w:hAnsi="黑体" w:eastAsia="黑体" w:cs="黑体"/>
          <w:sz w:val="21"/>
          <w:szCs w:val="21"/>
          <w:lang w:val="en-GB"/>
        </w:rPr>
        <w:t xml:space="preserve">    估算结果一览表</w:t>
      </w:r>
    </w:p>
    <w:tbl>
      <w:tblPr>
        <w:tblStyle w:val="8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549"/>
        <w:gridCol w:w="1549"/>
        <w:gridCol w:w="1547"/>
        <w:gridCol w:w="1549"/>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547" w:type="dxa"/>
            <w:vAlign w:val="center"/>
          </w:tcPr>
          <w:p>
            <w:pPr>
              <w:widowControl w:val="0"/>
              <w:spacing w:line="360" w:lineRule="exact"/>
              <w:jc w:val="center"/>
              <w:rPr>
                <w:sz w:val="21"/>
                <w:szCs w:val="21"/>
              </w:rPr>
            </w:pPr>
            <w:r>
              <w:rPr>
                <w:sz w:val="21"/>
                <w:szCs w:val="21"/>
              </w:rPr>
              <w:t>污染源名称</w:t>
            </w:r>
          </w:p>
        </w:tc>
        <w:tc>
          <w:tcPr>
            <w:tcW w:w="1549" w:type="dxa"/>
            <w:vAlign w:val="center"/>
          </w:tcPr>
          <w:p>
            <w:pPr>
              <w:widowControl w:val="0"/>
              <w:spacing w:line="360" w:lineRule="exact"/>
              <w:jc w:val="center"/>
              <w:rPr>
                <w:sz w:val="21"/>
                <w:szCs w:val="21"/>
              </w:rPr>
            </w:pPr>
            <w:r>
              <w:rPr>
                <w:sz w:val="21"/>
                <w:szCs w:val="21"/>
              </w:rPr>
              <w:t>评价因子</w:t>
            </w:r>
          </w:p>
        </w:tc>
        <w:tc>
          <w:tcPr>
            <w:tcW w:w="1549" w:type="dxa"/>
            <w:vAlign w:val="center"/>
          </w:tcPr>
          <w:p>
            <w:pPr>
              <w:widowControl w:val="0"/>
              <w:spacing w:line="360" w:lineRule="exact"/>
              <w:jc w:val="center"/>
              <w:rPr>
                <w:sz w:val="21"/>
                <w:szCs w:val="21"/>
              </w:rPr>
            </w:pPr>
            <w:r>
              <w:rPr>
                <w:sz w:val="21"/>
                <w:szCs w:val="21"/>
              </w:rPr>
              <w:t>评价标准(μg/m</w:t>
            </w:r>
            <w:r>
              <w:rPr>
                <w:sz w:val="21"/>
                <w:szCs w:val="21"/>
                <w:vertAlign w:val="superscript"/>
              </w:rPr>
              <w:t>3</w:t>
            </w:r>
            <w:r>
              <w:rPr>
                <w:sz w:val="21"/>
                <w:szCs w:val="21"/>
              </w:rPr>
              <w:t>)</w:t>
            </w:r>
          </w:p>
        </w:tc>
        <w:tc>
          <w:tcPr>
            <w:tcW w:w="1547" w:type="dxa"/>
            <w:vAlign w:val="center"/>
          </w:tcPr>
          <w:p>
            <w:pPr>
              <w:widowControl w:val="0"/>
              <w:spacing w:line="360" w:lineRule="exact"/>
              <w:jc w:val="center"/>
              <w:rPr>
                <w:sz w:val="21"/>
                <w:szCs w:val="21"/>
              </w:rPr>
            </w:pPr>
            <w:r>
              <w:rPr>
                <w:sz w:val="21"/>
                <w:szCs w:val="21"/>
              </w:rPr>
              <w:t>C</w:t>
            </w:r>
            <w:r>
              <w:rPr>
                <w:sz w:val="21"/>
                <w:szCs w:val="21"/>
                <w:vertAlign w:val="subscript"/>
              </w:rPr>
              <w:t>max</w:t>
            </w:r>
          </w:p>
          <w:p>
            <w:pPr>
              <w:widowControl w:val="0"/>
              <w:spacing w:line="360" w:lineRule="exact"/>
              <w:jc w:val="center"/>
              <w:rPr>
                <w:sz w:val="21"/>
                <w:szCs w:val="21"/>
              </w:rPr>
            </w:pPr>
            <w:r>
              <w:rPr>
                <w:sz w:val="21"/>
                <w:szCs w:val="21"/>
              </w:rPr>
              <w:t>(μg/m</w:t>
            </w:r>
            <w:r>
              <w:rPr>
                <w:sz w:val="21"/>
                <w:szCs w:val="21"/>
                <w:vertAlign w:val="superscript"/>
              </w:rPr>
              <w:t>3</w:t>
            </w:r>
            <w:r>
              <w:rPr>
                <w:sz w:val="21"/>
                <w:szCs w:val="21"/>
              </w:rPr>
              <w:t>)</w:t>
            </w:r>
          </w:p>
        </w:tc>
        <w:tc>
          <w:tcPr>
            <w:tcW w:w="1549" w:type="dxa"/>
            <w:vAlign w:val="center"/>
          </w:tcPr>
          <w:p>
            <w:pPr>
              <w:widowControl w:val="0"/>
              <w:spacing w:line="360" w:lineRule="exact"/>
              <w:jc w:val="center"/>
              <w:rPr>
                <w:sz w:val="21"/>
                <w:szCs w:val="21"/>
              </w:rPr>
            </w:pPr>
            <w:r>
              <w:rPr>
                <w:sz w:val="21"/>
                <w:szCs w:val="21"/>
              </w:rPr>
              <w:t>P</w:t>
            </w:r>
            <w:r>
              <w:rPr>
                <w:sz w:val="21"/>
                <w:szCs w:val="21"/>
                <w:vertAlign w:val="subscript"/>
              </w:rPr>
              <w:t>max</w:t>
            </w:r>
          </w:p>
          <w:p>
            <w:pPr>
              <w:widowControl w:val="0"/>
              <w:spacing w:line="360" w:lineRule="exact"/>
              <w:jc w:val="center"/>
              <w:rPr>
                <w:sz w:val="21"/>
                <w:szCs w:val="21"/>
              </w:rPr>
            </w:pPr>
            <w:r>
              <w:rPr>
                <w:sz w:val="21"/>
                <w:szCs w:val="21"/>
              </w:rPr>
              <w:t>(%)</w:t>
            </w:r>
          </w:p>
        </w:tc>
        <w:tc>
          <w:tcPr>
            <w:tcW w:w="1545" w:type="dxa"/>
            <w:vAlign w:val="center"/>
          </w:tcPr>
          <w:p>
            <w:pPr>
              <w:widowControl w:val="0"/>
              <w:spacing w:line="360" w:lineRule="exact"/>
              <w:jc w:val="center"/>
              <w:rPr>
                <w:sz w:val="21"/>
                <w:szCs w:val="21"/>
              </w:rPr>
            </w:pPr>
            <w:r>
              <w:rPr>
                <w:sz w:val="21"/>
                <w:szCs w:val="21"/>
              </w:rPr>
              <w:t>D</w:t>
            </w:r>
            <w:r>
              <w:rPr>
                <w:sz w:val="21"/>
                <w:szCs w:val="21"/>
                <w:vertAlign w:val="subscript"/>
              </w:rPr>
              <w:t>10%</w:t>
            </w:r>
          </w:p>
          <w:p>
            <w:pPr>
              <w:widowControl w:val="0"/>
              <w:spacing w:line="360" w:lineRule="exact"/>
              <w:jc w:val="center"/>
              <w:rPr>
                <w:sz w:val="21"/>
                <w:szCs w:val="21"/>
              </w:rPr>
            </w:pPr>
            <w:r>
              <w:rPr>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7" w:type="dxa"/>
            <w:vAlign w:val="center"/>
          </w:tcPr>
          <w:p>
            <w:pPr>
              <w:widowControl w:val="0"/>
              <w:spacing w:line="360" w:lineRule="exact"/>
              <w:jc w:val="center"/>
              <w:rPr>
                <w:sz w:val="21"/>
                <w:szCs w:val="21"/>
              </w:rPr>
            </w:pPr>
            <w:r>
              <w:rPr>
                <w:sz w:val="21"/>
                <w:szCs w:val="21"/>
              </w:rPr>
              <w:t>采装作业区</w:t>
            </w:r>
          </w:p>
        </w:tc>
        <w:tc>
          <w:tcPr>
            <w:tcW w:w="1549" w:type="dxa"/>
            <w:vAlign w:val="center"/>
          </w:tcPr>
          <w:p>
            <w:pPr>
              <w:widowControl w:val="0"/>
              <w:spacing w:line="360" w:lineRule="exact"/>
              <w:jc w:val="center"/>
              <w:rPr>
                <w:sz w:val="21"/>
                <w:szCs w:val="21"/>
              </w:rPr>
            </w:pPr>
            <w:r>
              <w:rPr>
                <w:sz w:val="21"/>
                <w:szCs w:val="21"/>
              </w:rPr>
              <w:t>TSP</w:t>
            </w:r>
          </w:p>
        </w:tc>
        <w:tc>
          <w:tcPr>
            <w:tcW w:w="1549" w:type="dxa"/>
            <w:vAlign w:val="center"/>
          </w:tcPr>
          <w:p>
            <w:pPr>
              <w:widowControl w:val="0"/>
              <w:spacing w:line="360" w:lineRule="exact"/>
              <w:jc w:val="center"/>
              <w:rPr>
                <w:sz w:val="21"/>
                <w:szCs w:val="21"/>
              </w:rPr>
            </w:pPr>
            <w:r>
              <w:rPr>
                <w:sz w:val="21"/>
                <w:szCs w:val="21"/>
              </w:rPr>
              <w:t>900</w:t>
            </w:r>
          </w:p>
        </w:tc>
        <w:tc>
          <w:tcPr>
            <w:tcW w:w="1547" w:type="dxa"/>
            <w:vAlign w:val="center"/>
          </w:tcPr>
          <w:p>
            <w:pPr>
              <w:widowControl w:val="0"/>
              <w:spacing w:line="360" w:lineRule="exact"/>
              <w:jc w:val="center"/>
              <w:rPr>
                <w:sz w:val="21"/>
                <w:szCs w:val="21"/>
              </w:rPr>
            </w:pPr>
            <w:r>
              <w:rPr>
                <w:sz w:val="21"/>
                <w:szCs w:val="21"/>
              </w:rPr>
              <w:t>53.9180</w:t>
            </w:r>
          </w:p>
        </w:tc>
        <w:tc>
          <w:tcPr>
            <w:tcW w:w="1549" w:type="dxa"/>
            <w:vAlign w:val="center"/>
          </w:tcPr>
          <w:p>
            <w:pPr>
              <w:widowControl w:val="0"/>
              <w:spacing w:line="360" w:lineRule="exact"/>
              <w:jc w:val="center"/>
              <w:rPr>
                <w:sz w:val="21"/>
                <w:szCs w:val="21"/>
              </w:rPr>
            </w:pPr>
            <w:r>
              <w:rPr>
                <w:sz w:val="21"/>
                <w:szCs w:val="21"/>
              </w:rPr>
              <w:t>5.9909</w:t>
            </w:r>
          </w:p>
        </w:tc>
        <w:tc>
          <w:tcPr>
            <w:tcW w:w="1545" w:type="dxa"/>
            <w:vAlign w:val="center"/>
          </w:tcPr>
          <w:p>
            <w:pPr>
              <w:widowControl w:val="0"/>
              <w:spacing w:line="3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7" w:type="dxa"/>
            <w:vAlign w:val="center"/>
          </w:tcPr>
          <w:p>
            <w:pPr>
              <w:widowControl w:val="0"/>
              <w:spacing w:line="360" w:lineRule="exact"/>
              <w:jc w:val="center"/>
              <w:rPr>
                <w:sz w:val="21"/>
                <w:szCs w:val="21"/>
              </w:rPr>
            </w:pPr>
            <w:r>
              <w:rPr>
                <w:sz w:val="21"/>
                <w:szCs w:val="21"/>
              </w:rPr>
              <w:t>排土场</w:t>
            </w:r>
          </w:p>
        </w:tc>
        <w:tc>
          <w:tcPr>
            <w:tcW w:w="1549" w:type="dxa"/>
            <w:vAlign w:val="center"/>
          </w:tcPr>
          <w:p>
            <w:pPr>
              <w:widowControl w:val="0"/>
              <w:spacing w:line="360" w:lineRule="exact"/>
              <w:jc w:val="center"/>
              <w:rPr>
                <w:sz w:val="21"/>
                <w:szCs w:val="21"/>
              </w:rPr>
            </w:pPr>
            <w:r>
              <w:rPr>
                <w:sz w:val="21"/>
                <w:szCs w:val="21"/>
              </w:rPr>
              <w:t>TSP</w:t>
            </w:r>
          </w:p>
        </w:tc>
        <w:tc>
          <w:tcPr>
            <w:tcW w:w="1549" w:type="dxa"/>
            <w:vAlign w:val="center"/>
          </w:tcPr>
          <w:p>
            <w:pPr>
              <w:widowControl w:val="0"/>
              <w:spacing w:line="360" w:lineRule="exact"/>
              <w:jc w:val="center"/>
              <w:rPr>
                <w:sz w:val="21"/>
                <w:szCs w:val="21"/>
              </w:rPr>
            </w:pPr>
            <w:r>
              <w:rPr>
                <w:sz w:val="21"/>
                <w:szCs w:val="21"/>
              </w:rPr>
              <w:t>900</w:t>
            </w:r>
          </w:p>
        </w:tc>
        <w:tc>
          <w:tcPr>
            <w:tcW w:w="1547" w:type="dxa"/>
            <w:vAlign w:val="center"/>
          </w:tcPr>
          <w:p>
            <w:pPr>
              <w:widowControl w:val="0"/>
              <w:spacing w:line="360" w:lineRule="exact"/>
              <w:jc w:val="center"/>
              <w:rPr>
                <w:sz w:val="21"/>
                <w:szCs w:val="21"/>
              </w:rPr>
            </w:pPr>
            <w:r>
              <w:rPr>
                <w:sz w:val="21"/>
                <w:szCs w:val="21"/>
              </w:rPr>
              <w:t>1.5333</w:t>
            </w:r>
          </w:p>
        </w:tc>
        <w:tc>
          <w:tcPr>
            <w:tcW w:w="1549" w:type="dxa"/>
            <w:vAlign w:val="center"/>
          </w:tcPr>
          <w:p>
            <w:pPr>
              <w:widowControl w:val="0"/>
              <w:spacing w:line="360" w:lineRule="exact"/>
              <w:jc w:val="center"/>
              <w:rPr>
                <w:sz w:val="21"/>
                <w:szCs w:val="21"/>
              </w:rPr>
            </w:pPr>
            <w:r>
              <w:rPr>
                <w:sz w:val="21"/>
                <w:szCs w:val="21"/>
              </w:rPr>
              <w:t>0.1704</w:t>
            </w:r>
          </w:p>
        </w:tc>
        <w:tc>
          <w:tcPr>
            <w:tcW w:w="1545" w:type="dxa"/>
            <w:vAlign w:val="center"/>
          </w:tcPr>
          <w:p>
            <w:pPr>
              <w:widowControl w:val="0"/>
              <w:spacing w:line="3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7" w:type="dxa"/>
            <w:vAlign w:val="center"/>
          </w:tcPr>
          <w:p>
            <w:pPr>
              <w:widowControl w:val="0"/>
              <w:spacing w:line="360" w:lineRule="exact"/>
              <w:jc w:val="center"/>
              <w:rPr>
                <w:sz w:val="21"/>
                <w:szCs w:val="21"/>
              </w:rPr>
            </w:pPr>
            <w:r>
              <w:rPr>
                <w:sz w:val="21"/>
                <w:szCs w:val="21"/>
              </w:rPr>
              <w:t>原料库</w:t>
            </w:r>
          </w:p>
        </w:tc>
        <w:tc>
          <w:tcPr>
            <w:tcW w:w="1549" w:type="dxa"/>
            <w:vAlign w:val="center"/>
          </w:tcPr>
          <w:p>
            <w:pPr>
              <w:widowControl w:val="0"/>
              <w:spacing w:line="360" w:lineRule="exact"/>
              <w:jc w:val="center"/>
              <w:rPr>
                <w:sz w:val="21"/>
                <w:szCs w:val="21"/>
              </w:rPr>
            </w:pPr>
            <w:r>
              <w:rPr>
                <w:sz w:val="21"/>
                <w:szCs w:val="21"/>
              </w:rPr>
              <w:t>TSP</w:t>
            </w:r>
          </w:p>
        </w:tc>
        <w:tc>
          <w:tcPr>
            <w:tcW w:w="1549" w:type="dxa"/>
            <w:vAlign w:val="center"/>
          </w:tcPr>
          <w:p>
            <w:pPr>
              <w:widowControl w:val="0"/>
              <w:spacing w:line="360" w:lineRule="exact"/>
              <w:jc w:val="center"/>
              <w:rPr>
                <w:sz w:val="21"/>
                <w:szCs w:val="21"/>
              </w:rPr>
            </w:pPr>
            <w:r>
              <w:rPr>
                <w:sz w:val="21"/>
                <w:szCs w:val="21"/>
              </w:rPr>
              <w:t>900</w:t>
            </w:r>
          </w:p>
        </w:tc>
        <w:tc>
          <w:tcPr>
            <w:tcW w:w="1547" w:type="dxa"/>
            <w:vAlign w:val="center"/>
          </w:tcPr>
          <w:p>
            <w:pPr>
              <w:widowControl w:val="0"/>
              <w:spacing w:line="360" w:lineRule="exact"/>
              <w:jc w:val="center"/>
              <w:rPr>
                <w:sz w:val="21"/>
                <w:szCs w:val="21"/>
              </w:rPr>
            </w:pPr>
            <w:r>
              <w:rPr>
                <w:sz w:val="21"/>
                <w:szCs w:val="21"/>
              </w:rPr>
              <w:t>2.5177</w:t>
            </w:r>
          </w:p>
        </w:tc>
        <w:tc>
          <w:tcPr>
            <w:tcW w:w="1549" w:type="dxa"/>
            <w:vAlign w:val="center"/>
          </w:tcPr>
          <w:p>
            <w:pPr>
              <w:widowControl w:val="0"/>
              <w:spacing w:line="360" w:lineRule="exact"/>
              <w:jc w:val="center"/>
              <w:rPr>
                <w:sz w:val="21"/>
                <w:szCs w:val="21"/>
              </w:rPr>
            </w:pPr>
            <w:r>
              <w:rPr>
                <w:sz w:val="21"/>
                <w:szCs w:val="21"/>
              </w:rPr>
              <w:t>0.2797</w:t>
            </w:r>
          </w:p>
        </w:tc>
        <w:tc>
          <w:tcPr>
            <w:tcW w:w="1545" w:type="dxa"/>
            <w:vAlign w:val="center"/>
          </w:tcPr>
          <w:p>
            <w:pPr>
              <w:widowControl w:val="0"/>
              <w:spacing w:line="360" w:lineRule="exact"/>
              <w:jc w:val="center"/>
              <w:rPr>
                <w:sz w:val="21"/>
                <w:szCs w:val="21"/>
              </w:rPr>
            </w:pPr>
          </w:p>
        </w:tc>
      </w:tr>
    </w:tbl>
    <w:p>
      <w:pPr>
        <w:adjustRightInd w:val="0"/>
        <w:snapToGrid w:val="0"/>
        <w:spacing w:line="440" w:lineRule="exact"/>
        <w:ind w:firstLine="480" w:firstLineChars="200"/>
        <w:jc w:val="both"/>
        <w:rPr>
          <w:bCs/>
        </w:rPr>
      </w:pPr>
      <w:r>
        <w:rPr>
          <w:bCs/>
        </w:rPr>
        <w:t>根据</w:t>
      </w:r>
      <w:r>
        <w:rPr>
          <w:rFonts w:hint="eastAsia"/>
          <w:bCs/>
        </w:rPr>
        <w:t>估算</w:t>
      </w:r>
      <w:r>
        <w:rPr>
          <w:bCs/>
        </w:rPr>
        <w:t>结果，本项目P</w:t>
      </w:r>
      <w:r>
        <w:rPr>
          <w:bCs/>
          <w:vertAlign w:val="subscript"/>
        </w:rPr>
        <w:t>max</w:t>
      </w:r>
      <w:r>
        <w:rPr>
          <w:bCs/>
        </w:rPr>
        <w:t>值为</w:t>
      </w:r>
      <w:r>
        <w:rPr>
          <w:rFonts w:hint="eastAsia"/>
          <w:bCs/>
        </w:rPr>
        <w:t>5.9909</w:t>
      </w:r>
      <w:r>
        <w:rPr>
          <w:bCs/>
        </w:rPr>
        <w:t>%，</w:t>
      </w:r>
      <w:r>
        <w:rPr>
          <w:rFonts w:hint="eastAsia"/>
          <w:bCs/>
        </w:rPr>
        <w:t>小于</w:t>
      </w:r>
      <w:r>
        <w:rPr>
          <w:bCs/>
        </w:rPr>
        <w:t>10%，本项目大气评价等级为</w:t>
      </w:r>
      <w:r>
        <w:rPr>
          <w:rFonts w:hint="eastAsia"/>
          <w:bCs/>
        </w:rPr>
        <w:t>二</w:t>
      </w:r>
      <w:r>
        <w:rPr>
          <w:bCs/>
        </w:rPr>
        <w:t>级。</w:t>
      </w:r>
      <w:r>
        <w:rPr>
          <w:rFonts w:hint="eastAsia"/>
          <w:bCs/>
        </w:rPr>
        <w:t>大气环境评价范围为以矿区中心点为中心，边长5km的矩形区域。</w:t>
      </w:r>
    </w:p>
    <w:p>
      <w:pPr>
        <w:adjustRightInd w:val="0"/>
        <w:snapToGrid w:val="0"/>
        <w:jc w:val="center"/>
      </w:pPr>
    </w:p>
    <w:p>
      <w:pPr>
        <w:adjustRightInd w:val="0"/>
        <w:snapToGrid w:val="0"/>
        <w:jc w:val="center"/>
        <w:rPr>
          <w:rFonts w:ascii="黑体" w:hAnsi="黑体" w:eastAsia="黑体" w:cs="黑体"/>
          <w:sz w:val="21"/>
          <w:szCs w:val="21"/>
          <w:lang w:val="en-GB"/>
        </w:rPr>
      </w:pPr>
    </w:p>
    <w:p>
      <w:pPr>
        <w:adjustRightInd w:val="0"/>
        <w:snapToGrid w:val="0"/>
        <w:spacing w:line="440" w:lineRule="exact"/>
        <w:jc w:val="center"/>
        <w:rPr>
          <w:rFonts w:ascii="宋体" w:hAnsi="宋体" w:cs="宋体"/>
          <w:sz w:val="21"/>
          <w:szCs w:val="21"/>
        </w:rPr>
      </w:pPr>
      <w:r>
        <w:rPr>
          <w:rFonts w:hint="eastAsia" w:ascii="宋体" w:hAnsi="宋体" w:cs="宋体"/>
          <w:lang w:val="en-GB"/>
        </w:rPr>
        <w:t>图</w:t>
      </w:r>
      <w:r>
        <w:rPr>
          <w:rFonts w:hint="eastAsia" w:ascii="宋体" w:hAnsi="宋体" w:cs="宋体"/>
        </w:rPr>
        <w:t>1-4-1 项目周边</w:t>
      </w:r>
      <w:r>
        <w:t>3km</w:t>
      </w:r>
      <w:r>
        <w:rPr>
          <w:rFonts w:hint="eastAsia" w:ascii="宋体" w:hAnsi="宋体" w:cs="宋体"/>
        </w:rPr>
        <w:t>范围内现状图</w:t>
      </w:r>
    </w:p>
    <w:p>
      <w:pPr>
        <w:widowControl w:val="0"/>
        <w:adjustRightInd w:val="0"/>
        <w:snapToGrid w:val="0"/>
        <w:spacing w:before="120" w:beforeLines="50" w:after="120" w:afterLines="50"/>
        <w:jc w:val="both"/>
        <w:outlineLvl w:val="2"/>
        <w:rPr>
          <w:b/>
          <w:kern w:val="2"/>
        </w:rPr>
      </w:pPr>
      <w:r>
        <w:rPr>
          <w:b/>
          <w:kern w:val="2"/>
        </w:rPr>
        <w:t>1.4.2地表水评价工作等级和评价范围</w:t>
      </w:r>
    </w:p>
    <w:p>
      <w:pPr>
        <w:pStyle w:val="112"/>
        <w:snapToGrid w:val="0"/>
        <w:spacing w:line="440" w:lineRule="exact"/>
        <w:ind w:firstLine="480" w:firstLineChars="200"/>
      </w:pPr>
      <w:r>
        <w:rPr>
          <w:rFonts w:hint="eastAsia"/>
        </w:rPr>
        <w:t>本项目废水全部回用不外排。根据《环境影响评价技术导则  地表水环境》（HJ2.3-2018）表1中注10:“建设项目生产工艺中有废水产生，但作为回水利用，不排放到外环境的，按三级B评价。因此，本项目地表水评价等级为三级B。</w:t>
      </w:r>
    </w:p>
    <w:p>
      <w:pPr>
        <w:pStyle w:val="112"/>
        <w:snapToGrid w:val="0"/>
        <w:spacing w:line="440" w:lineRule="exact"/>
        <w:ind w:firstLine="480" w:firstLineChars="200"/>
      </w:pPr>
      <w:r>
        <w:rPr>
          <w:rFonts w:hint="eastAsia"/>
        </w:rPr>
        <w:t>本次评价仅对地表水进行环境影响分析，重点分析项目废水不外排的可靠性。</w:t>
      </w:r>
    </w:p>
    <w:p>
      <w:pPr>
        <w:widowControl w:val="0"/>
        <w:adjustRightInd w:val="0"/>
        <w:snapToGrid w:val="0"/>
        <w:spacing w:before="120" w:beforeLines="50" w:after="120" w:afterLines="50"/>
        <w:jc w:val="both"/>
        <w:outlineLvl w:val="2"/>
        <w:rPr>
          <w:b/>
          <w:kern w:val="2"/>
        </w:rPr>
      </w:pPr>
      <w:r>
        <w:rPr>
          <w:b/>
          <w:kern w:val="2"/>
        </w:rPr>
        <w:t>1.4.3地下水评价工作等级和评价范围</w:t>
      </w:r>
    </w:p>
    <w:p>
      <w:pPr>
        <w:pStyle w:val="112"/>
        <w:snapToGrid w:val="0"/>
        <w:spacing w:line="440" w:lineRule="exact"/>
        <w:ind w:firstLine="480" w:firstLineChars="200"/>
      </w:pPr>
      <w:r>
        <w:t>根据《环境影响评价技术导则  地下水环境》(HJ610-2016)附录A，</w:t>
      </w:r>
      <w:r>
        <w:rPr>
          <w:rFonts w:hint="eastAsia"/>
        </w:rPr>
        <w:t>本项目行业类别为“54 土砂石开采”，环评类别为“报告书（涉及环境敏感区的）”，</w:t>
      </w:r>
      <w:r>
        <w:t>地下水环境影响评价项目类别为Ⅳ类，根据导则要求，</w:t>
      </w:r>
      <w:r>
        <w:rPr>
          <w:rFonts w:hint="eastAsia" w:ascii="宋体" w:hAnsi="宋体" w:cs="宋体"/>
        </w:rPr>
        <w:t>Ⅳ</w:t>
      </w:r>
      <w:r>
        <w:t>类建设项目不开展地下水环境影响评价。</w:t>
      </w:r>
    </w:p>
    <w:p>
      <w:pPr>
        <w:widowControl w:val="0"/>
        <w:adjustRightInd w:val="0"/>
        <w:snapToGrid w:val="0"/>
        <w:spacing w:before="120" w:beforeLines="50" w:after="120" w:afterLines="50"/>
        <w:jc w:val="both"/>
        <w:outlineLvl w:val="2"/>
        <w:rPr>
          <w:b/>
          <w:kern w:val="2"/>
        </w:rPr>
      </w:pPr>
      <w:r>
        <w:rPr>
          <w:b/>
          <w:kern w:val="2"/>
        </w:rPr>
        <w:t>1.4.4噪声评价工作等级和评价范围</w:t>
      </w:r>
    </w:p>
    <w:p>
      <w:pPr>
        <w:pStyle w:val="112"/>
        <w:snapToGrid w:val="0"/>
        <w:spacing w:line="440" w:lineRule="exact"/>
        <w:ind w:firstLine="480" w:firstLineChars="200"/>
      </w:pPr>
      <w:r>
        <w:t>根据《环境影响评价技术导则 声环境》(HJ2.4-2009)，声环境影响评价工作级别划分的主要依据是：建设项目所在区域声环境功能区类别、项目建设前后区域声环境质量变化程度以及受建设项目影响人口的数量。导则要求</w:t>
      </w:r>
      <w:r>
        <w:rPr>
          <w:rFonts w:hint="eastAsia" w:ascii="宋体" w:hAnsi="宋体" w:cs="宋体"/>
        </w:rPr>
        <w:t>“建设项目所处的声环境功能区为</w:t>
      </w:r>
      <w:r>
        <w:t>GB3096规定的2类地区，或建设项目建设前后评价范围内敏感目标噪声级增高量达3dB(A)-5dB(A)(含5dB(A))，</w:t>
      </w:r>
      <w:r>
        <w:rPr>
          <w:rFonts w:hint="eastAsia" w:ascii="宋体" w:hAnsi="宋体" w:cs="宋体"/>
        </w:rPr>
        <w:t>或受噪声影响人口数量增加较多时，按二级评价”</w:t>
      </w:r>
      <w:r>
        <w:t>。</w:t>
      </w:r>
    </w:p>
    <w:p>
      <w:pPr>
        <w:pStyle w:val="112"/>
        <w:snapToGrid w:val="0"/>
        <w:spacing w:line="440" w:lineRule="exact"/>
        <w:ind w:firstLine="480" w:firstLineChars="200"/>
      </w:pPr>
      <w:r>
        <w:t>本</w:t>
      </w:r>
      <w:r>
        <w:rPr>
          <w:rFonts w:hint="eastAsia"/>
        </w:rPr>
        <w:t>项目</w:t>
      </w:r>
      <w:r>
        <w:t>所在区域属于</w:t>
      </w:r>
      <w:r>
        <w:rPr>
          <w:rFonts w:hint="eastAsia"/>
        </w:rPr>
        <w:t>2</w:t>
      </w:r>
      <w:r>
        <w:t>类</w:t>
      </w:r>
      <w:r>
        <w:rPr>
          <w:rFonts w:hint="eastAsia"/>
        </w:rPr>
        <w:t>声</w:t>
      </w:r>
      <w:r>
        <w:t>环境功能区，因此声环境评价级别为二级。</w:t>
      </w:r>
    </w:p>
    <w:p>
      <w:pPr>
        <w:pStyle w:val="112"/>
        <w:snapToGrid w:val="0"/>
        <w:spacing w:line="440" w:lineRule="exact"/>
        <w:ind w:firstLine="480" w:firstLineChars="200"/>
      </w:pPr>
      <w:r>
        <w:rPr>
          <w:rFonts w:hint="eastAsia"/>
        </w:rPr>
        <w:t>声环境</w:t>
      </w:r>
      <w:r>
        <w:t>评价范围为</w:t>
      </w:r>
      <w:r>
        <w:rPr>
          <w:rFonts w:hint="eastAsia"/>
        </w:rPr>
        <w:t>项目周边</w:t>
      </w:r>
      <w:r>
        <w:t>200m</w:t>
      </w:r>
      <w:r>
        <w:rPr>
          <w:rFonts w:hint="eastAsia"/>
        </w:rPr>
        <w:t>范围</w:t>
      </w:r>
      <w:r>
        <w:t>。</w:t>
      </w:r>
    </w:p>
    <w:p>
      <w:pPr>
        <w:widowControl w:val="0"/>
        <w:adjustRightInd w:val="0"/>
        <w:snapToGrid w:val="0"/>
        <w:spacing w:before="120" w:beforeLines="50" w:after="120" w:afterLines="50"/>
        <w:jc w:val="both"/>
        <w:outlineLvl w:val="2"/>
        <w:rPr>
          <w:b/>
          <w:kern w:val="2"/>
        </w:rPr>
      </w:pPr>
      <w:r>
        <w:rPr>
          <w:b/>
          <w:kern w:val="2"/>
        </w:rPr>
        <w:t>1.4.</w:t>
      </w:r>
      <w:r>
        <w:rPr>
          <w:rFonts w:hint="eastAsia"/>
          <w:b/>
          <w:kern w:val="2"/>
        </w:rPr>
        <w:t>5土壤</w:t>
      </w:r>
      <w:r>
        <w:rPr>
          <w:b/>
          <w:kern w:val="2"/>
        </w:rPr>
        <w:t>评价工作等级和评价范围</w:t>
      </w:r>
    </w:p>
    <w:p>
      <w:pPr>
        <w:pStyle w:val="112"/>
        <w:snapToGrid w:val="0"/>
        <w:spacing w:line="440" w:lineRule="exact"/>
        <w:ind w:firstLine="480" w:firstLineChars="200"/>
        <w:rPr>
          <w:rFonts w:hint="eastAsia" w:ascii="宋体" w:hAnsi="宋体" w:cs="宋体"/>
        </w:rPr>
      </w:pPr>
      <w:r>
        <w:rPr>
          <w:rFonts w:hint="eastAsia"/>
        </w:rPr>
        <w:t>本项目为土砂石开采项目，根据《环境影响评价技术导则  土壤环境(试行)》(HJ964-2018)附录A土壤环境影响评价项目类别，项目属于“采矿业--其他”，即</w:t>
      </w:r>
      <w:r>
        <w:rPr>
          <w:rFonts w:hint="eastAsia" w:ascii="宋体" w:hAnsi="宋体" w:cs="宋体"/>
        </w:rPr>
        <w:t>Ⅲ类项目。</w:t>
      </w:r>
    </w:p>
    <w:p>
      <w:pPr>
        <w:pStyle w:val="112"/>
        <w:snapToGrid w:val="0"/>
        <w:spacing w:line="440" w:lineRule="exact"/>
        <w:ind w:firstLine="480" w:firstLineChars="200"/>
        <w:rPr>
          <w:rFonts w:hint="eastAsia"/>
          <w:lang w:eastAsia="zh-CN"/>
        </w:rPr>
      </w:pPr>
      <w:r>
        <w:rPr>
          <w:rFonts w:hint="eastAsia" w:ascii="宋体" w:hAnsi="宋体" w:cs="宋体"/>
        </w:rPr>
        <w:t>本项目仅对矿山开采部分进行环境影响评价</w:t>
      </w:r>
      <w:r>
        <w:rPr>
          <w:rFonts w:hint="eastAsia" w:ascii="宋体" w:hAnsi="宋体" w:cs="宋体"/>
          <w:lang w:eastAsia="zh-CN"/>
        </w:rPr>
        <w:t>。</w:t>
      </w:r>
      <w:r>
        <w:rPr>
          <w:rFonts w:hint="eastAsia"/>
          <w:lang w:eastAsia="zh-CN"/>
        </w:rPr>
        <w:t>根据《</w:t>
      </w:r>
      <w:r>
        <w:rPr>
          <w:rFonts w:hint="eastAsia"/>
        </w:rPr>
        <w:t>环境影响评价技术导则  土壤环境(试行)</w:t>
      </w:r>
      <w:r>
        <w:rPr>
          <w:rFonts w:hint="eastAsia"/>
          <w:lang w:eastAsia="zh-CN"/>
        </w:rPr>
        <w:t>》</w:t>
      </w:r>
      <w:r>
        <w:rPr>
          <w:rFonts w:hint="eastAsia"/>
        </w:rPr>
        <w:t>(HJ964-2018)</w:t>
      </w:r>
      <w:r>
        <w:rPr>
          <w:rFonts w:hint="eastAsia"/>
          <w:lang w:eastAsia="zh-CN"/>
        </w:rPr>
        <w:t>，矿山开采项目属于资源损失型项目，仅对排土场进行土壤环境影响评价。</w:t>
      </w:r>
      <w:r>
        <w:rPr>
          <w:rFonts w:hint="eastAsia" w:ascii="宋体" w:hAnsi="宋体" w:cs="宋体"/>
        </w:rPr>
        <w:t>排土场主要用于储存开采剥离土，后期用于土地复垦</w:t>
      </w:r>
      <w:r>
        <w:rPr>
          <w:rFonts w:hint="eastAsia" w:ascii="宋体" w:hAnsi="宋体" w:cs="宋体"/>
          <w:lang w:eastAsia="zh-CN"/>
        </w:rPr>
        <w:t>和生态恢复</w:t>
      </w:r>
      <w:r>
        <w:rPr>
          <w:rFonts w:hint="eastAsia" w:ascii="宋体" w:hAnsi="宋体" w:cs="宋体"/>
        </w:rPr>
        <w:t>，</w:t>
      </w:r>
      <w:r>
        <w:rPr>
          <w:rFonts w:hint="eastAsia"/>
        </w:rPr>
        <w:t>不存在大气沉降、地表漫流、垂直入渗等对土壤环境造成污染的途径</w:t>
      </w:r>
      <w:r>
        <w:rPr>
          <w:rFonts w:hint="eastAsia"/>
          <w:lang w:eastAsia="zh-CN"/>
        </w:rPr>
        <w:t>。</w:t>
      </w:r>
    </w:p>
    <w:p>
      <w:pPr>
        <w:pStyle w:val="112"/>
        <w:snapToGrid w:val="0"/>
        <w:spacing w:line="440" w:lineRule="exact"/>
        <w:ind w:firstLine="480" w:firstLineChars="200"/>
      </w:pPr>
      <w:r>
        <w:rPr>
          <w:rFonts w:hint="eastAsia"/>
          <w:lang w:eastAsia="zh-CN"/>
        </w:rPr>
        <w:t>因而，本项目</w:t>
      </w:r>
      <w:r>
        <w:rPr>
          <w:rFonts w:hint="eastAsia"/>
        </w:rPr>
        <w:t>可不开展土壤环境影响评价</w:t>
      </w:r>
      <w:r>
        <w:t>。</w:t>
      </w:r>
    </w:p>
    <w:p>
      <w:pPr>
        <w:widowControl w:val="0"/>
        <w:adjustRightInd w:val="0"/>
        <w:snapToGrid w:val="0"/>
        <w:spacing w:before="120" w:beforeLines="50" w:after="120" w:afterLines="50"/>
        <w:jc w:val="both"/>
        <w:outlineLvl w:val="2"/>
        <w:rPr>
          <w:b/>
          <w:kern w:val="2"/>
        </w:rPr>
      </w:pPr>
      <w:r>
        <w:rPr>
          <w:b/>
          <w:kern w:val="2"/>
        </w:rPr>
        <w:t>1.4.</w:t>
      </w:r>
      <w:r>
        <w:rPr>
          <w:rFonts w:hint="eastAsia"/>
          <w:b/>
          <w:kern w:val="2"/>
        </w:rPr>
        <w:t>6</w:t>
      </w:r>
      <w:r>
        <w:rPr>
          <w:b/>
          <w:kern w:val="2"/>
        </w:rPr>
        <w:t>生态环境影响评价工作级别和评价范围</w:t>
      </w:r>
    </w:p>
    <w:p>
      <w:pPr>
        <w:pStyle w:val="112"/>
        <w:snapToGrid w:val="0"/>
        <w:spacing w:line="440" w:lineRule="exact"/>
        <w:ind w:firstLine="480" w:firstLineChars="200"/>
      </w:pPr>
      <w:r>
        <w:t>本项目建设地点位于</w:t>
      </w:r>
      <w:r>
        <w:rPr>
          <w:rFonts w:hint="eastAsia"/>
        </w:rPr>
        <w:t>繁峙县横涧乡前所村北</w:t>
      </w:r>
      <w:r>
        <w:t>，</w:t>
      </w:r>
      <w:r>
        <w:rPr>
          <w:rFonts w:hint="eastAsia"/>
        </w:rPr>
        <w:t>在繁峙县东胜砖厂粘土矿矿区范围内进行建设。评价范围内</w:t>
      </w:r>
      <w:r>
        <w:t>不涉及世界文化和自然历史遗产、自然保护区等特殊生态敏感区</w:t>
      </w:r>
      <w:r>
        <w:rPr>
          <w:rFonts w:hint="eastAsia"/>
        </w:rPr>
        <w:t>，</w:t>
      </w:r>
      <w:r>
        <w:t>不涉及风景名胜区、森林公园等重要生态敏感区</w:t>
      </w:r>
      <w:r>
        <w:rPr>
          <w:rFonts w:hint="eastAsia"/>
        </w:rPr>
        <w:t>，</w:t>
      </w:r>
      <w:r>
        <w:t>根据《环境影响评价技术导则 生态影响》</w:t>
      </w:r>
      <w:r>
        <w:rPr>
          <w:rFonts w:hint="eastAsia"/>
        </w:rPr>
        <w:t>（</w:t>
      </w:r>
      <w:r>
        <w:t>HJ19-2011</w:t>
      </w:r>
      <w:r>
        <w:rPr>
          <w:rFonts w:hint="eastAsia"/>
        </w:rPr>
        <w:t>），</w:t>
      </w:r>
      <w:r>
        <w:t>本项目影响区域生态敏感性为</w:t>
      </w:r>
      <w:r>
        <w:rPr>
          <w:rFonts w:hint="eastAsia"/>
        </w:rPr>
        <w:t>“</w:t>
      </w:r>
      <w:r>
        <w:t>一般区域</w:t>
      </w:r>
      <w:r>
        <w:rPr>
          <w:rFonts w:hint="eastAsia"/>
        </w:rPr>
        <w:t>”。</w:t>
      </w:r>
    </w:p>
    <w:p>
      <w:pPr>
        <w:pStyle w:val="362"/>
        <w:spacing w:before="120"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 xml:space="preserve">1.4-5 </w:t>
      </w:r>
      <w:r>
        <w:rPr>
          <w:rFonts w:hint="eastAsia" w:ascii="黑体" w:hAnsi="黑体" w:eastAsia="黑体" w:cs="黑体"/>
          <w:sz w:val="21"/>
          <w:szCs w:val="21"/>
        </w:rPr>
        <w:t xml:space="preserve"> 生态影响评价工作等级划分表</w:t>
      </w:r>
    </w:p>
    <w:tbl>
      <w:tblPr>
        <w:tblStyle w:val="8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2242"/>
        <w:gridCol w:w="2886"/>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9" w:type="pct"/>
            <w:vMerge w:val="restart"/>
            <w:vAlign w:val="center"/>
          </w:tcPr>
          <w:p>
            <w:pPr>
              <w:pStyle w:val="363"/>
              <w:spacing w:line="360" w:lineRule="exact"/>
              <w:rPr>
                <w:rFonts w:eastAsia="宋体"/>
              </w:rPr>
            </w:pPr>
            <w:r>
              <w:rPr>
                <w:rFonts w:eastAsia="宋体"/>
              </w:rPr>
              <w:t>影响区域</w:t>
            </w:r>
          </w:p>
          <w:p>
            <w:pPr>
              <w:pStyle w:val="363"/>
              <w:spacing w:line="360" w:lineRule="exact"/>
              <w:rPr>
                <w:rFonts w:eastAsia="宋体"/>
              </w:rPr>
            </w:pPr>
            <w:r>
              <w:rPr>
                <w:rFonts w:eastAsia="宋体"/>
              </w:rPr>
              <w:t>生态敏感性</w:t>
            </w:r>
          </w:p>
        </w:tc>
        <w:tc>
          <w:tcPr>
            <w:tcW w:w="3950" w:type="pct"/>
            <w:gridSpan w:val="3"/>
            <w:vAlign w:val="center"/>
          </w:tcPr>
          <w:p>
            <w:pPr>
              <w:pStyle w:val="363"/>
              <w:spacing w:line="360" w:lineRule="exact"/>
              <w:rPr>
                <w:rFonts w:eastAsia="宋体"/>
              </w:rPr>
            </w:pPr>
            <w:r>
              <w:rPr>
                <w:rFonts w:eastAsia="宋体"/>
              </w:rPr>
              <w:t>工程占地</w:t>
            </w:r>
            <w:r>
              <w:rPr>
                <w:rFonts w:hint="eastAsia" w:eastAsia="宋体"/>
              </w:rPr>
              <w:t>（</w:t>
            </w:r>
            <w:r>
              <w:rPr>
                <w:rFonts w:eastAsia="宋体"/>
              </w:rPr>
              <w:t>水域</w:t>
            </w:r>
            <w:r>
              <w:rPr>
                <w:rFonts w:hint="eastAsia" w:eastAsia="宋体"/>
              </w:rPr>
              <w:t>）</w:t>
            </w:r>
            <w:r>
              <w:rPr>
                <w:rFonts w:eastAsia="宋体"/>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9" w:type="pct"/>
            <w:vMerge w:val="continue"/>
            <w:vAlign w:val="center"/>
          </w:tcPr>
          <w:p>
            <w:pPr>
              <w:pStyle w:val="363"/>
              <w:spacing w:line="360" w:lineRule="exact"/>
              <w:rPr>
                <w:rFonts w:eastAsia="宋体"/>
              </w:rPr>
            </w:pPr>
          </w:p>
        </w:tc>
        <w:tc>
          <w:tcPr>
            <w:tcW w:w="1207" w:type="pct"/>
            <w:vAlign w:val="center"/>
          </w:tcPr>
          <w:p>
            <w:pPr>
              <w:pStyle w:val="363"/>
              <w:spacing w:line="360" w:lineRule="exact"/>
              <w:rPr>
                <w:rFonts w:eastAsia="宋体"/>
              </w:rPr>
            </w:pPr>
            <w:r>
              <w:rPr>
                <w:rFonts w:eastAsia="宋体"/>
              </w:rPr>
              <w:t>面积≥20km</w:t>
            </w:r>
            <w:r>
              <w:rPr>
                <w:rFonts w:eastAsia="宋体"/>
                <w:vertAlign w:val="superscript"/>
              </w:rPr>
              <w:t>2</w:t>
            </w:r>
            <w:r>
              <w:rPr>
                <w:rFonts w:eastAsia="宋体"/>
              </w:rPr>
              <w:t>或长度≥100km</w:t>
            </w:r>
          </w:p>
        </w:tc>
        <w:tc>
          <w:tcPr>
            <w:tcW w:w="1554" w:type="pct"/>
            <w:vAlign w:val="center"/>
          </w:tcPr>
          <w:p>
            <w:pPr>
              <w:pStyle w:val="363"/>
              <w:spacing w:line="360" w:lineRule="exact"/>
              <w:rPr>
                <w:rFonts w:eastAsia="宋体"/>
              </w:rPr>
            </w:pPr>
            <w:r>
              <w:rPr>
                <w:rFonts w:eastAsia="宋体"/>
              </w:rPr>
              <w:t>面积2km</w:t>
            </w:r>
            <w:r>
              <w:rPr>
                <w:rFonts w:eastAsia="宋体"/>
                <w:vertAlign w:val="superscript"/>
              </w:rPr>
              <w:t>2</w:t>
            </w:r>
            <w:r>
              <w:rPr>
                <w:rFonts w:eastAsia="宋体"/>
              </w:rPr>
              <w:t>-20km</w:t>
            </w:r>
            <w:r>
              <w:rPr>
                <w:rFonts w:eastAsia="宋体"/>
                <w:vertAlign w:val="superscript"/>
              </w:rPr>
              <w:t>2</w:t>
            </w:r>
            <w:r>
              <w:rPr>
                <w:rFonts w:eastAsia="宋体"/>
              </w:rPr>
              <w:t>或长度50km-100km</w:t>
            </w:r>
          </w:p>
        </w:tc>
        <w:tc>
          <w:tcPr>
            <w:tcW w:w="1188" w:type="pct"/>
            <w:vAlign w:val="center"/>
          </w:tcPr>
          <w:p>
            <w:pPr>
              <w:pStyle w:val="363"/>
              <w:spacing w:line="360" w:lineRule="exact"/>
              <w:rPr>
                <w:rFonts w:eastAsia="宋体"/>
              </w:rPr>
            </w:pPr>
            <w:r>
              <w:rPr>
                <w:rFonts w:eastAsia="宋体"/>
              </w:rPr>
              <w:t>面积≤2km</w:t>
            </w:r>
            <w:r>
              <w:rPr>
                <w:rFonts w:eastAsia="宋体"/>
                <w:vertAlign w:val="superscript"/>
              </w:rPr>
              <w:t>2</w:t>
            </w:r>
            <w:r>
              <w:rPr>
                <w:rFonts w:eastAsia="宋体"/>
              </w:rPr>
              <w:t>或长度≤50km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9" w:type="pct"/>
            <w:vAlign w:val="center"/>
          </w:tcPr>
          <w:p>
            <w:pPr>
              <w:pStyle w:val="363"/>
              <w:spacing w:line="360" w:lineRule="exact"/>
              <w:rPr>
                <w:rFonts w:eastAsia="宋体"/>
              </w:rPr>
            </w:pPr>
            <w:r>
              <w:rPr>
                <w:rFonts w:eastAsia="宋体"/>
              </w:rPr>
              <w:t>特殊生态敏感区</w:t>
            </w:r>
          </w:p>
        </w:tc>
        <w:tc>
          <w:tcPr>
            <w:tcW w:w="1207" w:type="pct"/>
            <w:vAlign w:val="center"/>
          </w:tcPr>
          <w:p>
            <w:pPr>
              <w:pStyle w:val="363"/>
              <w:spacing w:line="360" w:lineRule="exact"/>
              <w:rPr>
                <w:rFonts w:eastAsia="宋体"/>
              </w:rPr>
            </w:pPr>
            <w:r>
              <w:rPr>
                <w:rFonts w:eastAsia="宋体"/>
              </w:rPr>
              <w:t>一</w:t>
            </w:r>
          </w:p>
        </w:tc>
        <w:tc>
          <w:tcPr>
            <w:tcW w:w="1554" w:type="pct"/>
            <w:vAlign w:val="center"/>
          </w:tcPr>
          <w:p>
            <w:pPr>
              <w:pStyle w:val="363"/>
              <w:spacing w:line="360" w:lineRule="exact"/>
              <w:rPr>
                <w:rFonts w:eastAsia="宋体"/>
              </w:rPr>
            </w:pPr>
            <w:r>
              <w:rPr>
                <w:rFonts w:eastAsia="宋体"/>
              </w:rPr>
              <w:t>一</w:t>
            </w:r>
          </w:p>
        </w:tc>
        <w:tc>
          <w:tcPr>
            <w:tcW w:w="1188" w:type="pct"/>
            <w:vAlign w:val="center"/>
          </w:tcPr>
          <w:p>
            <w:pPr>
              <w:pStyle w:val="363"/>
              <w:spacing w:line="360" w:lineRule="exact"/>
              <w:rPr>
                <w:rFonts w:eastAsia="宋体"/>
              </w:rPr>
            </w:pPr>
            <w:r>
              <w:rPr>
                <w:rFonts w:eastAsia="宋体"/>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9" w:type="pct"/>
            <w:vAlign w:val="center"/>
          </w:tcPr>
          <w:p>
            <w:pPr>
              <w:pStyle w:val="363"/>
              <w:spacing w:line="360" w:lineRule="exact"/>
              <w:rPr>
                <w:rFonts w:eastAsia="宋体"/>
              </w:rPr>
            </w:pPr>
            <w:r>
              <w:rPr>
                <w:rFonts w:eastAsia="宋体"/>
              </w:rPr>
              <w:t>重要生态敏感区</w:t>
            </w:r>
          </w:p>
        </w:tc>
        <w:tc>
          <w:tcPr>
            <w:tcW w:w="1207" w:type="pct"/>
            <w:vAlign w:val="center"/>
          </w:tcPr>
          <w:p>
            <w:pPr>
              <w:pStyle w:val="363"/>
              <w:spacing w:line="360" w:lineRule="exact"/>
              <w:rPr>
                <w:rFonts w:eastAsia="宋体"/>
              </w:rPr>
            </w:pPr>
            <w:r>
              <w:rPr>
                <w:rFonts w:eastAsia="宋体"/>
              </w:rPr>
              <w:t>一</w:t>
            </w:r>
          </w:p>
        </w:tc>
        <w:tc>
          <w:tcPr>
            <w:tcW w:w="1554" w:type="pct"/>
            <w:vAlign w:val="center"/>
          </w:tcPr>
          <w:p>
            <w:pPr>
              <w:pStyle w:val="363"/>
              <w:spacing w:line="360" w:lineRule="exact"/>
              <w:rPr>
                <w:rFonts w:eastAsia="宋体"/>
              </w:rPr>
            </w:pPr>
            <w:r>
              <w:rPr>
                <w:rFonts w:eastAsia="宋体"/>
              </w:rPr>
              <w:t>二</w:t>
            </w:r>
          </w:p>
        </w:tc>
        <w:tc>
          <w:tcPr>
            <w:tcW w:w="1188" w:type="pct"/>
            <w:vAlign w:val="center"/>
          </w:tcPr>
          <w:p>
            <w:pPr>
              <w:pStyle w:val="363"/>
              <w:spacing w:line="360" w:lineRule="exact"/>
              <w:rPr>
                <w:rFonts w:eastAsia="宋体"/>
              </w:rPr>
            </w:pPr>
            <w:r>
              <w:rPr>
                <w:rFonts w:eastAsia="宋体"/>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9" w:type="pct"/>
            <w:vAlign w:val="center"/>
          </w:tcPr>
          <w:p>
            <w:pPr>
              <w:pStyle w:val="363"/>
              <w:spacing w:line="360" w:lineRule="exact"/>
              <w:rPr>
                <w:rFonts w:eastAsia="宋体"/>
              </w:rPr>
            </w:pPr>
            <w:r>
              <w:rPr>
                <w:rFonts w:eastAsia="宋体"/>
              </w:rPr>
              <w:t>一般区域</w:t>
            </w:r>
          </w:p>
        </w:tc>
        <w:tc>
          <w:tcPr>
            <w:tcW w:w="1207" w:type="pct"/>
            <w:vAlign w:val="center"/>
          </w:tcPr>
          <w:p>
            <w:pPr>
              <w:pStyle w:val="363"/>
              <w:spacing w:line="360" w:lineRule="exact"/>
              <w:rPr>
                <w:rFonts w:eastAsia="宋体"/>
              </w:rPr>
            </w:pPr>
            <w:r>
              <w:rPr>
                <w:rFonts w:eastAsia="宋体"/>
              </w:rPr>
              <w:t>二</w:t>
            </w:r>
          </w:p>
        </w:tc>
        <w:tc>
          <w:tcPr>
            <w:tcW w:w="1554" w:type="pct"/>
            <w:vAlign w:val="center"/>
          </w:tcPr>
          <w:p>
            <w:pPr>
              <w:pStyle w:val="363"/>
              <w:spacing w:line="360" w:lineRule="exact"/>
              <w:rPr>
                <w:rFonts w:eastAsia="宋体"/>
              </w:rPr>
            </w:pPr>
            <w:r>
              <w:rPr>
                <w:rFonts w:eastAsia="宋体"/>
              </w:rPr>
              <w:t>三</w:t>
            </w:r>
          </w:p>
        </w:tc>
        <w:tc>
          <w:tcPr>
            <w:tcW w:w="1188" w:type="pct"/>
            <w:vAlign w:val="center"/>
          </w:tcPr>
          <w:p>
            <w:pPr>
              <w:pStyle w:val="363"/>
              <w:spacing w:line="360" w:lineRule="exact"/>
              <w:rPr>
                <w:rFonts w:eastAsia="宋体"/>
              </w:rPr>
            </w:pPr>
            <w:r>
              <w:rPr>
                <w:rFonts w:eastAsia="宋体"/>
              </w:rPr>
              <w:t>三</w:t>
            </w:r>
          </w:p>
        </w:tc>
      </w:tr>
    </w:tbl>
    <w:p>
      <w:pPr>
        <w:pStyle w:val="112"/>
        <w:snapToGrid w:val="0"/>
        <w:spacing w:line="440" w:lineRule="exact"/>
        <w:ind w:firstLine="480" w:firstLineChars="200"/>
      </w:pPr>
      <w:r>
        <w:rPr>
          <w:rFonts w:hint="eastAsia"/>
        </w:rPr>
        <w:t>本项目矿区面积0.0508km</w:t>
      </w:r>
      <w:r>
        <w:rPr>
          <w:rFonts w:hint="eastAsia"/>
          <w:vertAlign w:val="superscript"/>
        </w:rPr>
        <w:t>2</w:t>
      </w:r>
      <w:r>
        <w:rPr>
          <w:rFonts w:hint="eastAsia"/>
        </w:rPr>
        <w:t>，小于2.0km</w:t>
      </w:r>
      <w:r>
        <w:rPr>
          <w:rFonts w:hint="eastAsia"/>
          <w:vertAlign w:val="superscript"/>
        </w:rPr>
        <w:t>2</w:t>
      </w:r>
      <w:r>
        <w:rPr>
          <w:rFonts w:hint="eastAsia"/>
        </w:rPr>
        <w:t>，影响区域生态敏感性为一般区域，根据《环境影响评价技术导则 生态影响》（HJ19-2011），确定生态环境影响评价等级为三级。考虑本项目涉及粘土开采，开采过程会导致粘土矿区土地利用类型发生改变，所以生态环境影响评价等级上调一级。因此，本项目生态影响评价等级为二级评价。</w:t>
      </w:r>
    </w:p>
    <w:p>
      <w:pPr>
        <w:pStyle w:val="112"/>
        <w:spacing w:line="440" w:lineRule="exact"/>
        <w:ind w:firstLine="480" w:firstLineChars="200"/>
      </w:pPr>
      <w:r>
        <w:t>本项目生态环境影响评价等级为二级</w:t>
      </w:r>
      <w:r>
        <w:rPr>
          <w:rFonts w:hint="eastAsia"/>
        </w:rPr>
        <w:t>，</w:t>
      </w:r>
      <w:r>
        <w:t>项目生态环境影响评价范围综合考虑项目建设活动的直接影响区和间接影响区来确定</w:t>
      </w:r>
      <w:r>
        <w:rPr>
          <w:rFonts w:hint="eastAsia"/>
        </w:rPr>
        <w:t>。</w:t>
      </w:r>
      <w:r>
        <w:t>直接影响区主要包括粘土矿</w:t>
      </w:r>
      <w:r>
        <w:rPr>
          <w:rFonts w:hint="eastAsia"/>
        </w:rPr>
        <w:t>开采区和工业场地</w:t>
      </w:r>
      <w:r>
        <w:t>等占用区</w:t>
      </w:r>
      <w:r>
        <w:rPr>
          <w:rFonts w:hint="eastAsia"/>
        </w:rPr>
        <w:t>，</w:t>
      </w:r>
      <w:r>
        <w:t>这些区域植被被完全破坏</w:t>
      </w:r>
      <w:r>
        <w:rPr>
          <w:rFonts w:hint="eastAsia"/>
        </w:rPr>
        <w:t>，</w:t>
      </w:r>
      <w:r>
        <w:t>土地利用类型发生改变</w:t>
      </w:r>
      <w:r>
        <w:rPr>
          <w:rFonts w:hint="eastAsia"/>
        </w:rPr>
        <w:t>。</w:t>
      </w:r>
      <w:r>
        <w:t>间接影响区主要包括矿区开采扰动间接造成的水土流失影响</w:t>
      </w:r>
      <w:r>
        <w:rPr>
          <w:rFonts w:hint="eastAsia"/>
        </w:rPr>
        <w:t>，</w:t>
      </w:r>
      <w:r>
        <w:t>现状生态环境不会发生较大改变</w:t>
      </w:r>
      <w:r>
        <w:rPr>
          <w:rFonts w:hint="eastAsia"/>
        </w:rPr>
        <w:t>。</w:t>
      </w:r>
    </w:p>
    <w:p>
      <w:pPr>
        <w:pStyle w:val="112"/>
        <w:spacing w:line="440" w:lineRule="exact"/>
        <w:ind w:firstLine="480" w:firstLineChars="200"/>
      </w:pPr>
      <w:r>
        <w:t>综合考虑项目建设活动的直接影响区和间接影响区</w:t>
      </w:r>
      <w:r>
        <w:rPr>
          <w:rFonts w:hint="eastAsia"/>
        </w:rPr>
        <w:t>，确定本项目生态环境影响评价范围为矿区边界外扩200m以内围合形成的区域，</w:t>
      </w:r>
      <w:r>
        <w:t>生态评价范围总计</w:t>
      </w:r>
      <w:r>
        <w:rPr>
          <w:rFonts w:hint="eastAsia"/>
        </w:rPr>
        <w:t>36.21h</w:t>
      </w:r>
      <w:r>
        <w:t>m</w:t>
      </w:r>
      <w:r>
        <w:rPr>
          <w:vertAlign w:val="superscript"/>
        </w:rPr>
        <w:t>2</w:t>
      </w:r>
      <w:r>
        <w:rPr>
          <w:rFonts w:hint="eastAsia"/>
        </w:rPr>
        <w:t>。</w:t>
      </w:r>
    </w:p>
    <w:p>
      <w:pPr>
        <w:pStyle w:val="112"/>
        <w:snapToGrid w:val="0"/>
        <w:spacing w:line="440" w:lineRule="exact"/>
        <w:ind w:firstLine="480" w:firstLineChars="200"/>
      </w:pPr>
      <w:r>
        <w:t>综上所述，表1.4-</w:t>
      </w:r>
      <w:r>
        <w:rPr>
          <w:rFonts w:hint="eastAsia"/>
        </w:rPr>
        <w:t>6</w:t>
      </w:r>
      <w:r>
        <w:t>给出本次环境影响评价工作级别。</w:t>
      </w:r>
    </w:p>
    <w:p>
      <w:pPr>
        <w:spacing w:line="440" w:lineRule="exact"/>
        <w:jc w:val="center"/>
        <w:rPr>
          <w:rFonts w:ascii="黑体" w:hAnsi="黑体" w:eastAsia="黑体" w:cs="黑体"/>
          <w:sz w:val="21"/>
          <w:szCs w:val="21"/>
          <w:lang w:val="en-GB"/>
        </w:rPr>
      </w:pPr>
      <w:r>
        <w:rPr>
          <w:rFonts w:hint="eastAsia" w:ascii="黑体" w:hAnsi="黑体" w:eastAsia="黑体" w:cs="黑体"/>
          <w:sz w:val="21"/>
          <w:szCs w:val="21"/>
          <w:lang w:val="en-GB"/>
        </w:rPr>
        <w:t>表</w:t>
      </w:r>
      <w:r>
        <w:rPr>
          <w:rFonts w:eastAsia="黑体"/>
          <w:sz w:val="21"/>
          <w:szCs w:val="21"/>
          <w:lang w:val="en-GB"/>
        </w:rPr>
        <w:t>1.4-</w:t>
      </w:r>
      <w:r>
        <w:rPr>
          <w:rFonts w:hint="eastAsia" w:eastAsia="黑体"/>
          <w:sz w:val="21"/>
          <w:szCs w:val="21"/>
        </w:rPr>
        <w:t>6</w:t>
      </w:r>
      <w:r>
        <w:rPr>
          <w:rFonts w:hint="eastAsia" w:ascii="黑体" w:hAnsi="黑体" w:eastAsia="黑体" w:cs="黑体"/>
          <w:sz w:val="21"/>
          <w:szCs w:val="21"/>
          <w:lang w:val="en-GB"/>
        </w:rPr>
        <w:t xml:space="preserve"> 各环境要素评价级别汇总表</w:t>
      </w:r>
    </w:p>
    <w:tbl>
      <w:tblPr>
        <w:tblStyle w:val="88"/>
        <w:tblW w:w="92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11"/>
        <w:gridCol w:w="47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11" w:type="dxa"/>
            <w:vAlign w:val="center"/>
          </w:tcPr>
          <w:p>
            <w:pPr>
              <w:pStyle w:val="46"/>
              <w:spacing w:line="360" w:lineRule="exact"/>
              <w:jc w:val="center"/>
              <w:rPr>
                <w:rFonts w:ascii="Times New Roman" w:hAnsi="Times New Roman" w:eastAsiaTheme="minorEastAsia"/>
              </w:rPr>
            </w:pPr>
            <w:r>
              <w:rPr>
                <w:rFonts w:ascii="Times New Roman" w:hAnsi="Times New Roman" w:eastAsiaTheme="minorEastAsia"/>
              </w:rPr>
              <w:t>环境要素</w:t>
            </w:r>
          </w:p>
        </w:tc>
        <w:tc>
          <w:tcPr>
            <w:tcW w:w="4775" w:type="dxa"/>
            <w:vAlign w:val="center"/>
          </w:tcPr>
          <w:p>
            <w:pPr>
              <w:pStyle w:val="46"/>
              <w:spacing w:line="360" w:lineRule="exact"/>
              <w:jc w:val="center"/>
              <w:rPr>
                <w:rFonts w:ascii="Times New Roman" w:hAnsi="Times New Roman" w:eastAsiaTheme="minorEastAsia"/>
              </w:rPr>
            </w:pPr>
            <w:r>
              <w:rPr>
                <w:rFonts w:ascii="Times New Roman" w:hAnsi="Times New Roman" w:eastAsiaTheme="minorEastAsia"/>
              </w:rPr>
              <w:t>评价级别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11" w:type="dxa"/>
            <w:vAlign w:val="center"/>
          </w:tcPr>
          <w:p>
            <w:pPr>
              <w:pStyle w:val="46"/>
              <w:spacing w:line="360" w:lineRule="exact"/>
              <w:jc w:val="center"/>
              <w:rPr>
                <w:rFonts w:ascii="Times New Roman" w:hAnsi="Times New Roman" w:eastAsiaTheme="minorEastAsia"/>
              </w:rPr>
            </w:pPr>
            <w:r>
              <w:rPr>
                <w:rFonts w:ascii="Times New Roman" w:hAnsi="Times New Roman" w:eastAsiaTheme="minorEastAsia"/>
              </w:rPr>
              <w:t>环境空气</w:t>
            </w:r>
          </w:p>
        </w:tc>
        <w:tc>
          <w:tcPr>
            <w:tcW w:w="4775" w:type="dxa"/>
            <w:vAlign w:val="center"/>
          </w:tcPr>
          <w:p>
            <w:pPr>
              <w:pStyle w:val="46"/>
              <w:spacing w:line="360" w:lineRule="exact"/>
              <w:jc w:val="center"/>
              <w:rPr>
                <w:rFonts w:ascii="Times New Roman" w:hAnsi="Times New Roman" w:eastAsiaTheme="minorEastAsia"/>
              </w:rPr>
            </w:pPr>
            <w:r>
              <w:rPr>
                <w:rFonts w:hint="eastAsia" w:ascii="Times New Roman" w:hAnsi="Times New Roman" w:eastAsiaTheme="minorEastAsia"/>
              </w:rPr>
              <w:t>二级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11" w:type="dxa"/>
            <w:vAlign w:val="center"/>
          </w:tcPr>
          <w:p>
            <w:pPr>
              <w:pStyle w:val="46"/>
              <w:spacing w:line="360" w:lineRule="exact"/>
              <w:jc w:val="center"/>
              <w:rPr>
                <w:rFonts w:ascii="Times New Roman" w:hAnsi="Times New Roman" w:eastAsiaTheme="minorEastAsia"/>
              </w:rPr>
            </w:pPr>
            <w:r>
              <w:rPr>
                <w:rFonts w:ascii="Times New Roman" w:hAnsi="Times New Roman" w:eastAsiaTheme="minorEastAsia"/>
              </w:rPr>
              <w:t>地表水</w:t>
            </w:r>
          </w:p>
        </w:tc>
        <w:tc>
          <w:tcPr>
            <w:tcW w:w="4775" w:type="dxa"/>
            <w:vAlign w:val="center"/>
          </w:tcPr>
          <w:p>
            <w:pPr>
              <w:pStyle w:val="46"/>
              <w:spacing w:line="360" w:lineRule="exact"/>
              <w:jc w:val="center"/>
              <w:rPr>
                <w:rFonts w:ascii="Times New Roman" w:hAnsi="Times New Roman" w:eastAsiaTheme="minorEastAsia"/>
              </w:rPr>
            </w:pPr>
            <w:r>
              <w:rPr>
                <w:rFonts w:hint="eastAsia" w:ascii="Times New Roman" w:hAnsi="Times New Roman" w:eastAsiaTheme="minorEastAsia"/>
              </w:rPr>
              <w:t>三级B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511" w:type="dxa"/>
            <w:vAlign w:val="center"/>
          </w:tcPr>
          <w:p>
            <w:pPr>
              <w:pStyle w:val="46"/>
              <w:spacing w:line="360" w:lineRule="exact"/>
              <w:jc w:val="center"/>
              <w:rPr>
                <w:rFonts w:ascii="Times New Roman" w:hAnsi="Times New Roman" w:eastAsiaTheme="minorEastAsia"/>
              </w:rPr>
            </w:pPr>
            <w:r>
              <w:rPr>
                <w:rFonts w:hint="eastAsia" w:ascii="Times New Roman" w:hAnsi="Times New Roman" w:eastAsiaTheme="minorEastAsia"/>
              </w:rPr>
              <w:t>地下水</w:t>
            </w:r>
          </w:p>
        </w:tc>
        <w:tc>
          <w:tcPr>
            <w:tcW w:w="4775" w:type="dxa"/>
            <w:vAlign w:val="center"/>
          </w:tcPr>
          <w:p>
            <w:pPr>
              <w:pStyle w:val="46"/>
              <w:spacing w:line="360" w:lineRule="exact"/>
              <w:jc w:val="center"/>
              <w:rPr>
                <w:rFonts w:ascii="Times New Roman" w:hAnsi="Times New Roman" w:eastAsiaTheme="minorEastAsia"/>
              </w:rPr>
            </w:pPr>
            <w:r>
              <w:rPr>
                <w:rFonts w:hint="eastAsia" w:ascii="Times New Roman" w:hAnsi="Times New Roman" w:eastAsiaTheme="minorEastAsia"/>
              </w:rPr>
              <w:t>不开展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11" w:type="dxa"/>
            <w:vAlign w:val="center"/>
          </w:tcPr>
          <w:p>
            <w:pPr>
              <w:pStyle w:val="46"/>
              <w:spacing w:line="360" w:lineRule="exact"/>
              <w:jc w:val="center"/>
              <w:rPr>
                <w:rFonts w:ascii="Times New Roman" w:hAnsi="Times New Roman" w:eastAsiaTheme="minorEastAsia"/>
              </w:rPr>
            </w:pPr>
            <w:r>
              <w:rPr>
                <w:rFonts w:ascii="Times New Roman" w:hAnsi="Times New Roman" w:eastAsiaTheme="minorEastAsia"/>
              </w:rPr>
              <w:t>声环境</w:t>
            </w:r>
          </w:p>
        </w:tc>
        <w:tc>
          <w:tcPr>
            <w:tcW w:w="4775" w:type="dxa"/>
            <w:vAlign w:val="center"/>
          </w:tcPr>
          <w:p>
            <w:pPr>
              <w:pStyle w:val="46"/>
              <w:spacing w:line="360" w:lineRule="exact"/>
              <w:jc w:val="center"/>
              <w:rPr>
                <w:rFonts w:ascii="Times New Roman" w:hAnsi="Times New Roman" w:eastAsiaTheme="minorEastAsia"/>
              </w:rPr>
            </w:pPr>
            <w:r>
              <w:rPr>
                <w:rFonts w:ascii="Times New Roman" w:hAnsi="Times New Roman" w:eastAsiaTheme="minorEastAsia"/>
              </w:rPr>
              <w:t>二级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11" w:type="dxa"/>
            <w:vAlign w:val="center"/>
          </w:tcPr>
          <w:p>
            <w:pPr>
              <w:pStyle w:val="46"/>
              <w:spacing w:line="360" w:lineRule="exact"/>
              <w:jc w:val="center"/>
              <w:rPr>
                <w:rFonts w:ascii="Times New Roman" w:hAnsi="Times New Roman" w:eastAsiaTheme="minorEastAsia"/>
              </w:rPr>
            </w:pPr>
            <w:r>
              <w:rPr>
                <w:rFonts w:hint="eastAsia" w:ascii="Times New Roman" w:hAnsi="Times New Roman" w:eastAsiaTheme="minorEastAsia"/>
              </w:rPr>
              <w:t>土壤</w:t>
            </w:r>
          </w:p>
        </w:tc>
        <w:tc>
          <w:tcPr>
            <w:tcW w:w="4775" w:type="dxa"/>
            <w:vAlign w:val="center"/>
          </w:tcPr>
          <w:p>
            <w:pPr>
              <w:pStyle w:val="46"/>
              <w:spacing w:line="360" w:lineRule="exact"/>
              <w:jc w:val="center"/>
              <w:rPr>
                <w:rFonts w:ascii="Times New Roman" w:hAnsi="Times New Roman" w:eastAsiaTheme="minorEastAsia"/>
              </w:rPr>
            </w:pPr>
            <w:r>
              <w:rPr>
                <w:rFonts w:hint="eastAsia" w:ascii="Times New Roman" w:hAnsi="Times New Roman" w:eastAsiaTheme="minorEastAsia"/>
              </w:rPr>
              <w:t>不开展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11" w:type="dxa"/>
            <w:vAlign w:val="center"/>
          </w:tcPr>
          <w:p>
            <w:pPr>
              <w:pStyle w:val="46"/>
              <w:spacing w:line="360" w:lineRule="exact"/>
              <w:jc w:val="center"/>
              <w:rPr>
                <w:rFonts w:ascii="Times New Roman" w:hAnsi="Times New Roman" w:eastAsiaTheme="minorEastAsia"/>
              </w:rPr>
            </w:pPr>
            <w:r>
              <w:rPr>
                <w:rFonts w:ascii="Times New Roman" w:hAnsi="Times New Roman" w:eastAsiaTheme="minorEastAsia"/>
              </w:rPr>
              <w:t>生态环境</w:t>
            </w:r>
          </w:p>
        </w:tc>
        <w:tc>
          <w:tcPr>
            <w:tcW w:w="4775" w:type="dxa"/>
            <w:vAlign w:val="center"/>
          </w:tcPr>
          <w:p>
            <w:pPr>
              <w:pStyle w:val="46"/>
              <w:spacing w:line="360" w:lineRule="exact"/>
              <w:jc w:val="center"/>
              <w:rPr>
                <w:rFonts w:ascii="Times New Roman" w:hAnsi="Times New Roman" w:eastAsiaTheme="minorEastAsia"/>
              </w:rPr>
            </w:pPr>
            <w:r>
              <w:rPr>
                <w:rFonts w:hint="eastAsia" w:ascii="Times New Roman" w:hAnsi="Times New Roman" w:eastAsiaTheme="minorEastAsia"/>
              </w:rPr>
              <w:t>二级</w:t>
            </w:r>
          </w:p>
        </w:tc>
      </w:tr>
      <w:bookmarkEnd w:id="59"/>
      <w:bookmarkEnd w:id="60"/>
      <w:bookmarkEnd w:id="61"/>
      <w:bookmarkEnd w:id="62"/>
      <w:bookmarkEnd w:id="63"/>
      <w:bookmarkEnd w:id="64"/>
      <w:bookmarkEnd w:id="65"/>
    </w:tbl>
    <w:p>
      <w:pPr>
        <w:widowControl w:val="0"/>
        <w:adjustRightInd w:val="0"/>
        <w:snapToGrid w:val="0"/>
        <w:spacing w:before="120" w:beforeLines="50" w:after="120" w:afterLines="50"/>
        <w:jc w:val="both"/>
        <w:outlineLvl w:val="1"/>
        <w:rPr>
          <w:b/>
          <w:kern w:val="2"/>
          <w:sz w:val="28"/>
          <w:szCs w:val="28"/>
        </w:rPr>
      </w:pPr>
      <w:bookmarkStart w:id="84" w:name="_Toc275786646"/>
      <w:bookmarkEnd w:id="84"/>
      <w:bookmarkStart w:id="85" w:name="_Toc275536920"/>
      <w:bookmarkEnd w:id="85"/>
      <w:bookmarkStart w:id="86" w:name="_Toc274669503"/>
      <w:bookmarkEnd w:id="86"/>
      <w:bookmarkStart w:id="87" w:name="_Toc275532612"/>
      <w:bookmarkEnd w:id="87"/>
      <w:bookmarkStart w:id="88" w:name="_Toc275536932"/>
      <w:bookmarkEnd w:id="88"/>
      <w:bookmarkStart w:id="89" w:name="_Toc275536934"/>
      <w:bookmarkEnd w:id="89"/>
      <w:bookmarkStart w:id="90" w:name="_Toc275532605"/>
      <w:bookmarkEnd w:id="90"/>
      <w:bookmarkStart w:id="91" w:name="_Toc275532625"/>
      <w:bookmarkEnd w:id="91"/>
      <w:bookmarkStart w:id="92" w:name="_Toc274669504"/>
      <w:bookmarkEnd w:id="92"/>
      <w:bookmarkStart w:id="93" w:name="_Toc275541209"/>
      <w:bookmarkEnd w:id="93"/>
      <w:bookmarkStart w:id="94" w:name="_Toc275536929"/>
      <w:bookmarkEnd w:id="94"/>
      <w:bookmarkStart w:id="95" w:name="_Toc275532607"/>
      <w:bookmarkEnd w:id="95"/>
      <w:bookmarkStart w:id="96" w:name="_Toc275532622"/>
      <w:bookmarkEnd w:id="96"/>
      <w:bookmarkStart w:id="97" w:name="_Toc274669511"/>
      <w:bookmarkEnd w:id="97"/>
      <w:bookmarkStart w:id="98" w:name="_Toc275536923"/>
      <w:bookmarkEnd w:id="98"/>
      <w:bookmarkStart w:id="99" w:name="_Toc275786664"/>
      <w:bookmarkEnd w:id="99"/>
      <w:bookmarkStart w:id="100" w:name="_Toc275532618"/>
      <w:bookmarkEnd w:id="100"/>
      <w:bookmarkStart w:id="101" w:name="_Toc274669509"/>
      <w:bookmarkEnd w:id="101"/>
      <w:bookmarkStart w:id="102" w:name="_Toc275536921"/>
      <w:bookmarkEnd w:id="102"/>
      <w:bookmarkStart w:id="103" w:name="_Toc275541225"/>
      <w:bookmarkEnd w:id="103"/>
      <w:bookmarkStart w:id="104" w:name="_Toc275532623"/>
      <w:bookmarkEnd w:id="104"/>
      <w:bookmarkStart w:id="105" w:name="_Toc275536925"/>
      <w:bookmarkEnd w:id="105"/>
      <w:bookmarkStart w:id="106" w:name="_Toc275536915"/>
      <w:bookmarkEnd w:id="106"/>
      <w:bookmarkStart w:id="107" w:name="_Toc275541217"/>
      <w:bookmarkEnd w:id="107"/>
      <w:bookmarkStart w:id="108" w:name="_Toc275536936"/>
      <w:bookmarkEnd w:id="108"/>
      <w:bookmarkStart w:id="109" w:name="_Toc275532624"/>
      <w:bookmarkEnd w:id="109"/>
      <w:bookmarkStart w:id="110" w:name="_Toc274669518"/>
      <w:bookmarkEnd w:id="110"/>
      <w:bookmarkStart w:id="111" w:name="_Toc275786647"/>
      <w:bookmarkEnd w:id="111"/>
      <w:bookmarkStart w:id="112" w:name="_Toc275786660"/>
      <w:bookmarkEnd w:id="112"/>
      <w:bookmarkStart w:id="113" w:name="_Toc275541226"/>
      <w:bookmarkEnd w:id="113"/>
      <w:bookmarkStart w:id="114" w:name="_Toc275541220"/>
      <w:bookmarkEnd w:id="114"/>
      <w:bookmarkStart w:id="115" w:name="_Toc275541214"/>
      <w:bookmarkEnd w:id="115"/>
      <w:bookmarkStart w:id="116" w:name="_Toc275786651"/>
      <w:bookmarkEnd w:id="116"/>
      <w:bookmarkStart w:id="117" w:name="_Toc275532604"/>
      <w:bookmarkEnd w:id="117"/>
      <w:bookmarkStart w:id="118" w:name="_Toc274669522"/>
      <w:bookmarkEnd w:id="118"/>
      <w:bookmarkStart w:id="119" w:name="_Toc275541219"/>
      <w:bookmarkEnd w:id="119"/>
      <w:bookmarkStart w:id="120" w:name="_Toc275786663"/>
      <w:bookmarkEnd w:id="120"/>
      <w:bookmarkStart w:id="121" w:name="_Toc275536933"/>
      <w:bookmarkEnd w:id="121"/>
      <w:bookmarkStart w:id="122" w:name="_Toc275536922"/>
      <w:bookmarkEnd w:id="122"/>
      <w:bookmarkStart w:id="123" w:name="_Toc275532616"/>
      <w:bookmarkEnd w:id="123"/>
      <w:bookmarkStart w:id="124" w:name="_Toc275541216"/>
      <w:bookmarkEnd w:id="124"/>
      <w:bookmarkStart w:id="125" w:name="_Toc275536935"/>
      <w:bookmarkEnd w:id="125"/>
      <w:bookmarkStart w:id="126" w:name="_Toc274669510"/>
      <w:bookmarkEnd w:id="126"/>
      <w:bookmarkStart w:id="127" w:name="_Toc275536928"/>
      <w:bookmarkEnd w:id="127"/>
      <w:bookmarkStart w:id="128" w:name="_Toc274669517"/>
      <w:bookmarkEnd w:id="128"/>
      <w:bookmarkStart w:id="129" w:name="_Toc274669520"/>
      <w:bookmarkEnd w:id="129"/>
      <w:bookmarkStart w:id="130" w:name="_Toc275786649"/>
      <w:bookmarkEnd w:id="130"/>
      <w:bookmarkStart w:id="131" w:name="_Toc274669502"/>
      <w:bookmarkEnd w:id="131"/>
      <w:bookmarkStart w:id="132" w:name="_Toc275786657"/>
      <w:bookmarkEnd w:id="132"/>
      <w:bookmarkStart w:id="133" w:name="_Toc275532620"/>
      <w:bookmarkEnd w:id="133"/>
      <w:bookmarkStart w:id="134" w:name="_Toc274669513"/>
      <w:bookmarkEnd w:id="134"/>
      <w:bookmarkStart w:id="135" w:name="_Toc275541210"/>
      <w:bookmarkEnd w:id="135"/>
      <w:bookmarkStart w:id="136" w:name="_Toc275786661"/>
      <w:bookmarkEnd w:id="136"/>
      <w:bookmarkStart w:id="137" w:name="_Toc275541212"/>
      <w:bookmarkEnd w:id="137"/>
      <w:bookmarkStart w:id="138" w:name="_Toc275536924"/>
      <w:bookmarkEnd w:id="138"/>
      <w:bookmarkStart w:id="139" w:name="_Toc275532613"/>
      <w:bookmarkEnd w:id="139"/>
      <w:bookmarkStart w:id="140" w:name="_Toc275532615"/>
      <w:bookmarkEnd w:id="140"/>
      <w:bookmarkStart w:id="141" w:name="_Toc275536926"/>
      <w:bookmarkEnd w:id="141"/>
      <w:bookmarkStart w:id="142" w:name="_Toc275541213"/>
      <w:bookmarkEnd w:id="142"/>
      <w:bookmarkStart w:id="143" w:name="_Toc274669505"/>
      <w:bookmarkEnd w:id="143"/>
      <w:bookmarkStart w:id="144" w:name="_Toc275536931"/>
      <w:bookmarkEnd w:id="144"/>
      <w:bookmarkStart w:id="145" w:name="_Toc275786662"/>
      <w:bookmarkEnd w:id="145"/>
      <w:bookmarkStart w:id="146" w:name="_Toc275536919"/>
      <w:bookmarkEnd w:id="146"/>
      <w:bookmarkStart w:id="147" w:name="_Toc275541206"/>
      <w:bookmarkEnd w:id="147"/>
      <w:bookmarkStart w:id="148" w:name="_Toc275786656"/>
      <w:bookmarkEnd w:id="148"/>
      <w:bookmarkStart w:id="149" w:name="_Toc275786644"/>
      <w:bookmarkEnd w:id="149"/>
      <w:bookmarkStart w:id="150" w:name="_Toc275541211"/>
      <w:bookmarkEnd w:id="150"/>
      <w:bookmarkStart w:id="151" w:name="_Toc275786648"/>
      <w:bookmarkEnd w:id="151"/>
      <w:bookmarkStart w:id="152" w:name="_Toc275541207"/>
      <w:bookmarkEnd w:id="152"/>
      <w:bookmarkStart w:id="153" w:name="_Toc274669507"/>
      <w:bookmarkEnd w:id="153"/>
      <w:bookmarkStart w:id="154" w:name="_Toc275541224"/>
      <w:bookmarkEnd w:id="154"/>
      <w:bookmarkStart w:id="155" w:name="_Toc274669514"/>
      <w:bookmarkEnd w:id="155"/>
      <w:bookmarkStart w:id="156" w:name="_Toc275532608"/>
      <w:bookmarkEnd w:id="156"/>
      <w:bookmarkStart w:id="157" w:name="_Toc275786654"/>
      <w:bookmarkEnd w:id="157"/>
      <w:bookmarkStart w:id="158" w:name="_Toc275536918"/>
      <w:bookmarkEnd w:id="158"/>
      <w:bookmarkStart w:id="159" w:name="_Toc275541215"/>
      <w:bookmarkEnd w:id="159"/>
      <w:bookmarkStart w:id="160" w:name="_Toc275532609"/>
      <w:bookmarkEnd w:id="160"/>
      <w:bookmarkStart w:id="161" w:name="_Toc274669508"/>
      <w:bookmarkEnd w:id="161"/>
      <w:bookmarkStart w:id="162" w:name="_Toc275786665"/>
      <w:bookmarkEnd w:id="162"/>
      <w:bookmarkStart w:id="163" w:name="_Toc275541223"/>
      <w:bookmarkEnd w:id="163"/>
      <w:bookmarkStart w:id="164" w:name="_Toc275786645"/>
      <w:bookmarkEnd w:id="164"/>
      <w:bookmarkStart w:id="165" w:name="_Toc275786650"/>
      <w:bookmarkEnd w:id="165"/>
      <w:bookmarkStart w:id="166" w:name="_Toc275532610"/>
      <w:bookmarkEnd w:id="166"/>
      <w:bookmarkStart w:id="167" w:name="_Toc275786652"/>
      <w:bookmarkEnd w:id="167"/>
      <w:bookmarkStart w:id="168" w:name="_Toc275541218"/>
      <w:bookmarkEnd w:id="168"/>
      <w:bookmarkStart w:id="169" w:name="_Toc275541222"/>
      <w:bookmarkEnd w:id="169"/>
      <w:bookmarkStart w:id="170" w:name="_Toc275532611"/>
      <w:bookmarkEnd w:id="170"/>
      <w:bookmarkStart w:id="171" w:name="_Toc274669521"/>
      <w:bookmarkEnd w:id="171"/>
      <w:bookmarkStart w:id="172" w:name="_Toc274669515"/>
      <w:bookmarkEnd w:id="172"/>
      <w:bookmarkStart w:id="173" w:name="_Toc275536916"/>
      <w:bookmarkEnd w:id="173"/>
      <w:bookmarkStart w:id="174" w:name="_Toc275532614"/>
      <w:bookmarkEnd w:id="174"/>
      <w:bookmarkStart w:id="175" w:name="_Toc275536917"/>
      <w:bookmarkEnd w:id="175"/>
      <w:bookmarkStart w:id="176" w:name="_Toc274669506"/>
      <w:bookmarkEnd w:id="176"/>
      <w:bookmarkStart w:id="177" w:name="_Toc275786653"/>
      <w:bookmarkEnd w:id="177"/>
      <w:bookmarkStart w:id="178" w:name="_Toc274669512"/>
      <w:bookmarkEnd w:id="178"/>
      <w:bookmarkStart w:id="179" w:name="_Toc275532621"/>
      <w:bookmarkEnd w:id="179"/>
      <w:bookmarkStart w:id="180" w:name="_Toc275532606"/>
      <w:bookmarkEnd w:id="180"/>
      <w:bookmarkStart w:id="181" w:name="_Toc275786655"/>
      <w:bookmarkEnd w:id="181"/>
      <w:bookmarkStart w:id="182" w:name="_Toc275541208"/>
      <w:bookmarkEnd w:id="182"/>
      <w:bookmarkStart w:id="183" w:name="_Toc275786658"/>
      <w:bookmarkEnd w:id="183"/>
      <w:bookmarkStart w:id="184" w:name="_Toc275532617"/>
      <w:bookmarkEnd w:id="184"/>
      <w:bookmarkStart w:id="185" w:name="_Toc274669519"/>
      <w:bookmarkEnd w:id="185"/>
      <w:bookmarkStart w:id="186" w:name="_Toc275541227"/>
      <w:bookmarkEnd w:id="186"/>
      <w:bookmarkStart w:id="187" w:name="_Toc274669501"/>
      <w:bookmarkEnd w:id="187"/>
      <w:bookmarkStart w:id="188" w:name="_Toc275536927"/>
      <w:bookmarkEnd w:id="188"/>
      <w:bookmarkStart w:id="189" w:name="_Toc15439"/>
      <w:r>
        <w:rPr>
          <w:b/>
          <w:kern w:val="2"/>
          <w:sz w:val="28"/>
          <w:szCs w:val="28"/>
        </w:rPr>
        <w:t>1.6环境保护目标</w:t>
      </w:r>
      <w:bookmarkEnd w:id="189"/>
    </w:p>
    <w:p>
      <w:pPr>
        <w:pStyle w:val="82"/>
        <w:spacing w:before="0" w:beforeAutospacing="0" w:after="0" w:afterAutospacing="0" w:line="440" w:lineRule="exact"/>
        <w:ind w:firstLine="480" w:firstLineChars="200"/>
        <w:jc w:val="both"/>
        <w:rPr>
          <w:rFonts w:ascii="Times New Roman" w:hAnsi="Times New Roman" w:cs="Times New Roman"/>
          <w:bCs/>
          <w:kern w:val="2"/>
        </w:rPr>
      </w:pPr>
      <w:r>
        <w:rPr>
          <w:rFonts w:hint="eastAsia" w:ascii="Times New Roman" w:hAnsi="Times New Roman" w:cs="Times New Roman"/>
          <w:bCs/>
          <w:kern w:val="2"/>
        </w:rPr>
        <w:t>本项目主要</w:t>
      </w:r>
      <w:r>
        <w:rPr>
          <w:rFonts w:ascii="Times New Roman" w:hAnsi="Times New Roman" w:cs="Times New Roman"/>
          <w:bCs/>
          <w:kern w:val="2"/>
        </w:rPr>
        <w:t>环境保护</w:t>
      </w:r>
      <w:r>
        <w:rPr>
          <w:rFonts w:hint="eastAsia" w:ascii="Times New Roman" w:hAnsi="Times New Roman" w:cs="Times New Roman"/>
          <w:bCs/>
          <w:kern w:val="2"/>
        </w:rPr>
        <w:t>目标为周边</w:t>
      </w:r>
      <w:r>
        <w:rPr>
          <w:rFonts w:ascii="Times New Roman" w:hAnsi="Times New Roman" w:cs="Times New Roman"/>
          <w:bCs/>
          <w:kern w:val="2"/>
        </w:rPr>
        <w:t>村庄</w:t>
      </w:r>
      <w:r>
        <w:rPr>
          <w:rFonts w:hint="eastAsia" w:ascii="Times New Roman" w:hAnsi="Times New Roman" w:cs="Times New Roman"/>
          <w:bCs/>
          <w:kern w:val="2"/>
        </w:rPr>
        <w:t>、滹沱河、孤山水库及生态环境等</w:t>
      </w:r>
      <w:r>
        <w:rPr>
          <w:rFonts w:ascii="Times New Roman" w:hAnsi="Times New Roman" w:cs="Times New Roman"/>
          <w:bCs/>
          <w:kern w:val="2"/>
        </w:rPr>
        <w:t>。</w:t>
      </w:r>
      <w:r>
        <w:rPr>
          <w:rFonts w:hint="eastAsia" w:ascii="Times New Roman" w:hAnsi="Times New Roman" w:cs="Times New Roman"/>
          <w:bCs/>
          <w:kern w:val="2"/>
        </w:rPr>
        <w:t>项目</w:t>
      </w:r>
      <w:r>
        <w:rPr>
          <w:rFonts w:ascii="Times New Roman" w:hAnsi="Times New Roman" w:cs="Times New Roman"/>
          <w:bCs/>
          <w:kern w:val="2"/>
        </w:rPr>
        <w:t>主要</w:t>
      </w:r>
      <w:r>
        <w:rPr>
          <w:rFonts w:hint="eastAsia" w:ascii="Times New Roman" w:hAnsi="Times New Roman" w:cs="Times New Roman"/>
          <w:bCs/>
          <w:kern w:val="2"/>
        </w:rPr>
        <w:t>环境</w:t>
      </w:r>
      <w:r>
        <w:rPr>
          <w:rFonts w:ascii="Times New Roman" w:hAnsi="Times New Roman" w:cs="Times New Roman"/>
          <w:bCs/>
          <w:kern w:val="2"/>
        </w:rPr>
        <w:t>保护目标见表1.6-1和图1</w:t>
      </w:r>
      <w:r>
        <w:rPr>
          <w:rFonts w:hint="eastAsia" w:ascii="Times New Roman" w:hAnsi="Times New Roman" w:cs="Times New Roman"/>
          <w:bCs/>
          <w:kern w:val="2"/>
        </w:rPr>
        <w:t>-</w:t>
      </w:r>
      <w:r>
        <w:rPr>
          <w:rFonts w:ascii="Times New Roman" w:hAnsi="Times New Roman" w:cs="Times New Roman"/>
          <w:bCs/>
          <w:kern w:val="2"/>
        </w:rPr>
        <w:t>6-1。</w:t>
      </w:r>
    </w:p>
    <w:p>
      <w:pPr>
        <w:adjustRightInd w:val="0"/>
        <w:snapToGrid w:val="0"/>
        <w:spacing w:before="120" w:beforeLines="50"/>
        <w:jc w:val="center"/>
        <w:rPr>
          <w:rFonts w:ascii="黑体" w:hAnsi="黑体" w:eastAsia="黑体" w:cs="黑体"/>
          <w:sz w:val="21"/>
          <w:szCs w:val="21"/>
          <w:lang w:val="en-GB"/>
        </w:rPr>
      </w:pPr>
      <w:r>
        <w:rPr>
          <w:rFonts w:hint="eastAsia" w:ascii="黑体" w:hAnsi="黑体" w:eastAsia="黑体" w:cs="黑体"/>
          <w:sz w:val="21"/>
          <w:szCs w:val="21"/>
          <w:lang w:val="en-GB"/>
        </w:rPr>
        <w:t>表</w:t>
      </w:r>
      <w:r>
        <w:rPr>
          <w:rFonts w:eastAsia="黑体"/>
          <w:sz w:val="21"/>
          <w:szCs w:val="21"/>
          <w:lang w:val="en-GB"/>
        </w:rPr>
        <w:t>1.6-1</w:t>
      </w:r>
      <w:r>
        <w:rPr>
          <w:rFonts w:hint="eastAsia" w:ascii="黑体" w:hAnsi="黑体" w:eastAsia="黑体" w:cs="黑体"/>
          <w:sz w:val="21"/>
          <w:szCs w:val="21"/>
          <w:lang w:val="en-GB"/>
        </w:rPr>
        <w:t xml:space="preserve">  评价区主要环境保护目标</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636"/>
        <w:gridCol w:w="900"/>
        <w:gridCol w:w="1169"/>
        <w:gridCol w:w="1036"/>
        <w:gridCol w:w="638"/>
        <w:gridCol w:w="800"/>
        <w:gridCol w:w="667"/>
        <w:gridCol w:w="700"/>
        <w:gridCol w:w="666"/>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448" w:type="dxa"/>
            <w:vMerge w:val="restart"/>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序号</w:t>
            </w:r>
          </w:p>
        </w:tc>
        <w:tc>
          <w:tcPr>
            <w:tcW w:w="636" w:type="dxa"/>
            <w:vMerge w:val="restart"/>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敏感因素</w:t>
            </w:r>
          </w:p>
        </w:tc>
        <w:tc>
          <w:tcPr>
            <w:tcW w:w="900" w:type="dxa"/>
            <w:vMerge w:val="restart"/>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保护</w:t>
            </w:r>
          </w:p>
          <w:p>
            <w:pPr>
              <w:pStyle w:val="46"/>
              <w:spacing w:line="360" w:lineRule="atLeast"/>
              <w:jc w:val="center"/>
              <w:rPr>
                <w:rFonts w:ascii="Times New Roman" w:hAnsi="Times New Roman"/>
                <w:color w:val="000000"/>
                <w:szCs w:val="21"/>
              </w:rPr>
            </w:pPr>
            <w:r>
              <w:rPr>
                <w:rFonts w:ascii="Times New Roman" w:hAnsi="Times New Roman"/>
                <w:color w:val="000000"/>
                <w:szCs w:val="21"/>
              </w:rPr>
              <w:t>目标</w:t>
            </w:r>
          </w:p>
        </w:tc>
        <w:tc>
          <w:tcPr>
            <w:tcW w:w="2205" w:type="dxa"/>
            <w:gridSpan w:val="2"/>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坐标</w:t>
            </w:r>
          </w:p>
        </w:tc>
        <w:tc>
          <w:tcPr>
            <w:tcW w:w="638" w:type="dxa"/>
            <w:vMerge w:val="restart"/>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保护对象</w:t>
            </w:r>
          </w:p>
        </w:tc>
        <w:tc>
          <w:tcPr>
            <w:tcW w:w="800" w:type="dxa"/>
            <w:vMerge w:val="restart"/>
            <w:vAlign w:val="center"/>
          </w:tcPr>
          <w:p>
            <w:pPr>
              <w:pStyle w:val="46"/>
              <w:spacing w:line="360" w:lineRule="atLeas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人口</w:t>
            </w:r>
          </w:p>
        </w:tc>
        <w:tc>
          <w:tcPr>
            <w:tcW w:w="667" w:type="dxa"/>
            <w:vMerge w:val="restart"/>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环境功能区</w:t>
            </w:r>
          </w:p>
        </w:tc>
        <w:tc>
          <w:tcPr>
            <w:tcW w:w="1366" w:type="dxa"/>
            <w:gridSpan w:val="2"/>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与本项目</w:t>
            </w:r>
          </w:p>
        </w:tc>
        <w:tc>
          <w:tcPr>
            <w:tcW w:w="1400" w:type="dxa"/>
            <w:vMerge w:val="restart"/>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448" w:type="dxa"/>
            <w:vMerge w:val="continue"/>
            <w:vAlign w:val="center"/>
          </w:tcPr>
          <w:p>
            <w:pPr>
              <w:pStyle w:val="46"/>
              <w:spacing w:line="360" w:lineRule="atLeast"/>
              <w:jc w:val="center"/>
              <w:rPr>
                <w:rFonts w:ascii="Times New Roman" w:hAnsi="Times New Roman"/>
                <w:szCs w:val="21"/>
              </w:rPr>
            </w:pPr>
          </w:p>
        </w:tc>
        <w:tc>
          <w:tcPr>
            <w:tcW w:w="636" w:type="dxa"/>
            <w:vMerge w:val="continue"/>
            <w:vAlign w:val="center"/>
          </w:tcPr>
          <w:p>
            <w:pPr>
              <w:pStyle w:val="46"/>
              <w:spacing w:line="360" w:lineRule="atLeast"/>
              <w:jc w:val="center"/>
              <w:rPr>
                <w:rFonts w:ascii="Times New Roman" w:hAnsi="Times New Roman"/>
                <w:szCs w:val="21"/>
              </w:rPr>
            </w:pPr>
          </w:p>
        </w:tc>
        <w:tc>
          <w:tcPr>
            <w:tcW w:w="900" w:type="dxa"/>
            <w:vMerge w:val="continue"/>
            <w:vAlign w:val="center"/>
          </w:tcPr>
          <w:p>
            <w:pPr>
              <w:pStyle w:val="46"/>
              <w:spacing w:line="360" w:lineRule="atLeast"/>
              <w:jc w:val="center"/>
              <w:rPr>
                <w:rFonts w:ascii="Times New Roman" w:hAnsi="Times New Roman"/>
                <w:szCs w:val="21"/>
              </w:rPr>
            </w:pPr>
          </w:p>
        </w:tc>
        <w:tc>
          <w:tcPr>
            <w:tcW w:w="1169" w:type="dxa"/>
            <w:vAlign w:val="center"/>
          </w:tcPr>
          <w:p>
            <w:pPr>
              <w:pStyle w:val="46"/>
              <w:spacing w:line="360" w:lineRule="atLeast"/>
              <w:jc w:val="center"/>
              <w:rPr>
                <w:rFonts w:ascii="Times New Roman" w:hAnsi="Times New Roman"/>
                <w:szCs w:val="21"/>
              </w:rPr>
            </w:pPr>
            <w:r>
              <w:rPr>
                <w:rFonts w:ascii="Times New Roman" w:hAnsi="Times New Roman"/>
                <w:szCs w:val="21"/>
              </w:rPr>
              <w:t>经度</w:t>
            </w:r>
          </w:p>
        </w:tc>
        <w:tc>
          <w:tcPr>
            <w:tcW w:w="1036" w:type="dxa"/>
            <w:vAlign w:val="center"/>
          </w:tcPr>
          <w:p>
            <w:pPr>
              <w:pStyle w:val="46"/>
              <w:spacing w:line="360" w:lineRule="atLeast"/>
              <w:jc w:val="center"/>
              <w:rPr>
                <w:rFonts w:ascii="Times New Roman" w:hAnsi="Times New Roman"/>
                <w:szCs w:val="21"/>
              </w:rPr>
            </w:pPr>
            <w:r>
              <w:rPr>
                <w:rFonts w:ascii="Times New Roman" w:hAnsi="Times New Roman"/>
                <w:szCs w:val="21"/>
              </w:rPr>
              <w:t>纬度</w:t>
            </w:r>
          </w:p>
        </w:tc>
        <w:tc>
          <w:tcPr>
            <w:tcW w:w="638" w:type="dxa"/>
            <w:vMerge w:val="continue"/>
            <w:vAlign w:val="center"/>
          </w:tcPr>
          <w:p>
            <w:pPr>
              <w:pStyle w:val="46"/>
              <w:spacing w:line="360" w:lineRule="atLeast"/>
              <w:jc w:val="center"/>
              <w:rPr>
                <w:rFonts w:ascii="Times New Roman" w:hAnsi="Times New Roman"/>
                <w:szCs w:val="21"/>
              </w:rPr>
            </w:pPr>
          </w:p>
        </w:tc>
        <w:tc>
          <w:tcPr>
            <w:tcW w:w="800" w:type="dxa"/>
            <w:vMerge w:val="continue"/>
            <w:vAlign w:val="center"/>
          </w:tcPr>
          <w:p>
            <w:pPr>
              <w:pStyle w:val="46"/>
              <w:spacing w:line="360" w:lineRule="atLeast"/>
              <w:jc w:val="center"/>
              <w:rPr>
                <w:rFonts w:ascii="Times New Roman" w:hAnsi="Times New Roman"/>
                <w:szCs w:val="21"/>
              </w:rPr>
            </w:pPr>
          </w:p>
        </w:tc>
        <w:tc>
          <w:tcPr>
            <w:tcW w:w="667" w:type="dxa"/>
            <w:vMerge w:val="continue"/>
            <w:vAlign w:val="center"/>
          </w:tcPr>
          <w:p>
            <w:pPr>
              <w:pStyle w:val="46"/>
              <w:spacing w:line="360" w:lineRule="atLeast"/>
              <w:jc w:val="center"/>
              <w:rPr>
                <w:rFonts w:ascii="Times New Roman" w:hAnsi="Times New Roman"/>
                <w:szCs w:val="21"/>
              </w:rPr>
            </w:pPr>
          </w:p>
        </w:tc>
        <w:tc>
          <w:tcPr>
            <w:tcW w:w="700" w:type="dxa"/>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相对</w:t>
            </w:r>
          </w:p>
          <w:p>
            <w:pPr>
              <w:pStyle w:val="46"/>
              <w:spacing w:line="360" w:lineRule="atLeast"/>
              <w:jc w:val="center"/>
              <w:rPr>
                <w:rFonts w:ascii="Times New Roman" w:hAnsi="Times New Roman"/>
                <w:color w:val="000000"/>
                <w:szCs w:val="21"/>
              </w:rPr>
            </w:pPr>
            <w:r>
              <w:rPr>
                <w:rFonts w:ascii="Times New Roman" w:hAnsi="Times New Roman"/>
                <w:color w:val="000000"/>
                <w:szCs w:val="21"/>
              </w:rPr>
              <w:t>方位</w:t>
            </w:r>
          </w:p>
        </w:tc>
        <w:tc>
          <w:tcPr>
            <w:tcW w:w="666" w:type="dxa"/>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相对距离</w:t>
            </w:r>
            <w:r>
              <w:rPr>
                <w:rFonts w:hint="eastAsia" w:ascii="Times New Roman" w:hAnsi="Times New Roman"/>
                <w:color w:val="000000"/>
                <w:szCs w:val="21"/>
              </w:rPr>
              <w:t>(</w:t>
            </w:r>
            <w:r>
              <w:rPr>
                <w:rFonts w:ascii="Times New Roman" w:hAnsi="Times New Roman"/>
                <w:color w:val="000000"/>
                <w:szCs w:val="21"/>
              </w:rPr>
              <w:t>m</w:t>
            </w:r>
            <w:r>
              <w:rPr>
                <w:rFonts w:hint="eastAsia" w:ascii="Times New Roman" w:hAnsi="Times New Roman"/>
                <w:color w:val="000000"/>
                <w:szCs w:val="21"/>
              </w:rPr>
              <w:t>)</w:t>
            </w:r>
          </w:p>
        </w:tc>
        <w:tc>
          <w:tcPr>
            <w:tcW w:w="1400" w:type="dxa"/>
            <w:vMerge w:val="continue"/>
            <w:vAlign w:val="center"/>
          </w:tcPr>
          <w:p>
            <w:pPr>
              <w:pStyle w:val="46"/>
              <w:spacing w:line="360" w:lineRule="atLeast"/>
              <w:jc w:val="center"/>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48" w:type="dxa"/>
            <w:vMerge w:val="restart"/>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1</w:t>
            </w:r>
          </w:p>
        </w:tc>
        <w:tc>
          <w:tcPr>
            <w:tcW w:w="636" w:type="dxa"/>
            <w:vMerge w:val="restart"/>
            <w:vAlign w:val="center"/>
          </w:tcPr>
          <w:p>
            <w:pPr>
              <w:pStyle w:val="46"/>
              <w:spacing w:line="360" w:lineRule="atLeast"/>
              <w:jc w:val="center"/>
              <w:rPr>
                <w:rFonts w:ascii="Times New Roman" w:hAnsi="Times New Roman"/>
                <w:szCs w:val="21"/>
              </w:rPr>
            </w:pPr>
            <w:r>
              <w:rPr>
                <w:rFonts w:ascii="Times New Roman" w:hAnsi="Times New Roman"/>
                <w:szCs w:val="21"/>
              </w:rPr>
              <w:t>环境空气</w:t>
            </w:r>
          </w:p>
        </w:tc>
        <w:tc>
          <w:tcPr>
            <w:tcW w:w="900" w:type="dxa"/>
            <w:vAlign w:val="center"/>
          </w:tcPr>
          <w:p>
            <w:pPr>
              <w:pStyle w:val="357"/>
              <w:spacing w:line="360" w:lineRule="atLeast"/>
              <w:rPr>
                <w:szCs w:val="18"/>
              </w:rPr>
            </w:pPr>
            <w:r>
              <w:rPr>
                <w:rFonts w:hint="eastAsia"/>
                <w:color w:val="auto"/>
              </w:rPr>
              <w:t>横涧乡</w:t>
            </w:r>
          </w:p>
        </w:tc>
        <w:tc>
          <w:tcPr>
            <w:tcW w:w="1169" w:type="dxa"/>
            <w:vAlign w:val="center"/>
          </w:tcPr>
          <w:p>
            <w:pPr>
              <w:pStyle w:val="364"/>
              <w:spacing w:line="360" w:lineRule="atLeast"/>
              <w:ind w:left="-72" w:leftChars="-30" w:right="-72" w:rightChars="-30" w:firstLine="0" w:firstLineChars="0"/>
              <w:jc w:val="center"/>
              <w:rPr>
                <w:sz w:val="21"/>
                <w:szCs w:val="18"/>
              </w:rPr>
            </w:pPr>
            <w:r>
              <w:rPr>
                <w:rFonts w:hint="eastAsia"/>
                <w:sz w:val="21"/>
                <w:szCs w:val="18"/>
              </w:rPr>
              <w:t>113.87488</w:t>
            </w:r>
          </w:p>
        </w:tc>
        <w:tc>
          <w:tcPr>
            <w:tcW w:w="1036" w:type="dxa"/>
            <w:vAlign w:val="center"/>
          </w:tcPr>
          <w:p>
            <w:pPr>
              <w:spacing w:line="360" w:lineRule="atLeast"/>
              <w:jc w:val="center"/>
              <w:rPr>
                <w:bCs/>
                <w:sz w:val="21"/>
              </w:rPr>
            </w:pPr>
            <w:r>
              <w:rPr>
                <w:rFonts w:hint="eastAsia"/>
                <w:bCs/>
                <w:sz w:val="21"/>
              </w:rPr>
              <w:t>39.27654</w:t>
            </w:r>
          </w:p>
        </w:tc>
        <w:tc>
          <w:tcPr>
            <w:tcW w:w="638" w:type="dxa"/>
            <w:vAlign w:val="center"/>
          </w:tcPr>
          <w:p>
            <w:pPr>
              <w:pStyle w:val="346"/>
              <w:spacing w:line="360" w:lineRule="atLeast"/>
              <w:rPr>
                <w:rFonts w:ascii="Times New Roman"/>
                <w:szCs w:val="21"/>
              </w:rPr>
            </w:pPr>
            <w:r>
              <w:rPr>
                <w:rFonts w:ascii="Times New Roman"/>
                <w:szCs w:val="21"/>
              </w:rPr>
              <w:t>居民</w:t>
            </w:r>
          </w:p>
        </w:tc>
        <w:tc>
          <w:tcPr>
            <w:tcW w:w="800" w:type="dxa"/>
            <w:vAlign w:val="center"/>
          </w:tcPr>
          <w:p>
            <w:pPr>
              <w:pStyle w:val="346"/>
              <w:spacing w:line="360" w:lineRule="atLeast"/>
              <w:rPr>
                <w:rFonts w:hint="default" w:ascii="Times New Roman" w:eastAsia="宋体"/>
                <w:szCs w:val="21"/>
                <w:lang w:val="en-US" w:eastAsia="zh-CN"/>
              </w:rPr>
            </w:pPr>
            <w:r>
              <w:rPr>
                <w:rFonts w:hint="eastAsia" w:ascii="Times New Roman" w:eastAsia="宋体"/>
                <w:szCs w:val="21"/>
                <w:lang w:val="en-US" w:eastAsia="zh-CN"/>
              </w:rPr>
              <w:t>12831</w:t>
            </w:r>
          </w:p>
        </w:tc>
        <w:tc>
          <w:tcPr>
            <w:tcW w:w="667" w:type="dxa"/>
            <w:vAlign w:val="center"/>
          </w:tcPr>
          <w:p>
            <w:pPr>
              <w:pStyle w:val="346"/>
              <w:spacing w:line="360" w:lineRule="atLeast"/>
              <w:rPr>
                <w:rFonts w:ascii="Times New Roman"/>
                <w:szCs w:val="21"/>
              </w:rPr>
            </w:pPr>
            <w:r>
              <w:rPr>
                <w:rFonts w:ascii="Times New Roman"/>
                <w:szCs w:val="21"/>
              </w:rPr>
              <w:t>二类区</w:t>
            </w:r>
          </w:p>
        </w:tc>
        <w:tc>
          <w:tcPr>
            <w:tcW w:w="700" w:type="dxa"/>
            <w:vAlign w:val="center"/>
          </w:tcPr>
          <w:p>
            <w:pPr>
              <w:pStyle w:val="346"/>
              <w:spacing w:line="360" w:lineRule="atLeast"/>
              <w:rPr>
                <w:rFonts w:ascii="Times New Roman" w:eastAsia="宋体"/>
                <w:szCs w:val="21"/>
              </w:rPr>
            </w:pPr>
            <w:r>
              <w:rPr>
                <w:rFonts w:hint="eastAsia" w:ascii="Times New Roman" w:eastAsia="宋体"/>
                <w:szCs w:val="21"/>
              </w:rPr>
              <w:t>SE</w:t>
            </w:r>
          </w:p>
        </w:tc>
        <w:tc>
          <w:tcPr>
            <w:tcW w:w="666" w:type="dxa"/>
            <w:vAlign w:val="center"/>
          </w:tcPr>
          <w:p>
            <w:pPr>
              <w:pStyle w:val="346"/>
              <w:spacing w:line="360" w:lineRule="atLeast"/>
              <w:rPr>
                <w:rFonts w:ascii="Times New Roman" w:eastAsia="宋体"/>
                <w:szCs w:val="21"/>
              </w:rPr>
            </w:pPr>
            <w:r>
              <w:rPr>
                <w:rFonts w:hint="eastAsia" w:ascii="Times New Roman" w:eastAsia="宋体"/>
                <w:szCs w:val="21"/>
              </w:rPr>
              <w:t>1262</w:t>
            </w:r>
          </w:p>
        </w:tc>
        <w:tc>
          <w:tcPr>
            <w:tcW w:w="1400" w:type="dxa"/>
            <w:vMerge w:val="restart"/>
            <w:vAlign w:val="center"/>
          </w:tcPr>
          <w:p>
            <w:pPr>
              <w:pStyle w:val="46"/>
              <w:spacing w:line="360" w:lineRule="atLeast"/>
              <w:rPr>
                <w:rFonts w:ascii="Times New Roman" w:hAnsi="Times New Roman"/>
                <w:color w:val="000000"/>
                <w:szCs w:val="21"/>
              </w:rPr>
            </w:pPr>
            <w:r>
              <w:rPr>
                <w:rFonts w:ascii="Times New Roman" w:hAnsi="Times New Roman"/>
                <w:color w:val="000000"/>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48" w:type="dxa"/>
            <w:vMerge w:val="continue"/>
            <w:vAlign w:val="center"/>
          </w:tcPr>
          <w:p>
            <w:pPr>
              <w:pStyle w:val="46"/>
              <w:spacing w:line="360" w:lineRule="atLeast"/>
              <w:jc w:val="center"/>
              <w:rPr>
                <w:rFonts w:ascii="Times New Roman" w:hAnsi="Times New Roman"/>
                <w:color w:val="000000"/>
                <w:szCs w:val="21"/>
              </w:rPr>
            </w:pPr>
          </w:p>
        </w:tc>
        <w:tc>
          <w:tcPr>
            <w:tcW w:w="636" w:type="dxa"/>
            <w:vMerge w:val="continue"/>
            <w:vAlign w:val="center"/>
          </w:tcPr>
          <w:p>
            <w:pPr>
              <w:pStyle w:val="46"/>
              <w:spacing w:line="360" w:lineRule="atLeast"/>
              <w:jc w:val="center"/>
              <w:rPr>
                <w:rFonts w:ascii="Times New Roman" w:hAnsi="Times New Roman"/>
                <w:szCs w:val="21"/>
              </w:rPr>
            </w:pPr>
          </w:p>
        </w:tc>
        <w:tc>
          <w:tcPr>
            <w:tcW w:w="900" w:type="dxa"/>
            <w:vAlign w:val="center"/>
          </w:tcPr>
          <w:p>
            <w:pPr>
              <w:pStyle w:val="357"/>
              <w:spacing w:line="360" w:lineRule="atLeast"/>
              <w:rPr>
                <w:szCs w:val="18"/>
              </w:rPr>
            </w:pPr>
            <w:r>
              <w:rPr>
                <w:rFonts w:hint="eastAsia"/>
                <w:color w:val="auto"/>
              </w:rPr>
              <w:t>前所村</w:t>
            </w:r>
          </w:p>
        </w:tc>
        <w:tc>
          <w:tcPr>
            <w:tcW w:w="1169" w:type="dxa"/>
            <w:vAlign w:val="center"/>
          </w:tcPr>
          <w:p>
            <w:pPr>
              <w:spacing w:line="360" w:lineRule="atLeast"/>
              <w:jc w:val="center"/>
              <w:rPr>
                <w:bCs/>
                <w:sz w:val="21"/>
              </w:rPr>
            </w:pPr>
            <w:r>
              <w:rPr>
                <w:rFonts w:hint="eastAsia"/>
                <w:bCs/>
                <w:sz w:val="21"/>
              </w:rPr>
              <w:t>113.85926</w:t>
            </w:r>
          </w:p>
        </w:tc>
        <w:tc>
          <w:tcPr>
            <w:tcW w:w="1036" w:type="dxa"/>
            <w:vAlign w:val="center"/>
          </w:tcPr>
          <w:p>
            <w:pPr>
              <w:spacing w:line="360" w:lineRule="atLeast"/>
              <w:jc w:val="center"/>
              <w:rPr>
                <w:bCs/>
                <w:sz w:val="21"/>
              </w:rPr>
            </w:pPr>
            <w:r>
              <w:rPr>
                <w:rFonts w:hint="eastAsia"/>
                <w:bCs/>
                <w:sz w:val="21"/>
              </w:rPr>
              <w:t>39.27716</w:t>
            </w:r>
          </w:p>
        </w:tc>
        <w:tc>
          <w:tcPr>
            <w:tcW w:w="638" w:type="dxa"/>
            <w:vAlign w:val="center"/>
          </w:tcPr>
          <w:p>
            <w:pPr>
              <w:pStyle w:val="346"/>
              <w:spacing w:line="360" w:lineRule="atLeast"/>
              <w:rPr>
                <w:rFonts w:ascii="Times New Roman"/>
                <w:szCs w:val="21"/>
              </w:rPr>
            </w:pPr>
            <w:r>
              <w:rPr>
                <w:rFonts w:ascii="Times New Roman"/>
                <w:szCs w:val="21"/>
              </w:rPr>
              <w:t>居民</w:t>
            </w:r>
          </w:p>
        </w:tc>
        <w:tc>
          <w:tcPr>
            <w:tcW w:w="800" w:type="dxa"/>
            <w:vAlign w:val="center"/>
          </w:tcPr>
          <w:p>
            <w:pPr>
              <w:pStyle w:val="346"/>
              <w:spacing w:line="360" w:lineRule="atLeast"/>
              <w:rPr>
                <w:rFonts w:hint="default" w:ascii="Times New Roman" w:eastAsia="宋体"/>
                <w:szCs w:val="21"/>
                <w:lang w:val="en-US" w:eastAsia="zh-CN"/>
              </w:rPr>
            </w:pPr>
            <w:r>
              <w:rPr>
                <w:rFonts w:hint="eastAsia" w:ascii="Times New Roman" w:eastAsia="宋体"/>
                <w:szCs w:val="21"/>
                <w:lang w:val="en-US" w:eastAsia="zh-CN"/>
              </w:rPr>
              <w:t>2780</w:t>
            </w:r>
          </w:p>
        </w:tc>
        <w:tc>
          <w:tcPr>
            <w:tcW w:w="667" w:type="dxa"/>
            <w:vAlign w:val="center"/>
          </w:tcPr>
          <w:p>
            <w:pPr>
              <w:pStyle w:val="346"/>
              <w:spacing w:line="360" w:lineRule="atLeast"/>
              <w:rPr>
                <w:rFonts w:ascii="Times New Roman"/>
                <w:szCs w:val="21"/>
              </w:rPr>
            </w:pPr>
            <w:r>
              <w:rPr>
                <w:rFonts w:ascii="Times New Roman"/>
                <w:szCs w:val="21"/>
              </w:rPr>
              <w:t>二类区</w:t>
            </w:r>
          </w:p>
        </w:tc>
        <w:tc>
          <w:tcPr>
            <w:tcW w:w="700" w:type="dxa"/>
            <w:vAlign w:val="center"/>
          </w:tcPr>
          <w:p>
            <w:pPr>
              <w:pStyle w:val="346"/>
              <w:spacing w:line="360" w:lineRule="atLeast"/>
              <w:rPr>
                <w:rFonts w:ascii="Times New Roman" w:eastAsia="宋体"/>
                <w:szCs w:val="21"/>
              </w:rPr>
            </w:pPr>
            <w:r>
              <w:rPr>
                <w:rFonts w:hint="eastAsia" w:ascii="Times New Roman" w:eastAsia="宋体"/>
                <w:szCs w:val="21"/>
              </w:rPr>
              <w:t>SW</w:t>
            </w:r>
          </w:p>
        </w:tc>
        <w:tc>
          <w:tcPr>
            <w:tcW w:w="666" w:type="dxa"/>
            <w:vAlign w:val="center"/>
          </w:tcPr>
          <w:p>
            <w:pPr>
              <w:pStyle w:val="346"/>
              <w:spacing w:line="360" w:lineRule="atLeast"/>
              <w:rPr>
                <w:rFonts w:ascii="Times New Roman" w:eastAsia="宋体"/>
                <w:szCs w:val="21"/>
              </w:rPr>
            </w:pPr>
            <w:r>
              <w:rPr>
                <w:rFonts w:ascii="Times New Roman"/>
                <w:szCs w:val="21"/>
              </w:rPr>
              <w:t>9</w:t>
            </w:r>
            <w:r>
              <w:rPr>
                <w:rFonts w:hint="eastAsia" w:ascii="Times New Roman" w:eastAsia="宋体"/>
                <w:szCs w:val="21"/>
              </w:rPr>
              <w:t>30</w:t>
            </w:r>
          </w:p>
        </w:tc>
        <w:tc>
          <w:tcPr>
            <w:tcW w:w="1400" w:type="dxa"/>
            <w:vMerge w:val="continue"/>
            <w:vAlign w:val="center"/>
          </w:tcPr>
          <w:p>
            <w:pPr>
              <w:pStyle w:val="46"/>
              <w:spacing w:line="360" w:lineRule="atLeast"/>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48" w:type="dxa"/>
            <w:vMerge w:val="continue"/>
            <w:vAlign w:val="center"/>
          </w:tcPr>
          <w:p>
            <w:pPr>
              <w:pStyle w:val="46"/>
              <w:spacing w:line="360" w:lineRule="atLeast"/>
              <w:jc w:val="center"/>
              <w:rPr>
                <w:rFonts w:ascii="Times New Roman" w:hAnsi="Times New Roman"/>
                <w:color w:val="000000"/>
                <w:szCs w:val="21"/>
              </w:rPr>
            </w:pPr>
          </w:p>
        </w:tc>
        <w:tc>
          <w:tcPr>
            <w:tcW w:w="636" w:type="dxa"/>
            <w:vMerge w:val="continue"/>
            <w:vAlign w:val="center"/>
          </w:tcPr>
          <w:p>
            <w:pPr>
              <w:pStyle w:val="46"/>
              <w:spacing w:line="360" w:lineRule="atLeast"/>
              <w:jc w:val="center"/>
              <w:rPr>
                <w:rFonts w:ascii="Times New Roman" w:hAnsi="Times New Roman"/>
                <w:szCs w:val="21"/>
              </w:rPr>
            </w:pPr>
          </w:p>
        </w:tc>
        <w:tc>
          <w:tcPr>
            <w:tcW w:w="900" w:type="dxa"/>
            <w:vAlign w:val="center"/>
          </w:tcPr>
          <w:p>
            <w:pPr>
              <w:pStyle w:val="357"/>
              <w:spacing w:line="360" w:lineRule="atLeast"/>
              <w:rPr>
                <w:szCs w:val="18"/>
              </w:rPr>
            </w:pPr>
            <w:r>
              <w:rPr>
                <w:rFonts w:hint="eastAsia" w:eastAsiaTheme="minorEastAsia"/>
                <w:color w:val="auto"/>
              </w:rPr>
              <w:t>孤山铺</w:t>
            </w:r>
          </w:p>
        </w:tc>
        <w:tc>
          <w:tcPr>
            <w:tcW w:w="1169" w:type="dxa"/>
            <w:vAlign w:val="center"/>
          </w:tcPr>
          <w:p>
            <w:pPr>
              <w:spacing w:line="360" w:lineRule="atLeast"/>
              <w:jc w:val="center"/>
              <w:rPr>
                <w:bCs/>
                <w:sz w:val="21"/>
              </w:rPr>
            </w:pPr>
            <w:r>
              <w:rPr>
                <w:rFonts w:hint="eastAsia"/>
                <w:bCs/>
                <w:sz w:val="21"/>
              </w:rPr>
              <w:t>113.84359</w:t>
            </w:r>
          </w:p>
        </w:tc>
        <w:tc>
          <w:tcPr>
            <w:tcW w:w="1036" w:type="dxa"/>
            <w:vAlign w:val="center"/>
          </w:tcPr>
          <w:p>
            <w:pPr>
              <w:spacing w:line="360" w:lineRule="atLeast"/>
              <w:jc w:val="center"/>
              <w:rPr>
                <w:bCs/>
                <w:sz w:val="21"/>
              </w:rPr>
            </w:pPr>
            <w:r>
              <w:rPr>
                <w:rFonts w:hint="eastAsia"/>
                <w:bCs/>
                <w:sz w:val="21"/>
              </w:rPr>
              <w:t>39.28001</w:t>
            </w:r>
          </w:p>
        </w:tc>
        <w:tc>
          <w:tcPr>
            <w:tcW w:w="638" w:type="dxa"/>
            <w:vAlign w:val="center"/>
          </w:tcPr>
          <w:p>
            <w:pPr>
              <w:pStyle w:val="346"/>
              <w:spacing w:line="360" w:lineRule="atLeast"/>
              <w:rPr>
                <w:rFonts w:ascii="Times New Roman"/>
                <w:szCs w:val="21"/>
              </w:rPr>
            </w:pPr>
            <w:r>
              <w:rPr>
                <w:rFonts w:ascii="Times New Roman"/>
                <w:szCs w:val="21"/>
              </w:rPr>
              <w:t>居民</w:t>
            </w:r>
          </w:p>
        </w:tc>
        <w:tc>
          <w:tcPr>
            <w:tcW w:w="800" w:type="dxa"/>
            <w:vAlign w:val="center"/>
          </w:tcPr>
          <w:p>
            <w:pPr>
              <w:pStyle w:val="346"/>
              <w:spacing w:line="360" w:lineRule="atLeast"/>
              <w:rPr>
                <w:rFonts w:hint="default" w:ascii="Times New Roman" w:eastAsia="宋体"/>
                <w:szCs w:val="21"/>
                <w:lang w:val="en-US" w:eastAsia="zh-CN"/>
              </w:rPr>
            </w:pPr>
            <w:r>
              <w:rPr>
                <w:rFonts w:hint="eastAsia" w:ascii="Times New Roman" w:eastAsia="宋体"/>
                <w:szCs w:val="21"/>
                <w:lang w:val="en-US" w:eastAsia="zh-CN"/>
              </w:rPr>
              <w:t>204</w:t>
            </w:r>
          </w:p>
        </w:tc>
        <w:tc>
          <w:tcPr>
            <w:tcW w:w="667" w:type="dxa"/>
            <w:vAlign w:val="center"/>
          </w:tcPr>
          <w:p>
            <w:pPr>
              <w:pStyle w:val="346"/>
              <w:spacing w:line="360" w:lineRule="atLeast"/>
              <w:rPr>
                <w:rFonts w:ascii="Times New Roman"/>
                <w:szCs w:val="21"/>
              </w:rPr>
            </w:pPr>
            <w:r>
              <w:rPr>
                <w:rFonts w:ascii="Times New Roman"/>
                <w:szCs w:val="21"/>
              </w:rPr>
              <w:t>二类区</w:t>
            </w:r>
          </w:p>
        </w:tc>
        <w:tc>
          <w:tcPr>
            <w:tcW w:w="700" w:type="dxa"/>
            <w:vAlign w:val="center"/>
          </w:tcPr>
          <w:p>
            <w:pPr>
              <w:pStyle w:val="346"/>
              <w:spacing w:line="360" w:lineRule="atLeast"/>
              <w:rPr>
                <w:rFonts w:ascii="Times New Roman" w:eastAsia="宋体"/>
                <w:szCs w:val="21"/>
              </w:rPr>
            </w:pPr>
            <w:r>
              <w:rPr>
                <w:rFonts w:hint="eastAsia" w:ascii="Times New Roman" w:eastAsia="宋体"/>
                <w:szCs w:val="21"/>
              </w:rPr>
              <w:t>SW</w:t>
            </w:r>
          </w:p>
        </w:tc>
        <w:tc>
          <w:tcPr>
            <w:tcW w:w="666" w:type="dxa"/>
            <w:vAlign w:val="center"/>
          </w:tcPr>
          <w:p>
            <w:pPr>
              <w:pStyle w:val="346"/>
              <w:spacing w:line="360" w:lineRule="atLeast"/>
              <w:rPr>
                <w:rFonts w:ascii="Times New Roman" w:eastAsia="宋体"/>
                <w:szCs w:val="21"/>
              </w:rPr>
            </w:pPr>
            <w:r>
              <w:rPr>
                <w:rFonts w:ascii="Times New Roman"/>
                <w:szCs w:val="21"/>
              </w:rPr>
              <w:t>1</w:t>
            </w:r>
            <w:r>
              <w:rPr>
                <w:rFonts w:hint="eastAsia" w:ascii="Times New Roman" w:eastAsia="宋体"/>
                <w:szCs w:val="21"/>
              </w:rPr>
              <w:t>748</w:t>
            </w:r>
          </w:p>
        </w:tc>
        <w:tc>
          <w:tcPr>
            <w:tcW w:w="1400" w:type="dxa"/>
            <w:vMerge w:val="continue"/>
            <w:vAlign w:val="center"/>
          </w:tcPr>
          <w:p>
            <w:pPr>
              <w:pStyle w:val="46"/>
              <w:spacing w:line="360" w:lineRule="atLeast"/>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48" w:type="dxa"/>
            <w:vMerge w:val="continue"/>
            <w:vAlign w:val="center"/>
          </w:tcPr>
          <w:p>
            <w:pPr>
              <w:pStyle w:val="46"/>
              <w:spacing w:line="360" w:lineRule="atLeast"/>
              <w:jc w:val="center"/>
              <w:rPr>
                <w:rFonts w:ascii="Times New Roman" w:hAnsi="Times New Roman"/>
                <w:color w:val="000000"/>
                <w:szCs w:val="21"/>
              </w:rPr>
            </w:pPr>
          </w:p>
        </w:tc>
        <w:tc>
          <w:tcPr>
            <w:tcW w:w="636" w:type="dxa"/>
            <w:vMerge w:val="continue"/>
            <w:vAlign w:val="center"/>
          </w:tcPr>
          <w:p>
            <w:pPr>
              <w:pStyle w:val="46"/>
              <w:spacing w:line="360" w:lineRule="atLeast"/>
              <w:jc w:val="center"/>
              <w:rPr>
                <w:rFonts w:ascii="Times New Roman" w:hAnsi="Times New Roman"/>
                <w:szCs w:val="21"/>
              </w:rPr>
            </w:pPr>
          </w:p>
        </w:tc>
        <w:tc>
          <w:tcPr>
            <w:tcW w:w="900" w:type="dxa"/>
            <w:vAlign w:val="center"/>
          </w:tcPr>
          <w:p>
            <w:pPr>
              <w:pStyle w:val="357"/>
              <w:spacing w:line="360" w:lineRule="atLeast"/>
              <w:rPr>
                <w:szCs w:val="18"/>
              </w:rPr>
            </w:pPr>
            <w:r>
              <w:rPr>
                <w:rFonts w:hint="eastAsia" w:eastAsiaTheme="minorEastAsia"/>
                <w:color w:val="auto"/>
              </w:rPr>
              <w:t>磨峪沟</w:t>
            </w:r>
          </w:p>
        </w:tc>
        <w:tc>
          <w:tcPr>
            <w:tcW w:w="1169" w:type="dxa"/>
            <w:vAlign w:val="center"/>
          </w:tcPr>
          <w:p>
            <w:pPr>
              <w:spacing w:line="360" w:lineRule="atLeast"/>
              <w:jc w:val="center"/>
              <w:rPr>
                <w:bCs/>
                <w:sz w:val="21"/>
              </w:rPr>
            </w:pPr>
            <w:r>
              <w:rPr>
                <w:rFonts w:hint="eastAsia"/>
                <w:bCs/>
                <w:sz w:val="21"/>
              </w:rPr>
              <w:t>113.85196</w:t>
            </w:r>
          </w:p>
        </w:tc>
        <w:tc>
          <w:tcPr>
            <w:tcW w:w="1036" w:type="dxa"/>
            <w:vAlign w:val="center"/>
          </w:tcPr>
          <w:p>
            <w:pPr>
              <w:spacing w:line="360" w:lineRule="atLeast"/>
              <w:jc w:val="center"/>
              <w:rPr>
                <w:bCs/>
                <w:sz w:val="21"/>
              </w:rPr>
            </w:pPr>
            <w:r>
              <w:rPr>
                <w:rFonts w:hint="eastAsia"/>
                <w:bCs/>
                <w:sz w:val="21"/>
              </w:rPr>
              <w:t>39.29857</w:t>
            </w:r>
          </w:p>
        </w:tc>
        <w:tc>
          <w:tcPr>
            <w:tcW w:w="638" w:type="dxa"/>
            <w:vAlign w:val="center"/>
          </w:tcPr>
          <w:p>
            <w:pPr>
              <w:pStyle w:val="346"/>
              <w:spacing w:line="360" w:lineRule="atLeast"/>
              <w:rPr>
                <w:rFonts w:ascii="Times New Roman"/>
                <w:szCs w:val="21"/>
              </w:rPr>
            </w:pPr>
            <w:r>
              <w:rPr>
                <w:rFonts w:ascii="Times New Roman"/>
                <w:szCs w:val="21"/>
              </w:rPr>
              <w:t>居民</w:t>
            </w:r>
          </w:p>
        </w:tc>
        <w:tc>
          <w:tcPr>
            <w:tcW w:w="800" w:type="dxa"/>
            <w:vAlign w:val="center"/>
          </w:tcPr>
          <w:p>
            <w:pPr>
              <w:pStyle w:val="346"/>
              <w:spacing w:line="360" w:lineRule="atLeast"/>
              <w:rPr>
                <w:rFonts w:hint="default" w:ascii="Times New Roman" w:eastAsia="宋体"/>
                <w:szCs w:val="21"/>
                <w:lang w:val="en-US" w:eastAsia="zh-CN"/>
              </w:rPr>
            </w:pPr>
            <w:r>
              <w:rPr>
                <w:rFonts w:hint="eastAsia" w:ascii="Times New Roman" w:eastAsia="宋体"/>
                <w:szCs w:val="21"/>
                <w:lang w:val="en-US" w:eastAsia="zh-CN"/>
              </w:rPr>
              <w:t>171</w:t>
            </w:r>
          </w:p>
        </w:tc>
        <w:tc>
          <w:tcPr>
            <w:tcW w:w="667" w:type="dxa"/>
            <w:vAlign w:val="center"/>
          </w:tcPr>
          <w:p>
            <w:pPr>
              <w:pStyle w:val="346"/>
              <w:spacing w:line="360" w:lineRule="atLeast"/>
              <w:rPr>
                <w:rFonts w:ascii="Times New Roman"/>
                <w:szCs w:val="21"/>
              </w:rPr>
            </w:pPr>
            <w:r>
              <w:rPr>
                <w:rFonts w:ascii="Times New Roman"/>
                <w:szCs w:val="21"/>
              </w:rPr>
              <w:t>二类区</w:t>
            </w:r>
          </w:p>
        </w:tc>
        <w:tc>
          <w:tcPr>
            <w:tcW w:w="700" w:type="dxa"/>
            <w:vAlign w:val="center"/>
          </w:tcPr>
          <w:p>
            <w:pPr>
              <w:pStyle w:val="346"/>
              <w:spacing w:line="360" w:lineRule="atLeast"/>
              <w:rPr>
                <w:rFonts w:ascii="Times New Roman" w:eastAsia="宋体"/>
                <w:szCs w:val="21"/>
              </w:rPr>
            </w:pPr>
            <w:r>
              <w:rPr>
                <w:rFonts w:hint="eastAsia" w:ascii="Times New Roman" w:eastAsia="宋体"/>
                <w:szCs w:val="21"/>
              </w:rPr>
              <w:t>NW</w:t>
            </w:r>
          </w:p>
        </w:tc>
        <w:tc>
          <w:tcPr>
            <w:tcW w:w="666" w:type="dxa"/>
            <w:vAlign w:val="center"/>
          </w:tcPr>
          <w:p>
            <w:pPr>
              <w:pStyle w:val="346"/>
              <w:spacing w:line="360" w:lineRule="atLeast"/>
              <w:rPr>
                <w:rFonts w:ascii="Times New Roman" w:eastAsia="宋体"/>
                <w:szCs w:val="21"/>
              </w:rPr>
            </w:pPr>
            <w:r>
              <w:rPr>
                <w:rFonts w:ascii="Times New Roman"/>
                <w:szCs w:val="21"/>
              </w:rPr>
              <w:t>1</w:t>
            </w:r>
            <w:r>
              <w:rPr>
                <w:rFonts w:hint="eastAsia" w:ascii="Times New Roman" w:eastAsia="宋体"/>
                <w:szCs w:val="21"/>
              </w:rPr>
              <w:t>614</w:t>
            </w:r>
          </w:p>
        </w:tc>
        <w:tc>
          <w:tcPr>
            <w:tcW w:w="1400" w:type="dxa"/>
            <w:vMerge w:val="continue"/>
            <w:vAlign w:val="center"/>
          </w:tcPr>
          <w:p>
            <w:pPr>
              <w:pStyle w:val="46"/>
              <w:spacing w:line="360" w:lineRule="atLeast"/>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448" w:type="dxa"/>
            <w:vMerge w:val="restart"/>
            <w:vAlign w:val="center"/>
          </w:tcPr>
          <w:p>
            <w:pPr>
              <w:pStyle w:val="46"/>
              <w:spacing w:line="360" w:lineRule="atLeast"/>
              <w:jc w:val="center"/>
              <w:rPr>
                <w:rFonts w:ascii="Times New Roman" w:hAnsi="Times New Roman"/>
                <w:color w:val="000000"/>
                <w:szCs w:val="21"/>
              </w:rPr>
            </w:pPr>
            <w:r>
              <w:rPr>
                <w:rFonts w:ascii="Times New Roman" w:hAnsi="Times New Roman"/>
                <w:color w:val="000000"/>
                <w:szCs w:val="21"/>
              </w:rPr>
              <w:t>2</w:t>
            </w:r>
          </w:p>
        </w:tc>
        <w:tc>
          <w:tcPr>
            <w:tcW w:w="636" w:type="dxa"/>
            <w:vMerge w:val="restart"/>
            <w:vAlign w:val="center"/>
          </w:tcPr>
          <w:p>
            <w:pPr>
              <w:pStyle w:val="46"/>
              <w:spacing w:line="360" w:lineRule="atLeast"/>
              <w:jc w:val="center"/>
              <w:rPr>
                <w:rFonts w:ascii="Times New Roman" w:hAnsi="Times New Roman"/>
                <w:szCs w:val="21"/>
              </w:rPr>
            </w:pPr>
            <w:r>
              <w:rPr>
                <w:rFonts w:ascii="Times New Roman" w:hAnsi="Times New Roman"/>
                <w:szCs w:val="21"/>
              </w:rPr>
              <w:t>地表水</w:t>
            </w:r>
          </w:p>
        </w:tc>
        <w:tc>
          <w:tcPr>
            <w:tcW w:w="5210" w:type="dxa"/>
            <w:gridSpan w:val="6"/>
            <w:vAlign w:val="center"/>
          </w:tcPr>
          <w:p>
            <w:pPr>
              <w:pStyle w:val="364"/>
              <w:spacing w:line="360" w:lineRule="atLeast"/>
              <w:ind w:left="-72" w:leftChars="-30" w:right="-72" w:rightChars="-30" w:firstLine="0" w:firstLineChars="0"/>
              <w:jc w:val="center"/>
              <w:rPr>
                <w:sz w:val="21"/>
              </w:rPr>
            </w:pPr>
            <w:r>
              <w:rPr>
                <w:rFonts w:hint="eastAsia"/>
                <w:sz w:val="21"/>
                <w:szCs w:val="18"/>
              </w:rPr>
              <w:t>滹沱河</w:t>
            </w:r>
          </w:p>
        </w:tc>
        <w:tc>
          <w:tcPr>
            <w:tcW w:w="700" w:type="dxa"/>
            <w:vAlign w:val="center"/>
          </w:tcPr>
          <w:p>
            <w:pPr>
              <w:spacing w:line="360" w:lineRule="atLeast"/>
              <w:jc w:val="center"/>
              <w:rPr>
                <w:sz w:val="21"/>
              </w:rPr>
            </w:pPr>
            <w:r>
              <w:rPr>
                <w:sz w:val="21"/>
                <w:szCs w:val="18"/>
              </w:rPr>
              <w:t>S</w:t>
            </w:r>
            <w:r>
              <w:rPr>
                <w:rFonts w:hint="eastAsia"/>
                <w:sz w:val="21"/>
                <w:szCs w:val="18"/>
              </w:rPr>
              <w:t>E</w:t>
            </w:r>
          </w:p>
        </w:tc>
        <w:tc>
          <w:tcPr>
            <w:tcW w:w="666" w:type="dxa"/>
            <w:vAlign w:val="center"/>
          </w:tcPr>
          <w:p>
            <w:pPr>
              <w:spacing w:line="360" w:lineRule="atLeast"/>
              <w:jc w:val="center"/>
              <w:rPr>
                <w:sz w:val="21"/>
              </w:rPr>
            </w:pPr>
            <w:r>
              <w:rPr>
                <w:rFonts w:hint="eastAsia"/>
                <w:sz w:val="21"/>
                <w:szCs w:val="18"/>
              </w:rPr>
              <w:t>1100</w:t>
            </w:r>
          </w:p>
        </w:tc>
        <w:tc>
          <w:tcPr>
            <w:tcW w:w="1400" w:type="dxa"/>
            <w:vMerge w:val="restart"/>
            <w:vAlign w:val="center"/>
          </w:tcPr>
          <w:p>
            <w:pPr>
              <w:pStyle w:val="46"/>
              <w:spacing w:line="360" w:lineRule="atLeast"/>
              <w:rPr>
                <w:rFonts w:ascii="Times New Roman" w:hAnsi="Times New Roman"/>
                <w:color w:val="000000"/>
                <w:szCs w:val="21"/>
              </w:rPr>
            </w:pPr>
            <w:r>
              <w:rPr>
                <w:rFonts w:ascii="Times New Roman" w:hAnsi="Times New Roman"/>
                <w:color w:val="000000"/>
                <w:szCs w:val="21"/>
              </w:rPr>
              <w:t>《地表水环境质量标准》(GB3838-2002)</w:t>
            </w:r>
            <w:r>
              <w:rPr>
                <w:rFonts w:hint="eastAsia" w:ascii="宋体" w:hAnsi="宋体" w:eastAsia="宋体" w:cs="宋体"/>
                <w:color w:val="000000"/>
                <w:szCs w:val="21"/>
              </w:rPr>
              <w:t>Ⅲ</w:t>
            </w:r>
            <w:r>
              <w:rPr>
                <w:rFonts w:ascii="Times New Roman" w:hAnsi="Times New Roman"/>
                <w:color w:val="000000"/>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448" w:type="dxa"/>
            <w:vMerge w:val="continue"/>
            <w:vAlign w:val="center"/>
          </w:tcPr>
          <w:p>
            <w:pPr>
              <w:spacing w:line="360" w:lineRule="atLeast"/>
              <w:jc w:val="center"/>
            </w:pPr>
          </w:p>
        </w:tc>
        <w:tc>
          <w:tcPr>
            <w:tcW w:w="636" w:type="dxa"/>
            <w:vMerge w:val="continue"/>
            <w:vAlign w:val="center"/>
          </w:tcPr>
          <w:p>
            <w:pPr>
              <w:spacing w:line="360" w:lineRule="atLeast"/>
              <w:jc w:val="center"/>
            </w:pPr>
          </w:p>
        </w:tc>
        <w:tc>
          <w:tcPr>
            <w:tcW w:w="5210" w:type="dxa"/>
            <w:gridSpan w:val="6"/>
            <w:vAlign w:val="center"/>
          </w:tcPr>
          <w:p>
            <w:pPr>
              <w:spacing w:line="360" w:lineRule="atLeast"/>
              <w:jc w:val="center"/>
              <w:rPr>
                <w:rFonts w:hint="eastAsia" w:eastAsia="宋体"/>
                <w:sz w:val="21"/>
                <w:szCs w:val="18"/>
                <w:lang w:eastAsia="zh-CN"/>
              </w:rPr>
            </w:pPr>
            <w:r>
              <w:rPr>
                <w:rFonts w:hint="eastAsia"/>
                <w:sz w:val="21"/>
                <w:szCs w:val="18"/>
                <w:lang w:eastAsia="zh-CN"/>
              </w:rPr>
              <w:t>孤山水库</w:t>
            </w:r>
          </w:p>
        </w:tc>
        <w:tc>
          <w:tcPr>
            <w:tcW w:w="700" w:type="dxa"/>
            <w:vAlign w:val="center"/>
          </w:tcPr>
          <w:p>
            <w:pPr>
              <w:spacing w:line="360" w:lineRule="atLeast"/>
              <w:jc w:val="center"/>
              <w:rPr>
                <w:rFonts w:hint="default" w:eastAsia="宋体"/>
                <w:sz w:val="21"/>
                <w:szCs w:val="18"/>
                <w:lang w:val="en-US" w:eastAsia="zh-CN"/>
              </w:rPr>
            </w:pPr>
            <w:r>
              <w:rPr>
                <w:rFonts w:hint="eastAsia"/>
                <w:sz w:val="21"/>
                <w:szCs w:val="18"/>
                <w:lang w:val="en-US" w:eastAsia="zh-CN"/>
              </w:rPr>
              <w:t>SW</w:t>
            </w:r>
          </w:p>
        </w:tc>
        <w:tc>
          <w:tcPr>
            <w:tcW w:w="666" w:type="dxa"/>
            <w:vAlign w:val="center"/>
          </w:tcPr>
          <w:p>
            <w:pPr>
              <w:spacing w:line="360" w:lineRule="atLeast"/>
              <w:jc w:val="center"/>
              <w:rPr>
                <w:rFonts w:hint="default" w:eastAsia="宋体"/>
                <w:sz w:val="21"/>
                <w:szCs w:val="18"/>
                <w:lang w:val="en-US" w:eastAsia="zh-CN"/>
              </w:rPr>
            </w:pPr>
            <w:r>
              <w:rPr>
                <w:rFonts w:hint="eastAsia"/>
                <w:sz w:val="21"/>
                <w:szCs w:val="18"/>
                <w:lang w:val="en-US" w:eastAsia="zh-CN"/>
              </w:rPr>
              <w:t>3120</w:t>
            </w:r>
          </w:p>
        </w:tc>
        <w:tc>
          <w:tcPr>
            <w:tcW w:w="1400" w:type="dxa"/>
            <w:vMerge w:val="continue"/>
            <w:vAlign w:val="center"/>
          </w:tcPr>
          <w:p>
            <w:pPr>
              <w:spacing w:line="360" w:lineRule="atLeast"/>
              <w:jc w:val="center"/>
              <w:rPr>
                <w:rFonts w:hint="eastAsia"/>
                <w:sz w:val="2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48" w:type="dxa"/>
            <w:vAlign w:val="center"/>
          </w:tcPr>
          <w:p>
            <w:pPr>
              <w:spacing w:line="360" w:lineRule="atLeast"/>
              <w:jc w:val="center"/>
              <w:rPr>
                <w:color w:val="000000"/>
                <w:sz w:val="21"/>
              </w:rPr>
            </w:pPr>
            <w:r>
              <w:rPr>
                <w:color w:val="000000"/>
                <w:sz w:val="21"/>
              </w:rPr>
              <w:t>3</w:t>
            </w:r>
          </w:p>
        </w:tc>
        <w:tc>
          <w:tcPr>
            <w:tcW w:w="636" w:type="dxa"/>
            <w:vAlign w:val="center"/>
          </w:tcPr>
          <w:p>
            <w:pPr>
              <w:spacing w:line="360" w:lineRule="atLeast"/>
              <w:jc w:val="center"/>
              <w:rPr>
                <w:sz w:val="21"/>
              </w:rPr>
            </w:pPr>
            <w:r>
              <w:rPr>
                <w:sz w:val="21"/>
              </w:rPr>
              <w:t>地下水环境</w:t>
            </w:r>
          </w:p>
        </w:tc>
        <w:tc>
          <w:tcPr>
            <w:tcW w:w="5210" w:type="dxa"/>
            <w:gridSpan w:val="6"/>
            <w:vAlign w:val="center"/>
          </w:tcPr>
          <w:p>
            <w:pPr>
              <w:pStyle w:val="346"/>
              <w:spacing w:line="360" w:lineRule="atLeast"/>
              <w:rPr>
                <w:rFonts w:ascii="Times New Roman" w:eastAsia="宋体"/>
                <w:szCs w:val="21"/>
              </w:rPr>
            </w:pPr>
            <w:r>
              <w:rPr>
                <w:rFonts w:hint="eastAsia" w:ascii="Times New Roman"/>
                <w:szCs w:val="21"/>
              </w:rPr>
              <w:t>横涧乡水源地</w:t>
            </w:r>
            <w:r>
              <w:rPr>
                <w:rFonts w:ascii="Times New Roman"/>
                <w:szCs w:val="21"/>
              </w:rPr>
              <w:t>一级保护区</w:t>
            </w:r>
          </w:p>
        </w:tc>
        <w:tc>
          <w:tcPr>
            <w:tcW w:w="700" w:type="dxa"/>
            <w:vAlign w:val="center"/>
          </w:tcPr>
          <w:p>
            <w:pPr>
              <w:pStyle w:val="346"/>
              <w:spacing w:line="360" w:lineRule="atLeast"/>
              <w:rPr>
                <w:rFonts w:ascii="Times New Roman" w:eastAsia="宋体"/>
                <w:szCs w:val="21"/>
              </w:rPr>
            </w:pPr>
            <w:r>
              <w:rPr>
                <w:rFonts w:ascii="Times New Roman"/>
                <w:szCs w:val="21"/>
              </w:rPr>
              <w:t>S</w:t>
            </w:r>
            <w:r>
              <w:rPr>
                <w:rFonts w:hint="eastAsia" w:ascii="Times New Roman"/>
                <w:szCs w:val="21"/>
              </w:rPr>
              <w:t>E</w:t>
            </w:r>
          </w:p>
        </w:tc>
        <w:tc>
          <w:tcPr>
            <w:tcW w:w="666" w:type="dxa"/>
            <w:vAlign w:val="center"/>
          </w:tcPr>
          <w:p>
            <w:pPr>
              <w:pStyle w:val="346"/>
              <w:spacing w:line="360" w:lineRule="atLeast"/>
              <w:rPr>
                <w:rFonts w:ascii="Times New Roman"/>
                <w:szCs w:val="21"/>
              </w:rPr>
            </w:pPr>
            <w:r>
              <w:rPr>
                <w:rFonts w:hint="eastAsia" w:ascii="Times New Roman"/>
                <w:szCs w:val="21"/>
              </w:rPr>
              <w:t>128</w:t>
            </w:r>
            <w:r>
              <w:rPr>
                <w:rFonts w:ascii="Times New Roman"/>
                <w:szCs w:val="21"/>
              </w:rPr>
              <w:t>0</w:t>
            </w:r>
          </w:p>
        </w:tc>
        <w:tc>
          <w:tcPr>
            <w:tcW w:w="1400" w:type="dxa"/>
            <w:vAlign w:val="center"/>
          </w:tcPr>
          <w:p>
            <w:pPr>
              <w:tabs>
                <w:tab w:val="left" w:pos="3495"/>
              </w:tabs>
              <w:spacing w:line="360" w:lineRule="atLeast"/>
              <w:rPr>
                <w:color w:val="000000"/>
                <w:sz w:val="21"/>
              </w:rPr>
            </w:pPr>
            <w:r>
              <w:rPr>
                <w:color w:val="000000"/>
                <w:sz w:val="21"/>
              </w:rPr>
              <w:t>《地下水质量标准》（GB/T14848-2017）Ⅲ类标准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48" w:type="dxa"/>
            <w:vAlign w:val="center"/>
          </w:tcPr>
          <w:p>
            <w:pPr>
              <w:spacing w:line="360" w:lineRule="atLeast"/>
              <w:jc w:val="center"/>
              <w:rPr>
                <w:color w:val="000000"/>
                <w:sz w:val="21"/>
              </w:rPr>
            </w:pPr>
            <w:r>
              <w:rPr>
                <w:color w:val="000000"/>
                <w:sz w:val="21"/>
              </w:rPr>
              <w:t>4</w:t>
            </w:r>
          </w:p>
        </w:tc>
        <w:tc>
          <w:tcPr>
            <w:tcW w:w="636" w:type="dxa"/>
            <w:vAlign w:val="center"/>
          </w:tcPr>
          <w:p>
            <w:pPr>
              <w:spacing w:line="360" w:lineRule="atLeast"/>
              <w:jc w:val="center"/>
              <w:rPr>
                <w:sz w:val="21"/>
              </w:rPr>
            </w:pPr>
            <w:r>
              <w:rPr>
                <w:sz w:val="21"/>
              </w:rPr>
              <w:t>声环境</w:t>
            </w:r>
          </w:p>
        </w:tc>
        <w:tc>
          <w:tcPr>
            <w:tcW w:w="6576" w:type="dxa"/>
            <w:gridSpan w:val="8"/>
            <w:vAlign w:val="center"/>
          </w:tcPr>
          <w:p>
            <w:pPr>
              <w:pStyle w:val="346"/>
              <w:spacing w:line="360" w:lineRule="atLeast"/>
              <w:rPr>
                <w:rFonts w:ascii="Times New Roman"/>
                <w:szCs w:val="21"/>
              </w:rPr>
            </w:pPr>
            <w:r>
              <w:rPr>
                <w:rFonts w:hint="eastAsia" w:ascii="Times New Roman" w:eastAsia="宋体"/>
                <w:szCs w:val="21"/>
              </w:rPr>
              <w:t>矿</w:t>
            </w:r>
            <w:r>
              <w:rPr>
                <w:rFonts w:ascii="Times New Roman"/>
                <w:szCs w:val="21"/>
              </w:rPr>
              <w:t>界四周200m范围</w:t>
            </w:r>
          </w:p>
        </w:tc>
        <w:tc>
          <w:tcPr>
            <w:tcW w:w="1400" w:type="dxa"/>
            <w:vAlign w:val="center"/>
          </w:tcPr>
          <w:p>
            <w:pPr>
              <w:tabs>
                <w:tab w:val="left" w:pos="3495"/>
              </w:tabs>
              <w:spacing w:line="360" w:lineRule="atLeast"/>
              <w:rPr>
                <w:sz w:val="21"/>
                <w:szCs w:val="18"/>
              </w:rPr>
            </w:pPr>
            <w:r>
              <w:rPr>
                <w:sz w:val="21"/>
                <w:szCs w:val="18"/>
              </w:rPr>
              <w:t>《声环境质量标准》(GB3096-2008)中</w:t>
            </w:r>
            <w:r>
              <w:rPr>
                <w:rFonts w:hint="eastAsia"/>
                <w:sz w:val="21"/>
                <w:szCs w:val="18"/>
                <w:lang w:val="en-US" w:eastAsia="zh-CN"/>
              </w:rPr>
              <w:t>1</w:t>
            </w:r>
            <w:r>
              <w:rPr>
                <w:sz w:val="21"/>
                <w:szCs w:val="18"/>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dxa"/>
            <w:vAlign w:val="center"/>
          </w:tcPr>
          <w:p>
            <w:pPr>
              <w:spacing w:line="360" w:lineRule="atLeast"/>
              <w:jc w:val="center"/>
              <w:rPr>
                <w:color w:val="000000"/>
                <w:sz w:val="21"/>
              </w:rPr>
            </w:pPr>
            <w:r>
              <w:rPr>
                <w:rFonts w:hint="eastAsia"/>
                <w:color w:val="000000"/>
                <w:sz w:val="21"/>
              </w:rPr>
              <w:t>5</w:t>
            </w:r>
          </w:p>
        </w:tc>
        <w:tc>
          <w:tcPr>
            <w:tcW w:w="636" w:type="dxa"/>
            <w:vAlign w:val="center"/>
          </w:tcPr>
          <w:p>
            <w:pPr>
              <w:spacing w:line="360" w:lineRule="atLeast"/>
              <w:jc w:val="center"/>
              <w:rPr>
                <w:bCs/>
                <w:sz w:val="21"/>
              </w:rPr>
            </w:pPr>
            <w:r>
              <w:rPr>
                <w:bCs/>
                <w:sz w:val="21"/>
              </w:rPr>
              <w:t>生态环境</w:t>
            </w:r>
          </w:p>
        </w:tc>
        <w:tc>
          <w:tcPr>
            <w:tcW w:w="6576" w:type="dxa"/>
            <w:gridSpan w:val="8"/>
            <w:vAlign w:val="center"/>
          </w:tcPr>
          <w:p>
            <w:pPr>
              <w:tabs>
                <w:tab w:val="left" w:pos="3495"/>
              </w:tabs>
              <w:spacing w:line="360" w:lineRule="atLeast"/>
              <w:jc w:val="center"/>
              <w:rPr>
                <w:color w:val="000000"/>
                <w:sz w:val="21"/>
              </w:rPr>
            </w:pPr>
            <w:r>
              <w:rPr>
                <w:rFonts w:hint="eastAsia"/>
                <w:color w:val="000000"/>
                <w:sz w:val="21"/>
                <w:lang w:eastAsia="zh-CN"/>
              </w:rPr>
              <w:t>矿区占地范围及</w:t>
            </w:r>
            <w:r>
              <w:rPr>
                <w:color w:val="000000"/>
                <w:sz w:val="21"/>
              </w:rPr>
              <w:t>周边植被</w:t>
            </w:r>
            <w:r>
              <w:rPr>
                <w:rFonts w:hint="eastAsia"/>
                <w:color w:val="000000"/>
                <w:sz w:val="21"/>
              </w:rPr>
              <w:t>和土壤</w:t>
            </w:r>
          </w:p>
        </w:tc>
        <w:tc>
          <w:tcPr>
            <w:tcW w:w="1400" w:type="dxa"/>
            <w:vAlign w:val="center"/>
          </w:tcPr>
          <w:p>
            <w:pPr>
              <w:tabs>
                <w:tab w:val="left" w:pos="3495"/>
              </w:tabs>
              <w:spacing w:line="360" w:lineRule="atLeast"/>
              <w:jc w:val="center"/>
              <w:rPr>
                <w:color w:val="000000"/>
                <w:sz w:val="21"/>
              </w:rPr>
            </w:pPr>
            <w:r>
              <w:rPr>
                <w:color w:val="000000"/>
                <w:sz w:val="21"/>
              </w:rPr>
              <w:t>尽量减轻影响</w:t>
            </w:r>
          </w:p>
        </w:tc>
      </w:tr>
    </w:tbl>
    <w:p>
      <w:pPr>
        <w:jc w:val="center"/>
        <w:rPr>
          <w:rFonts w:hint="eastAsia" w:eastAsia="宋体"/>
          <w:lang w:eastAsia="zh-CN"/>
        </w:rPr>
      </w:pPr>
      <w:r>
        <w:rPr>
          <w:rFonts w:hint="eastAsia" w:eastAsia="宋体"/>
          <w:lang w:eastAsia="zh-CN"/>
        </w:rPr>
        <w:drawing>
          <wp:inline distT="0" distB="0" distL="114300" distR="114300">
            <wp:extent cx="5752465" cy="8136890"/>
            <wp:effectExtent l="0" t="0" r="635" b="16510"/>
            <wp:docPr id="6" name="图片 6" descr="图1-6-1 地理位置及环保目标图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1-6-1 地理位置及环保目标图新"/>
                    <pic:cNvPicPr>
                      <a:picLocks noChangeAspect="1"/>
                    </pic:cNvPicPr>
                  </pic:nvPicPr>
                  <pic:blipFill>
                    <a:blip r:embed="rId28"/>
                    <a:stretch>
                      <a:fillRect/>
                    </a:stretch>
                  </pic:blipFill>
                  <pic:spPr>
                    <a:xfrm>
                      <a:off x="0" y="0"/>
                      <a:ext cx="5752465" cy="8136890"/>
                    </a:xfrm>
                    <a:prstGeom prst="rect">
                      <a:avLst/>
                    </a:prstGeom>
                  </pic:spPr>
                </pic:pic>
              </a:graphicData>
            </a:graphic>
          </wp:inline>
        </w:drawing>
      </w:r>
    </w:p>
    <w:p>
      <w:pPr>
        <w:jc w:val="center"/>
        <w:sectPr>
          <w:headerReference r:id="rId9" w:type="default"/>
          <w:footerReference r:id="rId10" w:type="default"/>
          <w:pgSz w:w="11906" w:h="16838"/>
          <w:pgMar w:top="1247" w:right="1418" w:bottom="1247" w:left="1418" w:header="850" w:footer="850" w:gutter="0"/>
          <w:cols w:space="425" w:num="1"/>
          <w:docGrid w:linePitch="326" w:charSpace="0"/>
        </w:sectPr>
      </w:pPr>
    </w:p>
    <w:p>
      <w:pPr>
        <w:widowControl w:val="0"/>
        <w:adjustRightInd w:val="0"/>
        <w:snapToGrid w:val="0"/>
        <w:spacing w:before="240" w:beforeLines="100" w:after="240" w:afterLines="100"/>
        <w:jc w:val="center"/>
        <w:outlineLvl w:val="0"/>
        <w:rPr>
          <w:rFonts w:eastAsia="黑体"/>
          <w:b/>
          <w:kern w:val="2"/>
          <w:sz w:val="44"/>
          <w:szCs w:val="44"/>
        </w:rPr>
      </w:pPr>
      <w:bookmarkStart w:id="190" w:name="_Toc245721985"/>
      <w:bookmarkStart w:id="191" w:name="_Toc399150361"/>
      <w:bookmarkStart w:id="192" w:name="_Toc23270"/>
      <w:bookmarkStart w:id="193" w:name="_Toc395801207"/>
      <w:bookmarkStart w:id="194" w:name="_Toc396395412"/>
      <w:bookmarkStart w:id="195" w:name="_Toc81006365"/>
      <w:bookmarkStart w:id="196" w:name="_Toc81007105"/>
      <w:r>
        <w:rPr>
          <w:rFonts w:eastAsia="黑体"/>
          <w:b/>
          <w:kern w:val="2"/>
          <w:sz w:val="44"/>
          <w:szCs w:val="44"/>
        </w:rPr>
        <w:t xml:space="preserve">第二章  </w:t>
      </w:r>
      <w:bookmarkEnd w:id="190"/>
      <w:r>
        <w:rPr>
          <w:rFonts w:eastAsia="黑体"/>
          <w:b/>
          <w:kern w:val="2"/>
          <w:sz w:val="44"/>
          <w:szCs w:val="44"/>
        </w:rPr>
        <w:t>项目概况及工程分析</w:t>
      </w:r>
      <w:bookmarkEnd w:id="191"/>
      <w:bookmarkEnd w:id="192"/>
      <w:bookmarkEnd w:id="193"/>
      <w:bookmarkEnd w:id="194"/>
    </w:p>
    <w:p>
      <w:pPr>
        <w:widowControl w:val="0"/>
        <w:adjustRightInd w:val="0"/>
        <w:snapToGrid w:val="0"/>
        <w:spacing w:before="120" w:beforeLines="50" w:after="120" w:afterLines="50"/>
        <w:jc w:val="both"/>
        <w:outlineLvl w:val="1"/>
        <w:rPr>
          <w:b/>
          <w:kern w:val="2"/>
          <w:sz w:val="28"/>
          <w:szCs w:val="28"/>
        </w:rPr>
      </w:pPr>
      <w:bookmarkStart w:id="197" w:name="_Toc203275097"/>
      <w:bookmarkStart w:id="198" w:name="_Toc203275172"/>
      <w:bookmarkStart w:id="199" w:name="_Toc202665154"/>
      <w:bookmarkStart w:id="200" w:name="_Toc245721986"/>
      <w:bookmarkStart w:id="201" w:name="_Toc396395413"/>
      <w:bookmarkStart w:id="202" w:name="_Toc399150362"/>
      <w:bookmarkStart w:id="203" w:name="_Toc13200"/>
      <w:bookmarkStart w:id="204" w:name="_Toc395801208"/>
      <w:r>
        <w:rPr>
          <w:b/>
          <w:kern w:val="2"/>
          <w:sz w:val="28"/>
          <w:szCs w:val="28"/>
        </w:rPr>
        <w:t>2.1</w:t>
      </w:r>
      <w:bookmarkEnd w:id="197"/>
      <w:bookmarkEnd w:id="198"/>
      <w:bookmarkEnd w:id="199"/>
      <w:bookmarkEnd w:id="200"/>
      <w:r>
        <w:rPr>
          <w:b/>
          <w:kern w:val="2"/>
          <w:sz w:val="28"/>
          <w:szCs w:val="28"/>
        </w:rPr>
        <w:t>现</w:t>
      </w:r>
      <w:r>
        <w:rPr>
          <w:rFonts w:hint="eastAsia"/>
          <w:b/>
          <w:kern w:val="2"/>
          <w:sz w:val="28"/>
          <w:szCs w:val="28"/>
        </w:rPr>
        <w:t>目</w:t>
      </w:r>
      <w:r>
        <w:rPr>
          <w:b/>
          <w:kern w:val="2"/>
          <w:sz w:val="28"/>
          <w:szCs w:val="28"/>
        </w:rPr>
        <w:t>概况</w:t>
      </w:r>
      <w:bookmarkEnd w:id="201"/>
      <w:bookmarkEnd w:id="202"/>
      <w:bookmarkEnd w:id="203"/>
      <w:bookmarkEnd w:id="204"/>
    </w:p>
    <w:p>
      <w:pPr>
        <w:pStyle w:val="361"/>
        <w:spacing w:line="440" w:lineRule="exact"/>
        <w:ind w:firstLine="482"/>
        <w:rPr>
          <w:rFonts w:eastAsia="宋体"/>
        </w:rPr>
      </w:pPr>
      <w:r>
        <w:rPr>
          <w:rFonts w:hint="eastAsia" w:eastAsia="宋体"/>
        </w:rPr>
        <w:t>1）</w:t>
      </w:r>
      <w:r>
        <w:rPr>
          <w:rFonts w:eastAsia="宋体"/>
        </w:rPr>
        <w:t>项目名称：</w:t>
      </w:r>
      <w:bookmarkStart w:id="205" w:name="_Hlk520286821"/>
      <w:r>
        <w:rPr>
          <w:rFonts w:hint="eastAsia" w:eastAsia="宋体"/>
        </w:rPr>
        <w:t>繁峙县东胜砖厂年开采1.5万m</w:t>
      </w:r>
      <w:r>
        <w:rPr>
          <w:rFonts w:hint="eastAsia" w:eastAsia="宋体"/>
          <w:vertAlign w:val="superscript"/>
        </w:rPr>
        <w:t>3</w:t>
      </w:r>
      <w:r>
        <w:rPr>
          <w:rFonts w:hint="eastAsia" w:eastAsia="宋体"/>
        </w:rPr>
        <w:t>砖瓦用粘土矿建设项目</w:t>
      </w:r>
    </w:p>
    <w:bookmarkEnd w:id="205"/>
    <w:p>
      <w:pPr>
        <w:pStyle w:val="361"/>
        <w:spacing w:line="440" w:lineRule="exact"/>
        <w:ind w:firstLine="482"/>
        <w:rPr>
          <w:rFonts w:eastAsia="宋体"/>
        </w:rPr>
      </w:pPr>
      <w:r>
        <w:rPr>
          <w:rFonts w:hint="eastAsia" w:eastAsia="宋体"/>
        </w:rPr>
        <w:t>2）</w:t>
      </w:r>
      <w:r>
        <w:rPr>
          <w:rFonts w:eastAsia="宋体"/>
        </w:rPr>
        <w:t>建设单位：</w:t>
      </w:r>
      <w:r>
        <w:rPr>
          <w:rFonts w:hint="eastAsia" w:eastAsia="宋体"/>
        </w:rPr>
        <w:t>繁峙县东胜砖厂</w:t>
      </w:r>
    </w:p>
    <w:p>
      <w:pPr>
        <w:spacing w:line="440" w:lineRule="exact"/>
        <w:ind w:firstLine="480" w:firstLineChars="200"/>
        <w:jc w:val="both"/>
        <w:rPr>
          <w:iCs/>
          <w:szCs w:val="18"/>
        </w:rPr>
      </w:pPr>
      <w:r>
        <w:rPr>
          <w:rFonts w:hint="eastAsia"/>
          <w:iCs/>
          <w:szCs w:val="18"/>
        </w:rPr>
        <w:t>3）建设性质：新建</w:t>
      </w:r>
    </w:p>
    <w:p>
      <w:pPr>
        <w:spacing w:line="440" w:lineRule="exact"/>
        <w:ind w:firstLine="482"/>
        <w:rPr>
          <w:iCs/>
          <w:szCs w:val="18"/>
        </w:rPr>
      </w:pPr>
      <w:r>
        <w:rPr>
          <w:rFonts w:hint="eastAsia"/>
          <w:iCs/>
          <w:szCs w:val="18"/>
        </w:rPr>
        <w:t>4）建设地点：繁峙县横涧乡前所村北</w:t>
      </w:r>
      <w:r>
        <w:rPr>
          <w:iCs/>
          <w:szCs w:val="18"/>
        </w:rPr>
        <w:t xml:space="preserve"> </w:t>
      </w:r>
    </w:p>
    <w:p>
      <w:pPr>
        <w:spacing w:line="440" w:lineRule="exact"/>
        <w:ind w:firstLine="480" w:firstLineChars="200"/>
        <w:jc w:val="both"/>
        <w:rPr>
          <w:iCs/>
          <w:szCs w:val="18"/>
        </w:rPr>
      </w:pPr>
      <w:r>
        <w:rPr>
          <w:rFonts w:hint="eastAsia"/>
          <w:iCs/>
          <w:szCs w:val="18"/>
        </w:rPr>
        <w:t>5）建设规模：年开采1.5万m</w:t>
      </w:r>
      <w:r>
        <w:rPr>
          <w:rFonts w:hint="eastAsia"/>
          <w:iCs/>
          <w:szCs w:val="18"/>
          <w:vertAlign w:val="superscript"/>
        </w:rPr>
        <w:t>3</w:t>
      </w:r>
      <w:r>
        <w:rPr>
          <w:rFonts w:hint="eastAsia"/>
          <w:iCs/>
          <w:szCs w:val="18"/>
        </w:rPr>
        <w:t>砖瓦用粘土矿</w:t>
      </w:r>
    </w:p>
    <w:p>
      <w:pPr>
        <w:spacing w:line="440" w:lineRule="exact"/>
        <w:ind w:firstLine="480" w:firstLineChars="200"/>
        <w:jc w:val="both"/>
        <w:rPr>
          <w:iCs/>
          <w:szCs w:val="18"/>
        </w:rPr>
      </w:pPr>
      <w:r>
        <w:rPr>
          <w:rFonts w:hint="eastAsia"/>
          <w:iCs/>
          <w:szCs w:val="18"/>
        </w:rPr>
        <w:t>6）建设内容：项目主要建设粘土开采、储存和运输生产线。</w:t>
      </w:r>
    </w:p>
    <w:p>
      <w:pPr>
        <w:spacing w:line="440" w:lineRule="exact"/>
        <w:ind w:firstLine="480" w:firstLineChars="200"/>
        <w:jc w:val="both"/>
        <w:rPr>
          <w:iCs/>
          <w:szCs w:val="18"/>
        </w:rPr>
      </w:pPr>
      <w:r>
        <w:rPr>
          <w:rFonts w:hint="eastAsia"/>
          <w:iCs/>
          <w:szCs w:val="18"/>
        </w:rPr>
        <w:t>7）项目投资：总投资</w:t>
      </w:r>
      <w:r>
        <w:rPr>
          <w:rFonts w:hint="eastAsia"/>
          <w:iCs/>
          <w:szCs w:val="18"/>
          <w:lang w:val="en-US" w:eastAsia="zh-CN"/>
        </w:rPr>
        <w:t>1</w:t>
      </w:r>
      <w:r>
        <w:rPr>
          <w:rFonts w:hint="eastAsia"/>
          <w:iCs/>
          <w:szCs w:val="18"/>
        </w:rPr>
        <w:t>00万元，全部为企业自筹</w:t>
      </w:r>
    </w:p>
    <w:p>
      <w:pPr>
        <w:spacing w:line="440" w:lineRule="exact"/>
        <w:ind w:firstLine="480" w:firstLineChars="200"/>
        <w:jc w:val="both"/>
        <w:rPr>
          <w:iCs/>
          <w:szCs w:val="18"/>
        </w:rPr>
      </w:pPr>
      <w:r>
        <w:rPr>
          <w:rFonts w:hint="eastAsia"/>
          <w:iCs/>
          <w:szCs w:val="18"/>
        </w:rPr>
        <w:t>8）工作制度：年工作210天，冬季不生产，每天工作8h</w:t>
      </w:r>
    </w:p>
    <w:p>
      <w:pPr>
        <w:spacing w:line="440" w:lineRule="exact"/>
        <w:ind w:firstLine="480" w:firstLineChars="200"/>
        <w:jc w:val="both"/>
        <w:rPr>
          <w:iCs/>
          <w:szCs w:val="18"/>
        </w:rPr>
      </w:pPr>
      <w:r>
        <w:rPr>
          <w:rFonts w:hint="eastAsia"/>
          <w:iCs/>
          <w:szCs w:val="18"/>
        </w:rPr>
        <w:t>9）劳动定员：劳动定员10人，全部为附近村民</w:t>
      </w:r>
    </w:p>
    <w:p>
      <w:pPr>
        <w:spacing w:line="440" w:lineRule="exact"/>
        <w:ind w:firstLine="480" w:firstLineChars="200"/>
        <w:jc w:val="both"/>
        <w:rPr>
          <w:iCs/>
          <w:szCs w:val="18"/>
        </w:rPr>
      </w:pPr>
      <w:r>
        <w:rPr>
          <w:rFonts w:hint="eastAsia"/>
          <w:iCs/>
          <w:szCs w:val="18"/>
        </w:rPr>
        <w:t>项目主要建设内容见下表。</w:t>
      </w:r>
    </w:p>
    <w:p>
      <w:pPr>
        <w:spacing w:line="440" w:lineRule="exact"/>
        <w:ind w:firstLine="420" w:firstLineChars="200"/>
        <w:jc w:val="center"/>
        <w:rPr>
          <w:rFonts w:eastAsia="黑体"/>
          <w:sz w:val="21"/>
          <w:szCs w:val="21"/>
        </w:rPr>
      </w:pPr>
      <w:bookmarkStart w:id="206" w:name="_Toc25522"/>
      <w:r>
        <w:rPr>
          <w:rFonts w:eastAsia="黑体"/>
          <w:sz w:val="21"/>
          <w:szCs w:val="21"/>
        </w:rPr>
        <w:t xml:space="preserve">表2.1-1  </w:t>
      </w:r>
      <w:r>
        <w:rPr>
          <w:rFonts w:hint="eastAsia" w:eastAsia="黑体"/>
          <w:sz w:val="21"/>
          <w:szCs w:val="21"/>
        </w:rPr>
        <w:t>项目建设内容一览表</w:t>
      </w:r>
    </w:p>
    <w:tbl>
      <w:tblPr>
        <w:tblStyle w:val="88"/>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23"/>
        <w:gridCol w:w="1438"/>
        <w:gridCol w:w="1230"/>
        <w:gridCol w:w="58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390"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项目</w:t>
            </w:r>
          </w:p>
        </w:tc>
        <w:tc>
          <w:tcPr>
            <w:tcW w:w="4609" w:type="pct"/>
            <w:gridSpan w:val="3"/>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建设内容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390" w:type="pct"/>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主体工程</w:t>
            </w:r>
          </w:p>
        </w:tc>
        <w:tc>
          <w:tcPr>
            <w:tcW w:w="774" w:type="pct"/>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露天采场</w:t>
            </w:r>
          </w:p>
        </w:tc>
        <w:tc>
          <w:tcPr>
            <w:tcW w:w="3835" w:type="pct"/>
            <w:gridSpan w:val="2"/>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矿区面积</w:t>
            </w:r>
            <w:r>
              <w:rPr>
                <w:rFonts w:eastAsia="宋体"/>
                <w:sz w:val="21"/>
                <w:szCs w:val="21"/>
              </w:rPr>
              <w:t>0.0508km</w:t>
            </w:r>
            <w:r>
              <w:rPr>
                <w:rFonts w:eastAsia="宋体"/>
                <w:sz w:val="21"/>
                <w:szCs w:val="21"/>
                <w:vertAlign w:val="superscript"/>
              </w:rPr>
              <w:t>2</w:t>
            </w:r>
            <w:r>
              <w:rPr>
                <w:rFonts w:eastAsia="宋体"/>
                <w:sz w:val="21"/>
                <w:szCs w:val="21"/>
              </w:rPr>
              <w:t>，开采方式为露天开采，开采矿种</w:t>
            </w:r>
            <w:r>
              <w:rPr>
                <w:rFonts w:hint="eastAsia" w:eastAsia="宋体"/>
                <w:sz w:val="21"/>
                <w:szCs w:val="21"/>
              </w:rPr>
              <w:t>为</w:t>
            </w:r>
            <w:r>
              <w:rPr>
                <w:rFonts w:eastAsia="宋体"/>
                <w:sz w:val="21"/>
                <w:szCs w:val="21"/>
              </w:rPr>
              <w:t>砖瓦用粘土矿，生产规模1.50万立方米/年，开采深度</w:t>
            </w:r>
            <w:r>
              <w:rPr>
                <w:rFonts w:hint="eastAsia" w:eastAsia="宋体"/>
                <w:sz w:val="21"/>
                <w:szCs w:val="21"/>
              </w:rPr>
              <w:t>由</w:t>
            </w:r>
            <w:r>
              <w:rPr>
                <w:rFonts w:eastAsia="宋体"/>
                <w:sz w:val="21"/>
                <w:szCs w:val="21"/>
              </w:rPr>
              <w:t>1270米-1262</w:t>
            </w:r>
            <w:r>
              <w:rPr>
                <w:rFonts w:hint="eastAsia" w:eastAsia="宋体"/>
                <w:sz w:val="21"/>
                <w:szCs w:val="21"/>
              </w:rPr>
              <w:t>m</w:t>
            </w:r>
            <w:r>
              <w:rPr>
                <w:rFonts w:eastAsia="宋体"/>
                <w:sz w:val="21"/>
                <w:szCs w:val="21"/>
              </w:rPr>
              <w:t>标高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3835" w:type="pct"/>
            <w:gridSpan w:val="2"/>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粘土矿采用挖掘机开采，利用装载机和自卸汽车运输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储运工程</w:t>
            </w:r>
          </w:p>
        </w:tc>
        <w:tc>
          <w:tcPr>
            <w:tcW w:w="774"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原料库</w:t>
            </w:r>
          </w:p>
        </w:tc>
        <w:tc>
          <w:tcPr>
            <w:tcW w:w="3835" w:type="pct"/>
            <w:gridSpan w:val="2"/>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全封闭彩钢结构原料库，占地面积500m</w:t>
            </w:r>
            <w:r>
              <w:rPr>
                <w:rFonts w:hint="eastAsia"/>
                <w:sz w:val="21"/>
                <w:szCs w:val="21"/>
                <w:vertAlign w:val="super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排土场</w:t>
            </w:r>
          </w:p>
        </w:tc>
        <w:tc>
          <w:tcPr>
            <w:tcW w:w="3835" w:type="pct"/>
            <w:gridSpan w:val="2"/>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14m</w:t>
            </w:r>
            <w:r>
              <w:rPr>
                <w:rFonts w:ascii="Arial" w:hAnsi="Arial" w:cs="Arial"/>
                <w:sz w:val="21"/>
                <w:szCs w:val="21"/>
              </w:rPr>
              <w:t>×</w:t>
            </w:r>
            <w:r>
              <w:rPr>
                <w:rFonts w:hint="eastAsia"/>
                <w:sz w:val="21"/>
                <w:szCs w:val="21"/>
              </w:rPr>
              <w:t>13m，利用工业场地北侧沟谷，上游设截洪沟，下游设挡土墙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矿区内道路</w:t>
            </w:r>
          </w:p>
        </w:tc>
        <w:tc>
          <w:tcPr>
            <w:tcW w:w="3835" w:type="pct"/>
            <w:gridSpan w:val="2"/>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长度150m，宽度4.5m，水泥路面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矿区外道路</w:t>
            </w:r>
          </w:p>
        </w:tc>
        <w:tc>
          <w:tcPr>
            <w:tcW w:w="3835" w:type="pct"/>
            <w:gridSpan w:val="2"/>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长度50m，宽度4.5m，水泥路面，与乡村道路相接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辅助工程</w:t>
            </w:r>
          </w:p>
        </w:tc>
        <w:tc>
          <w:tcPr>
            <w:tcW w:w="774"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办公用房</w:t>
            </w:r>
          </w:p>
        </w:tc>
        <w:tc>
          <w:tcPr>
            <w:tcW w:w="3835" w:type="pct"/>
            <w:gridSpan w:val="2"/>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位于矿区西南侧，占地面积约1100m</w:t>
            </w:r>
            <w:r>
              <w:rPr>
                <w:rFonts w:hint="eastAsia"/>
                <w:sz w:val="21"/>
                <w:szCs w:val="21"/>
                <w:vertAlign w:val="super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公用工程</w:t>
            </w:r>
          </w:p>
        </w:tc>
        <w:tc>
          <w:tcPr>
            <w:tcW w:w="774"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供电</w:t>
            </w:r>
          </w:p>
        </w:tc>
        <w:tc>
          <w:tcPr>
            <w:tcW w:w="3835" w:type="pct"/>
            <w:gridSpan w:val="2"/>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供电接自横涧乡变电站，厂区内设配电室，内设75kw变压器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供水</w:t>
            </w:r>
          </w:p>
        </w:tc>
        <w:tc>
          <w:tcPr>
            <w:tcW w:w="3835" w:type="pct"/>
            <w:gridSpan w:val="2"/>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eastAsia="宋体"/>
                <w:sz w:val="21"/>
                <w:szCs w:val="21"/>
                <w:lang w:eastAsia="zh-CN"/>
              </w:rPr>
            </w:pPr>
            <w:r>
              <w:rPr>
                <w:rFonts w:hint="eastAsia"/>
                <w:sz w:val="21"/>
                <w:szCs w:val="21"/>
              </w:rPr>
              <w:t>生产和生活用水</w:t>
            </w:r>
            <w:r>
              <w:rPr>
                <w:rFonts w:hint="eastAsia"/>
                <w:sz w:val="21"/>
                <w:szCs w:val="21"/>
                <w:lang w:eastAsia="zh-CN"/>
              </w:rPr>
              <w:t>来源于厂区现有水井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排水</w:t>
            </w:r>
          </w:p>
        </w:tc>
        <w:tc>
          <w:tcPr>
            <w:tcW w:w="3835" w:type="pct"/>
            <w:gridSpan w:val="2"/>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生活污水沉淀后用于道路洒水抑尘；洗车废水沉淀后回用于洗车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环保工程</w:t>
            </w:r>
          </w:p>
        </w:tc>
        <w:tc>
          <w:tcPr>
            <w:tcW w:w="774" w:type="pct"/>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废气</w:t>
            </w: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采装作业粉尘</w:t>
            </w:r>
          </w:p>
        </w:tc>
        <w:tc>
          <w:tcPr>
            <w:tcW w:w="317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开采区设移动雾炮机，全覆盖喷雾洒水抑尘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sz w:val="21"/>
                <w:szCs w:val="21"/>
              </w:rPr>
            </w:pPr>
            <w:r>
              <w:rPr>
                <w:rFonts w:hint="eastAsia"/>
                <w:sz w:val="21"/>
                <w:szCs w:val="21"/>
              </w:rPr>
              <w:t>排土场</w:t>
            </w:r>
          </w:p>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粉尘</w:t>
            </w:r>
          </w:p>
        </w:tc>
        <w:tc>
          <w:tcPr>
            <w:tcW w:w="317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排土场内排土全部使用防尘网进行遮挡覆盖，排土作业区设雾炮机喷雾洒水抑尘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原料库</w:t>
            </w:r>
          </w:p>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粉尘</w:t>
            </w:r>
          </w:p>
        </w:tc>
        <w:tc>
          <w:tcPr>
            <w:tcW w:w="317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原料库进行全封闭，装卸区设雾炮机喷雾洒水抑尘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运输扬尘</w:t>
            </w:r>
          </w:p>
        </w:tc>
        <w:tc>
          <w:tcPr>
            <w:tcW w:w="317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工业场地进出口建设全自动洗车平台，运输车辆出厂时对车身和轮胎进行冲洗；厂区道路硬化，定期洒水，及时清扫；运输车辆进行苫盖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废水</w:t>
            </w: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生活污水</w:t>
            </w:r>
          </w:p>
        </w:tc>
        <w:tc>
          <w:tcPr>
            <w:tcW w:w="317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沉淀后用于道路洒水抑尘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洗车废水</w:t>
            </w:r>
          </w:p>
        </w:tc>
        <w:tc>
          <w:tcPr>
            <w:tcW w:w="317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沉淀后回用于洗车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噪声</w:t>
            </w:r>
          </w:p>
        </w:tc>
        <w:tc>
          <w:tcPr>
            <w:tcW w:w="3835" w:type="pct"/>
            <w:gridSpan w:val="2"/>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选用低噪声设备，基础减振，封闭隔声，加强管理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固废</w:t>
            </w: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剥离土</w:t>
            </w:r>
          </w:p>
        </w:tc>
        <w:tc>
          <w:tcPr>
            <w:tcW w:w="317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矿区内设排土场，剥离土后期用于土地复垦；排土场内单独设置表土临时堆场，排土场上游设截洪沟，下游设拦土墙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生活垃圾</w:t>
            </w:r>
          </w:p>
        </w:tc>
        <w:tc>
          <w:tcPr>
            <w:tcW w:w="317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设垃圾箱收集，定期送环卫部门指定地点处置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废机油</w:t>
            </w:r>
          </w:p>
        </w:tc>
        <w:tc>
          <w:tcPr>
            <w:tcW w:w="3173"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设危废暂存间暂存，定期由有处理资质的单位进行转运处置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p>
        </w:tc>
        <w:tc>
          <w:tcPr>
            <w:tcW w:w="774" w:type="pct"/>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sz w:val="21"/>
                <w:szCs w:val="21"/>
              </w:rPr>
            </w:pPr>
            <w:r>
              <w:rPr>
                <w:rFonts w:hint="eastAsia"/>
                <w:sz w:val="21"/>
                <w:szCs w:val="21"/>
              </w:rPr>
              <w:t>生态</w:t>
            </w:r>
          </w:p>
        </w:tc>
        <w:tc>
          <w:tcPr>
            <w:tcW w:w="3835" w:type="pct"/>
            <w:gridSpan w:val="2"/>
            <w:noWrap w:val="0"/>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pPr>
            <w:r>
              <w:rPr>
                <w:rFonts w:hint="eastAsia" w:ascii="宋体" w:hAnsi="宋体" w:cs="宋体"/>
                <w:bCs/>
                <w:sz w:val="21"/>
                <w:szCs w:val="21"/>
              </w:rPr>
              <w:t>①粘土矿区要求“边开采，边恢复”，当一个采矿台段工作终结时，随即进行覆土，恢复植被，并对边坡进行防护处理</w:t>
            </w:r>
            <w:r>
              <w:rPr>
                <w:rFonts w:hint="eastAsia"/>
                <w:bCs/>
                <w:sz w:val="21"/>
                <w:szCs w:val="21"/>
              </w:rPr>
              <w:t>②道路和工业场地进行硬化</w:t>
            </w:r>
            <w:r>
              <w:rPr>
                <w:bCs/>
                <w:sz w:val="21"/>
                <w:szCs w:val="21"/>
              </w:rPr>
              <w:t>和绿化</w:t>
            </w:r>
            <w:r>
              <w:rPr>
                <w:rFonts w:hint="eastAsia"/>
                <w:bCs/>
                <w:sz w:val="21"/>
                <w:szCs w:val="21"/>
              </w:rPr>
              <w:t>，绿化面积500m</w:t>
            </w:r>
            <w:r>
              <w:rPr>
                <w:rFonts w:hint="eastAsia"/>
                <w:bCs/>
                <w:sz w:val="21"/>
                <w:szCs w:val="21"/>
                <w:vertAlign w:val="superscript"/>
              </w:rPr>
              <w:t>2</w:t>
            </w:r>
            <w:r>
              <w:rPr>
                <w:rFonts w:hint="eastAsia"/>
                <w:bCs/>
                <w:sz w:val="21"/>
                <w:szCs w:val="21"/>
              </w:rPr>
              <w:t>；</w:t>
            </w:r>
            <w:r>
              <w:rPr>
                <w:bCs/>
                <w:sz w:val="21"/>
                <w:szCs w:val="21"/>
              </w:rPr>
              <w:t>③</w:t>
            </w:r>
            <w:r>
              <w:rPr>
                <w:rFonts w:hint="eastAsia" w:ascii="宋体" w:hAnsi="宋体" w:cs="宋体"/>
                <w:bCs/>
                <w:sz w:val="21"/>
                <w:szCs w:val="21"/>
              </w:rPr>
              <w:t>生态恢复治理完成后2年内对生态恢复及治理措施进行后期监测和管护</w:t>
            </w:r>
            <w:r>
              <w:rPr>
                <w:rFonts w:hint="eastAsia" w:ascii="宋体"/>
                <w:bCs/>
                <w:sz w:val="21"/>
                <w:szCs w:val="21"/>
              </w:rPr>
              <w:t>；</w:t>
            </w:r>
          </w:p>
        </w:tc>
      </w:tr>
    </w:tbl>
    <w:p>
      <w:pPr>
        <w:spacing w:line="440" w:lineRule="exact"/>
        <w:ind w:firstLine="480" w:firstLineChars="200"/>
        <w:jc w:val="both"/>
        <w:rPr>
          <w:rFonts w:hint="eastAsia"/>
          <w:iCs/>
          <w:szCs w:val="18"/>
          <w:lang w:eastAsia="zh-CN"/>
        </w:rPr>
      </w:pPr>
      <w:r>
        <w:rPr>
          <w:rFonts w:hint="eastAsia"/>
          <w:iCs/>
          <w:szCs w:val="18"/>
          <w:lang w:eastAsia="zh-CN"/>
        </w:rPr>
        <w:t>本项目主要生产设备见下表。</w:t>
      </w:r>
    </w:p>
    <w:p>
      <w:pPr>
        <w:pStyle w:val="87"/>
        <w:keepNext w:val="0"/>
        <w:keepLines w:val="0"/>
        <w:pageBreakBefore w:val="0"/>
        <w:widowControl w:val="0"/>
        <w:kinsoku/>
        <w:wordWrap/>
        <w:overflowPunct/>
        <w:topLinePunct w:val="0"/>
        <w:autoSpaceDE/>
        <w:autoSpaceDN/>
        <w:bidi w:val="0"/>
        <w:adjustRightInd/>
        <w:snapToGrid w:val="0"/>
        <w:spacing w:before="164" w:beforeLines="50" w:after="0" w:line="240" w:lineRule="auto"/>
        <w:ind w:left="0" w:leftChars="0" w:firstLine="0" w:firstLineChars="0"/>
        <w:jc w:val="center"/>
        <w:textAlignment w:val="auto"/>
        <w:rPr>
          <w:rFonts w:hint="default"/>
          <w:lang w:val="en-US" w:eastAsia="zh-CN"/>
        </w:rPr>
      </w:pPr>
      <w:r>
        <w:rPr>
          <w:rFonts w:hint="eastAsia"/>
          <w:iCs/>
          <w:szCs w:val="18"/>
          <w:lang w:eastAsia="zh-CN"/>
        </w:rPr>
        <w:t>表</w:t>
      </w:r>
      <w:r>
        <w:rPr>
          <w:rFonts w:hint="eastAsia"/>
          <w:iCs/>
          <w:szCs w:val="18"/>
          <w:lang w:val="en-US" w:eastAsia="zh-CN"/>
        </w:rPr>
        <w:t>2.1-2 项目主要生产设备</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pPr>
              <w:widowControl w:val="0"/>
              <w:spacing w:line="440" w:lineRule="exact"/>
              <w:jc w:val="center"/>
              <w:rPr>
                <w:rFonts w:hint="eastAsia"/>
                <w:iCs/>
                <w:sz w:val="21"/>
                <w:szCs w:val="21"/>
                <w:vertAlign w:val="baseline"/>
                <w:lang w:eastAsia="zh-CN"/>
              </w:rPr>
            </w:pPr>
            <w:r>
              <w:rPr>
                <w:rFonts w:hint="eastAsia"/>
                <w:iCs/>
                <w:sz w:val="21"/>
                <w:szCs w:val="21"/>
                <w:vertAlign w:val="baseline"/>
                <w:lang w:eastAsia="zh-CN"/>
              </w:rPr>
              <w:t>主要生产设备</w:t>
            </w:r>
          </w:p>
        </w:tc>
        <w:tc>
          <w:tcPr>
            <w:tcW w:w="3096" w:type="dxa"/>
            <w:vAlign w:val="center"/>
          </w:tcPr>
          <w:p>
            <w:pPr>
              <w:widowControl w:val="0"/>
              <w:spacing w:line="440" w:lineRule="exact"/>
              <w:jc w:val="center"/>
              <w:rPr>
                <w:rFonts w:hint="eastAsia"/>
                <w:iCs/>
                <w:sz w:val="21"/>
                <w:szCs w:val="21"/>
                <w:vertAlign w:val="baseline"/>
                <w:lang w:eastAsia="zh-CN"/>
              </w:rPr>
            </w:pPr>
            <w:r>
              <w:rPr>
                <w:rFonts w:hint="eastAsia"/>
                <w:iCs/>
                <w:sz w:val="21"/>
                <w:szCs w:val="21"/>
                <w:vertAlign w:val="baseline"/>
                <w:lang w:eastAsia="zh-CN"/>
              </w:rPr>
              <w:t>型号</w:t>
            </w:r>
          </w:p>
        </w:tc>
        <w:tc>
          <w:tcPr>
            <w:tcW w:w="3096" w:type="dxa"/>
            <w:vAlign w:val="center"/>
          </w:tcPr>
          <w:p>
            <w:pPr>
              <w:widowControl w:val="0"/>
              <w:spacing w:line="440" w:lineRule="exact"/>
              <w:jc w:val="center"/>
              <w:rPr>
                <w:rFonts w:hint="eastAsia"/>
                <w:iCs/>
                <w:sz w:val="21"/>
                <w:szCs w:val="21"/>
                <w:vertAlign w:val="baseline"/>
                <w:lang w:eastAsia="zh-CN"/>
              </w:rPr>
            </w:pPr>
            <w:r>
              <w:rPr>
                <w:rFonts w:hint="eastAsia"/>
                <w:iCs/>
                <w:sz w:val="21"/>
                <w:szCs w:val="21"/>
                <w:vertAlign w:val="baseli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pPr>
              <w:widowControl w:val="0"/>
              <w:spacing w:line="440" w:lineRule="exact"/>
              <w:jc w:val="center"/>
              <w:rPr>
                <w:rFonts w:hint="eastAsia"/>
                <w:iCs/>
                <w:sz w:val="21"/>
                <w:szCs w:val="21"/>
                <w:vertAlign w:val="baseline"/>
                <w:lang w:eastAsia="zh-CN"/>
              </w:rPr>
            </w:pPr>
            <w:r>
              <w:rPr>
                <w:rFonts w:hint="eastAsia"/>
                <w:iCs/>
                <w:sz w:val="21"/>
                <w:szCs w:val="21"/>
                <w:vertAlign w:val="baseline"/>
                <w:lang w:eastAsia="zh-CN"/>
              </w:rPr>
              <w:t>挖掘机</w:t>
            </w:r>
          </w:p>
        </w:tc>
        <w:tc>
          <w:tcPr>
            <w:tcW w:w="3096" w:type="dxa"/>
            <w:vAlign w:val="center"/>
          </w:tcPr>
          <w:p>
            <w:pPr>
              <w:widowControl w:val="0"/>
              <w:spacing w:line="440" w:lineRule="exact"/>
              <w:jc w:val="center"/>
              <w:rPr>
                <w:rFonts w:hint="default"/>
                <w:iCs/>
                <w:sz w:val="21"/>
                <w:szCs w:val="21"/>
                <w:vertAlign w:val="baseline"/>
                <w:lang w:val="en-US" w:eastAsia="zh-CN"/>
              </w:rPr>
            </w:pPr>
            <w:r>
              <w:rPr>
                <w:rFonts w:hint="eastAsia"/>
                <w:iCs/>
                <w:sz w:val="21"/>
                <w:szCs w:val="21"/>
                <w:vertAlign w:val="baseline"/>
                <w:lang w:val="en-US" w:eastAsia="zh-CN"/>
              </w:rPr>
              <w:t>1.0m</w:t>
            </w:r>
            <w:r>
              <w:rPr>
                <w:rFonts w:hint="eastAsia"/>
                <w:iCs/>
                <w:sz w:val="21"/>
                <w:szCs w:val="21"/>
                <w:vertAlign w:val="superscript"/>
                <w:lang w:val="en-US" w:eastAsia="zh-CN"/>
              </w:rPr>
              <w:t>3</w:t>
            </w:r>
          </w:p>
        </w:tc>
        <w:tc>
          <w:tcPr>
            <w:tcW w:w="3096" w:type="dxa"/>
            <w:vAlign w:val="center"/>
          </w:tcPr>
          <w:p>
            <w:pPr>
              <w:widowControl w:val="0"/>
              <w:spacing w:line="440" w:lineRule="exact"/>
              <w:jc w:val="center"/>
              <w:rPr>
                <w:rFonts w:hint="default"/>
                <w:iCs/>
                <w:sz w:val="21"/>
                <w:szCs w:val="21"/>
                <w:vertAlign w:val="baseline"/>
                <w:lang w:val="en-US" w:eastAsia="zh-CN"/>
              </w:rPr>
            </w:pPr>
            <w:r>
              <w:rPr>
                <w:rFonts w:hint="eastAsia"/>
                <w:iCs/>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pPr>
              <w:widowControl w:val="0"/>
              <w:spacing w:line="440" w:lineRule="exact"/>
              <w:jc w:val="center"/>
              <w:rPr>
                <w:rFonts w:hint="eastAsia"/>
                <w:iCs/>
                <w:sz w:val="21"/>
                <w:szCs w:val="21"/>
                <w:vertAlign w:val="baseline"/>
                <w:lang w:eastAsia="zh-CN"/>
              </w:rPr>
            </w:pPr>
            <w:r>
              <w:rPr>
                <w:rFonts w:hint="eastAsia"/>
                <w:iCs/>
                <w:sz w:val="21"/>
                <w:szCs w:val="21"/>
                <w:vertAlign w:val="baseline"/>
                <w:lang w:eastAsia="zh-CN"/>
              </w:rPr>
              <w:t>推土机</w:t>
            </w:r>
          </w:p>
        </w:tc>
        <w:tc>
          <w:tcPr>
            <w:tcW w:w="3096" w:type="dxa"/>
            <w:vAlign w:val="center"/>
          </w:tcPr>
          <w:p>
            <w:pPr>
              <w:widowControl w:val="0"/>
              <w:spacing w:line="440" w:lineRule="exact"/>
              <w:jc w:val="center"/>
              <w:rPr>
                <w:rFonts w:hint="default"/>
                <w:iCs/>
                <w:sz w:val="21"/>
                <w:szCs w:val="21"/>
                <w:vertAlign w:val="baseline"/>
                <w:lang w:val="en-US" w:eastAsia="zh-CN"/>
              </w:rPr>
            </w:pPr>
            <w:r>
              <w:rPr>
                <w:rFonts w:hint="eastAsia"/>
                <w:iCs/>
                <w:sz w:val="21"/>
                <w:szCs w:val="21"/>
                <w:vertAlign w:val="baseline"/>
                <w:lang w:eastAsia="zh-CN"/>
              </w:rPr>
              <w:t>东方红</w:t>
            </w:r>
            <w:r>
              <w:rPr>
                <w:rFonts w:hint="eastAsia"/>
                <w:iCs/>
                <w:sz w:val="21"/>
                <w:szCs w:val="21"/>
                <w:vertAlign w:val="baseline"/>
                <w:lang w:val="en-US" w:eastAsia="zh-CN"/>
              </w:rPr>
              <w:t>160</w:t>
            </w:r>
          </w:p>
        </w:tc>
        <w:tc>
          <w:tcPr>
            <w:tcW w:w="3096" w:type="dxa"/>
            <w:vAlign w:val="center"/>
          </w:tcPr>
          <w:p>
            <w:pPr>
              <w:widowControl w:val="0"/>
              <w:spacing w:line="440" w:lineRule="exact"/>
              <w:jc w:val="center"/>
              <w:rPr>
                <w:rFonts w:hint="default"/>
                <w:iCs/>
                <w:sz w:val="21"/>
                <w:szCs w:val="21"/>
                <w:vertAlign w:val="baseline"/>
                <w:lang w:val="en-US" w:eastAsia="zh-CN"/>
              </w:rPr>
            </w:pPr>
            <w:r>
              <w:rPr>
                <w:rFonts w:hint="eastAsia"/>
                <w:iCs/>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pPr>
              <w:widowControl w:val="0"/>
              <w:spacing w:line="440" w:lineRule="exact"/>
              <w:jc w:val="center"/>
              <w:rPr>
                <w:rFonts w:hint="eastAsia" w:ascii="Times New Roman" w:hAnsi="Times New Roman" w:eastAsia="宋体" w:cs="Times New Roman"/>
                <w:iCs/>
                <w:sz w:val="21"/>
                <w:szCs w:val="21"/>
                <w:vertAlign w:val="baseline"/>
                <w:lang w:val="en-US" w:eastAsia="zh-CN" w:bidi="ar-SA"/>
              </w:rPr>
            </w:pPr>
            <w:r>
              <w:rPr>
                <w:rFonts w:hint="eastAsia"/>
                <w:iCs/>
                <w:sz w:val="21"/>
                <w:szCs w:val="21"/>
                <w:vertAlign w:val="baseline"/>
                <w:lang w:eastAsia="zh-CN"/>
              </w:rPr>
              <w:t>自卸汽车</w:t>
            </w:r>
          </w:p>
        </w:tc>
        <w:tc>
          <w:tcPr>
            <w:tcW w:w="3096" w:type="dxa"/>
            <w:vAlign w:val="center"/>
          </w:tcPr>
          <w:p>
            <w:pPr>
              <w:widowControl w:val="0"/>
              <w:spacing w:line="440" w:lineRule="exact"/>
              <w:jc w:val="center"/>
              <w:rPr>
                <w:rFonts w:hint="default" w:ascii="Times New Roman" w:hAnsi="Times New Roman" w:eastAsia="宋体" w:cs="Times New Roman"/>
                <w:iCs/>
                <w:sz w:val="21"/>
                <w:szCs w:val="21"/>
                <w:vertAlign w:val="baseline"/>
                <w:lang w:val="en-US" w:eastAsia="zh-CN" w:bidi="ar-SA"/>
              </w:rPr>
            </w:pPr>
            <w:r>
              <w:rPr>
                <w:rFonts w:hint="eastAsia"/>
                <w:iCs/>
                <w:sz w:val="21"/>
                <w:szCs w:val="21"/>
                <w:vertAlign w:val="baseline"/>
                <w:lang w:val="en-US" w:eastAsia="zh-CN"/>
              </w:rPr>
              <w:t>20t</w:t>
            </w:r>
          </w:p>
        </w:tc>
        <w:tc>
          <w:tcPr>
            <w:tcW w:w="3096" w:type="dxa"/>
            <w:vAlign w:val="center"/>
          </w:tcPr>
          <w:p>
            <w:pPr>
              <w:widowControl w:val="0"/>
              <w:spacing w:line="440" w:lineRule="exact"/>
              <w:jc w:val="center"/>
              <w:rPr>
                <w:rFonts w:hint="default"/>
                <w:iCs/>
                <w:sz w:val="21"/>
                <w:szCs w:val="21"/>
                <w:vertAlign w:val="baseline"/>
                <w:lang w:val="en-US" w:eastAsia="zh-CN"/>
              </w:rPr>
            </w:pPr>
            <w:r>
              <w:rPr>
                <w:rFonts w:hint="eastAsia"/>
                <w:iCs/>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pPr>
              <w:widowControl w:val="0"/>
              <w:spacing w:line="440" w:lineRule="exact"/>
              <w:jc w:val="center"/>
              <w:rPr>
                <w:rFonts w:hint="eastAsia"/>
                <w:iCs/>
                <w:sz w:val="21"/>
                <w:szCs w:val="21"/>
                <w:vertAlign w:val="baseline"/>
                <w:lang w:eastAsia="zh-CN"/>
              </w:rPr>
            </w:pPr>
            <w:r>
              <w:rPr>
                <w:rFonts w:hint="eastAsia"/>
                <w:iCs/>
                <w:sz w:val="21"/>
                <w:szCs w:val="21"/>
                <w:vertAlign w:val="baseline"/>
                <w:lang w:eastAsia="zh-CN"/>
              </w:rPr>
              <w:t>雾炮机</w:t>
            </w:r>
          </w:p>
        </w:tc>
        <w:tc>
          <w:tcPr>
            <w:tcW w:w="3096" w:type="dxa"/>
            <w:vAlign w:val="center"/>
          </w:tcPr>
          <w:p>
            <w:pPr>
              <w:widowControl w:val="0"/>
              <w:spacing w:line="440" w:lineRule="exact"/>
              <w:jc w:val="center"/>
              <w:rPr>
                <w:rFonts w:hint="default"/>
                <w:iCs/>
                <w:sz w:val="21"/>
                <w:szCs w:val="21"/>
                <w:vertAlign w:val="baseline"/>
                <w:lang w:val="en-US" w:eastAsia="zh-CN"/>
              </w:rPr>
            </w:pPr>
            <w:r>
              <w:rPr>
                <w:rFonts w:hint="eastAsia"/>
                <w:iCs/>
                <w:sz w:val="21"/>
                <w:szCs w:val="21"/>
                <w:vertAlign w:val="baseline"/>
                <w:lang w:val="en-US" w:eastAsia="zh-CN"/>
              </w:rPr>
              <w:t>--</w:t>
            </w:r>
          </w:p>
        </w:tc>
        <w:tc>
          <w:tcPr>
            <w:tcW w:w="3096" w:type="dxa"/>
            <w:vAlign w:val="center"/>
          </w:tcPr>
          <w:p>
            <w:pPr>
              <w:widowControl w:val="0"/>
              <w:spacing w:line="440" w:lineRule="exact"/>
              <w:jc w:val="center"/>
              <w:rPr>
                <w:rFonts w:hint="default"/>
                <w:iCs/>
                <w:sz w:val="21"/>
                <w:szCs w:val="21"/>
                <w:vertAlign w:val="baseline"/>
                <w:lang w:val="en-US" w:eastAsia="zh-CN"/>
              </w:rPr>
            </w:pPr>
            <w:r>
              <w:rPr>
                <w:rFonts w:hint="eastAsia"/>
                <w:iCs/>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pPr>
              <w:widowControl w:val="0"/>
              <w:spacing w:line="440" w:lineRule="exact"/>
              <w:jc w:val="center"/>
              <w:rPr>
                <w:rFonts w:hint="eastAsia"/>
                <w:iCs/>
                <w:sz w:val="21"/>
                <w:szCs w:val="21"/>
                <w:vertAlign w:val="baseline"/>
                <w:lang w:eastAsia="zh-CN"/>
              </w:rPr>
            </w:pPr>
            <w:r>
              <w:rPr>
                <w:rFonts w:hint="eastAsia"/>
                <w:iCs/>
                <w:sz w:val="21"/>
                <w:szCs w:val="21"/>
                <w:vertAlign w:val="baseline"/>
                <w:lang w:eastAsia="zh-CN"/>
              </w:rPr>
              <w:t>水泵</w:t>
            </w:r>
          </w:p>
        </w:tc>
        <w:tc>
          <w:tcPr>
            <w:tcW w:w="3096" w:type="dxa"/>
            <w:vAlign w:val="center"/>
          </w:tcPr>
          <w:p>
            <w:pPr>
              <w:widowControl w:val="0"/>
              <w:spacing w:line="440" w:lineRule="exact"/>
              <w:jc w:val="center"/>
              <w:rPr>
                <w:rFonts w:hint="default"/>
                <w:iCs/>
                <w:sz w:val="21"/>
                <w:szCs w:val="21"/>
                <w:vertAlign w:val="baseline"/>
                <w:lang w:val="en-US" w:eastAsia="zh-CN"/>
              </w:rPr>
            </w:pPr>
            <w:r>
              <w:rPr>
                <w:rFonts w:hint="eastAsia"/>
                <w:iCs/>
                <w:sz w:val="21"/>
                <w:szCs w:val="21"/>
                <w:vertAlign w:val="baseline"/>
                <w:lang w:val="en-US" w:eastAsia="zh-CN"/>
              </w:rPr>
              <w:t>--</w:t>
            </w:r>
          </w:p>
        </w:tc>
        <w:tc>
          <w:tcPr>
            <w:tcW w:w="3096" w:type="dxa"/>
            <w:vAlign w:val="center"/>
          </w:tcPr>
          <w:p>
            <w:pPr>
              <w:widowControl w:val="0"/>
              <w:spacing w:line="440" w:lineRule="exact"/>
              <w:jc w:val="center"/>
              <w:rPr>
                <w:rFonts w:hint="default"/>
                <w:iCs/>
                <w:sz w:val="21"/>
                <w:szCs w:val="21"/>
                <w:vertAlign w:val="baseline"/>
                <w:lang w:val="en-US" w:eastAsia="zh-CN"/>
              </w:rPr>
            </w:pPr>
            <w:r>
              <w:rPr>
                <w:rFonts w:hint="eastAsia"/>
                <w:iCs/>
                <w:sz w:val="21"/>
                <w:szCs w:val="21"/>
                <w:vertAlign w:val="baseline"/>
                <w:lang w:val="en-US" w:eastAsia="zh-CN"/>
              </w:rPr>
              <w:t>1</w:t>
            </w:r>
          </w:p>
        </w:tc>
      </w:tr>
    </w:tbl>
    <w:p>
      <w:pPr>
        <w:widowControl w:val="0"/>
        <w:adjustRightInd w:val="0"/>
        <w:snapToGrid w:val="0"/>
        <w:spacing w:before="120" w:beforeLines="50" w:after="120" w:afterLines="50"/>
        <w:jc w:val="both"/>
        <w:outlineLvl w:val="1"/>
        <w:rPr>
          <w:b/>
          <w:kern w:val="2"/>
          <w:sz w:val="28"/>
          <w:szCs w:val="28"/>
        </w:rPr>
      </w:pPr>
      <w:r>
        <w:rPr>
          <w:b/>
          <w:kern w:val="2"/>
          <w:sz w:val="28"/>
          <w:szCs w:val="28"/>
        </w:rPr>
        <w:t>2.2</w:t>
      </w:r>
      <w:r>
        <w:rPr>
          <w:rFonts w:hint="eastAsia"/>
          <w:b/>
          <w:kern w:val="2"/>
          <w:sz w:val="28"/>
          <w:szCs w:val="28"/>
        </w:rPr>
        <w:t>项目基本情况</w:t>
      </w:r>
      <w:bookmarkEnd w:id="206"/>
    </w:p>
    <w:p>
      <w:pPr>
        <w:widowControl w:val="0"/>
        <w:adjustRightInd w:val="0"/>
        <w:snapToGrid w:val="0"/>
        <w:spacing w:before="120" w:beforeLines="50" w:line="360" w:lineRule="auto"/>
        <w:jc w:val="both"/>
        <w:outlineLvl w:val="2"/>
        <w:rPr>
          <w:b/>
          <w:kern w:val="2"/>
        </w:rPr>
      </w:pPr>
      <w:r>
        <w:rPr>
          <w:b/>
          <w:kern w:val="2"/>
        </w:rPr>
        <w:t>2.2.</w:t>
      </w:r>
      <w:r>
        <w:rPr>
          <w:rFonts w:hint="eastAsia"/>
          <w:b/>
          <w:kern w:val="2"/>
        </w:rPr>
        <w:t>1矿区边界</w:t>
      </w:r>
    </w:p>
    <w:p>
      <w:pPr>
        <w:spacing w:line="440" w:lineRule="exact"/>
        <w:ind w:firstLine="480" w:firstLineChars="200"/>
        <w:jc w:val="both"/>
        <w:rPr>
          <w:iCs/>
          <w:szCs w:val="18"/>
        </w:rPr>
      </w:pPr>
      <w:r>
        <w:rPr>
          <w:rFonts w:hint="eastAsia"/>
          <w:iCs/>
          <w:szCs w:val="18"/>
        </w:rPr>
        <w:t>根据繁峙县国土资源局颁发的采矿许可证（证号为</w:t>
      </w:r>
      <w:r>
        <w:rPr>
          <w:rFonts w:eastAsiaTheme="minorEastAsia"/>
        </w:rPr>
        <w:t>C1409242010057130065775</w:t>
      </w:r>
      <w:r>
        <w:rPr>
          <w:rFonts w:hint="eastAsia"/>
          <w:iCs/>
          <w:szCs w:val="18"/>
        </w:rPr>
        <w:t>）</w:t>
      </w:r>
      <w:r>
        <w:rPr>
          <w:rFonts w:hint="eastAsia" w:eastAsiaTheme="minorEastAsia"/>
        </w:rPr>
        <w:t>，</w:t>
      </w:r>
      <w:r>
        <w:rPr>
          <w:rFonts w:hint="eastAsia"/>
          <w:iCs/>
          <w:szCs w:val="18"/>
        </w:rPr>
        <w:t>繁峙县东胜砖瓦厂粘土矿开采矿种为砖瓦用粘土矿，开采方式为露天开采，生产规模为1.5万m</w:t>
      </w:r>
      <w:r>
        <w:rPr>
          <w:rFonts w:hint="eastAsia"/>
          <w:iCs/>
          <w:szCs w:val="18"/>
          <w:vertAlign w:val="superscript"/>
        </w:rPr>
        <w:t>3</w:t>
      </w:r>
      <w:r>
        <w:rPr>
          <w:rFonts w:hint="eastAsia"/>
          <w:iCs/>
          <w:szCs w:val="18"/>
        </w:rPr>
        <w:t>，矿区面积为0.0508km</w:t>
      </w:r>
      <w:r>
        <w:rPr>
          <w:rFonts w:hint="eastAsia"/>
          <w:iCs/>
          <w:szCs w:val="18"/>
          <w:vertAlign w:val="superscript"/>
        </w:rPr>
        <w:t>2</w:t>
      </w:r>
      <w:r>
        <w:rPr>
          <w:rFonts w:hint="eastAsia"/>
          <w:iCs/>
          <w:szCs w:val="18"/>
        </w:rPr>
        <w:t>。</w:t>
      </w:r>
    </w:p>
    <w:p>
      <w:pPr>
        <w:spacing w:line="440" w:lineRule="exact"/>
        <w:ind w:firstLine="480" w:firstLineChars="200"/>
        <w:jc w:val="both"/>
        <w:rPr>
          <w:iCs/>
          <w:szCs w:val="18"/>
        </w:rPr>
      </w:pPr>
      <w:r>
        <w:rPr>
          <w:iCs/>
          <w:szCs w:val="18"/>
        </w:rPr>
        <w:t>矿区地理位置</w:t>
      </w:r>
      <w:r>
        <w:rPr>
          <w:rFonts w:hint="eastAsia"/>
          <w:iCs/>
          <w:szCs w:val="18"/>
        </w:rPr>
        <w:t>（2000大地坐标系）</w:t>
      </w:r>
      <w:r>
        <w:rPr>
          <w:iCs/>
          <w:szCs w:val="18"/>
        </w:rPr>
        <w:t>东</w:t>
      </w:r>
      <w:r>
        <w:rPr>
          <w:rFonts w:hint="eastAsia"/>
          <w:iCs/>
          <w:szCs w:val="18"/>
        </w:rPr>
        <w:t>经</w:t>
      </w:r>
      <w:r>
        <w:rPr>
          <w:iCs/>
          <w:szCs w:val="18"/>
        </w:rPr>
        <w:t>113°</w:t>
      </w:r>
      <w:r>
        <w:rPr>
          <w:rFonts w:hint="eastAsia"/>
          <w:iCs/>
          <w:szCs w:val="18"/>
        </w:rPr>
        <w:t>51</w:t>
      </w:r>
      <w:r>
        <w:rPr>
          <w:iCs/>
          <w:szCs w:val="18"/>
        </w:rPr>
        <w:t>′</w:t>
      </w:r>
      <w:r>
        <w:rPr>
          <w:rFonts w:hint="eastAsia"/>
          <w:iCs/>
          <w:szCs w:val="18"/>
        </w:rPr>
        <w:t>44</w:t>
      </w:r>
      <w:r>
        <w:rPr>
          <w:iCs/>
          <w:szCs w:val="18"/>
        </w:rPr>
        <w:t>″—113°</w:t>
      </w:r>
      <w:r>
        <w:rPr>
          <w:rFonts w:hint="eastAsia"/>
          <w:iCs/>
          <w:szCs w:val="18"/>
        </w:rPr>
        <w:t>51</w:t>
      </w:r>
      <w:r>
        <w:rPr>
          <w:iCs/>
          <w:szCs w:val="18"/>
        </w:rPr>
        <w:t>′</w:t>
      </w:r>
      <w:r>
        <w:rPr>
          <w:rFonts w:hint="eastAsia"/>
          <w:iCs/>
          <w:szCs w:val="18"/>
        </w:rPr>
        <w:t>56</w:t>
      </w:r>
      <w:r>
        <w:rPr>
          <w:iCs/>
          <w:szCs w:val="18"/>
        </w:rPr>
        <w:t>″，北纬3</w:t>
      </w:r>
      <w:r>
        <w:rPr>
          <w:rFonts w:hint="eastAsia"/>
          <w:iCs/>
          <w:szCs w:val="18"/>
        </w:rPr>
        <w:t>9</w:t>
      </w:r>
      <w:r>
        <w:rPr>
          <w:iCs/>
          <w:szCs w:val="18"/>
        </w:rPr>
        <w:t>°</w:t>
      </w:r>
      <w:r>
        <w:rPr>
          <w:rFonts w:hint="eastAsia"/>
          <w:iCs/>
          <w:szCs w:val="18"/>
        </w:rPr>
        <w:t>17</w:t>
      </w:r>
      <w:r>
        <w:rPr>
          <w:iCs/>
          <w:szCs w:val="18"/>
        </w:rPr>
        <w:t>′</w:t>
      </w:r>
      <w:r>
        <w:rPr>
          <w:rFonts w:hint="eastAsia"/>
          <w:iCs/>
          <w:szCs w:val="18"/>
        </w:rPr>
        <w:t>05</w:t>
      </w:r>
      <w:r>
        <w:rPr>
          <w:iCs/>
          <w:szCs w:val="18"/>
        </w:rPr>
        <w:t>″—38°</w:t>
      </w:r>
      <w:r>
        <w:rPr>
          <w:rFonts w:hint="eastAsia"/>
          <w:iCs/>
          <w:szCs w:val="18"/>
        </w:rPr>
        <w:t>13</w:t>
      </w:r>
      <w:r>
        <w:rPr>
          <w:iCs/>
          <w:szCs w:val="18"/>
        </w:rPr>
        <w:t>′</w:t>
      </w:r>
      <w:r>
        <w:rPr>
          <w:rFonts w:hint="eastAsia"/>
          <w:iCs/>
          <w:szCs w:val="18"/>
        </w:rPr>
        <w:t>11</w:t>
      </w:r>
      <w:r>
        <w:rPr>
          <w:iCs/>
          <w:szCs w:val="18"/>
        </w:rPr>
        <w:t>″，矿区范围由下列4个拐点圈定：</w:t>
      </w:r>
    </w:p>
    <w:p>
      <w:pPr>
        <w:spacing w:line="440" w:lineRule="exact"/>
        <w:ind w:firstLine="420" w:firstLineChars="200"/>
        <w:jc w:val="center"/>
        <w:rPr>
          <w:rFonts w:ascii="黑体" w:hAnsi="黑体" w:eastAsia="黑体"/>
          <w:iCs/>
          <w:sz w:val="21"/>
          <w:szCs w:val="18"/>
        </w:rPr>
      </w:pPr>
      <w:r>
        <w:rPr>
          <w:rFonts w:hint="eastAsia" w:ascii="黑体" w:hAnsi="黑体" w:eastAsia="黑体"/>
          <w:iCs/>
          <w:sz w:val="21"/>
          <w:szCs w:val="18"/>
        </w:rPr>
        <w:t>表</w:t>
      </w:r>
      <w:r>
        <w:rPr>
          <w:rFonts w:eastAsia="黑体"/>
          <w:iCs/>
          <w:sz w:val="21"/>
          <w:szCs w:val="18"/>
        </w:rPr>
        <w:t>2.2-1</w:t>
      </w:r>
      <w:r>
        <w:rPr>
          <w:rFonts w:hint="eastAsia" w:ascii="黑体" w:hAnsi="黑体" w:eastAsia="黑体"/>
          <w:iCs/>
          <w:sz w:val="21"/>
          <w:szCs w:val="18"/>
        </w:rPr>
        <w:t xml:space="preserve"> 矿区范围拐点坐标对照表</w:t>
      </w:r>
    </w:p>
    <w:tbl>
      <w:tblPr>
        <w:tblStyle w:val="8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
        <w:gridCol w:w="1514"/>
        <w:gridCol w:w="1419"/>
        <w:gridCol w:w="1558"/>
        <w:gridCol w:w="1560"/>
        <w:gridCol w:w="1417"/>
        <w:gridCol w:w="1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vMerge w:val="restar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sz w:val="21"/>
                <w:szCs w:val="21"/>
              </w:rPr>
            </w:pPr>
            <w:r>
              <w:rPr>
                <w:sz w:val="21"/>
                <w:szCs w:val="21"/>
              </w:rPr>
              <w:t>点</w:t>
            </w:r>
          </w:p>
          <w:p>
            <w:pPr>
              <w:widowControl w:val="0"/>
              <w:spacing w:line="360" w:lineRule="exact"/>
              <w:jc w:val="center"/>
              <w:rPr>
                <w:sz w:val="21"/>
                <w:szCs w:val="21"/>
              </w:rPr>
            </w:pPr>
            <w:r>
              <w:rPr>
                <w:sz w:val="21"/>
                <w:szCs w:val="21"/>
              </w:rPr>
              <w:t>号</w:t>
            </w:r>
          </w:p>
        </w:tc>
        <w:tc>
          <w:tcPr>
            <w:tcW w:w="1579" w:type="pct"/>
            <w:gridSpan w:val="2"/>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北京54</w:t>
            </w:r>
            <w:r>
              <w:rPr>
                <w:rFonts w:ascii="宋体" w:hAnsi="宋体"/>
                <w:sz w:val="21"/>
                <w:szCs w:val="21"/>
              </w:rPr>
              <w:t>坐标系</w:t>
            </w:r>
            <w:r>
              <w:rPr>
                <w:sz w:val="21"/>
                <w:szCs w:val="21"/>
              </w:rPr>
              <w:t>(3</w:t>
            </w:r>
            <w:r>
              <w:rPr>
                <w:rFonts w:ascii="宋体" w:hAnsi="宋体"/>
                <w:sz w:val="21"/>
                <w:szCs w:val="21"/>
              </w:rPr>
              <w:t>度带</w:t>
            </w:r>
            <w:r>
              <w:rPr>
                <w:sz w:val="21"/>
                <w:szCs w:val="21"/>
              </w:rPr>
              <w:t>)</w:t>
            </w:r>
          </w:p>
        </w:tc>
        <w:tc>
          <w:tcPr>
            <w:tcW w:w="1679" w:type="pct"/>
            <w:gridSpan w:val="2"/>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北京54</w:t>
            </w:r>
            <w:r>
              <w:rPr>
                <w:rFonts w:ascii="宋体" w:hAnsi="宋体"/>
                <w:sz w:val="21"/>
                <w:szCs w:val="21"/>
              </w:rPr>
              <w:t>坐标系</w:t>
            </w:r>
            <w:r>
              <w:rPr>
                <w:sz w:val="21"/>
                <w:szCs w:val="21"/>
              </w:rPr>
              <w:t>(6</w:t>
            </w:r>
            <w:r>
              <w:rPr>
                <w:rFonts w:ascii="宋体" w:hAnsi="宋体"/>
                <w:sz w:val="21"/>
                <w:szCs w:val="21"/>
              </w:rPr>
              <w:t>度带</w:t>
            </w:r>
            <w:r>
              <w:rPr>
                <w:sz w:val="21"/>
                <w:szCs w:val="21"/>
              </w:rPr>
              <w:t>)</w:t>
            </w:r>
          </w:p>
        </w:tc>
        <w:tc>
          <w:tcPr>
            <w:tcW w:w="1507" w:type="pct"/>
            <w:gridSpan w:val="2"/>
            <w:tcBorders>
              <w:top w:val="single" w:color="000000" w:sz="4" w:space="0"/>
              <w:left w:val="nil"/>
              <w:bottom w:val="single" w:color="auto" w:sz="4" w:space="0"/>
              <w:right w:val="single" w:color="000000" w:sz="4" w:space="0"/>
            </w:tcBorders>
            <w:vAlign w:val="center"/>
          </w:tcPr>
          <w:p>
            <w:pPr>
              <w:widowControl w:val="0"/>
              <w:spacing w:line="360" w:lineRule="exact"/>
              <w:jc w:val="center"/>
              <w:rPr>
                <w:sz w:val="21"/>
                <w:szCs w:val="21"/>
              </w:rPr>
            </w:pPr>
            <w:r>
              <w:rPr>
                <w:sz w:val="21"/>
                <w:szCs w:val="21"/>
              </w:rPr>
              <w:t>北京54</w:t>
            </w:r>
            <w:r>
              <w:rPr>
                <w:rFonts w:ascii="宋体" w:hAnsi="宋体"/>
                <w:sz w:val="21"/>
                <w:szCs w:val="21"/>
              </w:rPr>
              <w:t>坐标系</w:t>
            </w:r>
            <w:r>
              <w:rPr>
                <w:sz w:val="21"/>
                <w:szCs w:val="21"/>
              </w:rPr>
              <w:t>(</w:t>
            </w:r>
            <w:r>
              <w:rPr>
                <w:rFonts w:ascii="宋体" w:hAnsi="宋体"/>
                <w:sz w:val="21"/>
                <w:szCs w:val="21"/>
              </w:rPr>
              <w:t>经纬度</w:t>
            </w:r>
            <w:r>
              <w:rPr>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vMerge w:val="continue"/>
            <w:tcBorders>
              <w:top w:val="single" w:color="000000" w:sz="4" w:space="0"/>
              <w:left w:val="single" w:color="000000" w:sz="4" w:space="0"/>
              <w:bottom w:val="single" w:color="000000" w:sz="4" w:space="0"/>
              <w:right w:val="single" w:color="000000" w:sz="4" w:space="0"/>
            </w:tcBorders>
            <w:vAlign w:val="center"/>
          </w:tcPr>
          <w:p>
            <w:pPr>
              <w:spacing w:line="360" w:lineRule="exact"/>
              <w:rPr>
                <w:sz w:val="21"/>
                <w:szCs w:val="21"/>
              </w:rPr>
            </w:pP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X</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Y</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X</w:t>
            </w:r>
          </w:p>
        </w:tc>
        <w:tc>
          <w:tcPr>
            <w:tcW w:w="840" w:type="pct"/>
            <w:tcBorders>
              <w:top w:val="single" w:color="auto" w:sz="4" w:space="0"/>
              <w:left w:val="nil"/>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Y</w:t>
            </w:r>
          </w:p>
        </w:tc>
        <w:tc>
          <w:tcPr>
            <w:tcW w:w="763" w:type="pct"/>
            <w:tcBorders>
              <w:top w:val="single" w:color="auto" w:sz="4" w:space="0"/>
              <w:left w:val="nil"/>
              <w:bottom w:val="single" w:color="000000" w:sz="4" w:space="0"/>
              <w:right w:val="single" w:color="auto" w:sz="4" w:space="0"/>
            </w:tcBorders>
            <w:vAlign w:val="center"/>
          </w:tcPr>
          <w:p>
            <w:pPr>
              <w:widowControl w:val="0"/>
              <w:spacing w:line="360" w:lineRule="exact"/>
              <w:jc w:val="center"/>
              <w:rPr>
                <w:sz w:val="21"/>
                <w:szCs w:val="21"/>
              </w:rPr>
            </w:pPr>
            <w:r>
              <w:rPr>
                <w:sz w:val="21"/>
                <w:szCs w:val="21"/>
              </w:rPr>
              <w:t>X</w:t>
            </w:r>
          </w:p>
        </w:tc>
        <w:tc>
          <w:tcPr>
            <w:tcW w:w="744" w:type="pct"/>
            <w:tcBorders>
              <w:top w:val="single" w:color="auto" w:sz="4" w:space="0"/>
              <w:left w:val="nil"/>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1</w:t>
            </w: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4350385</w:t>
            </w:r>
            <w:r>
              <w:rPr>
                <w:rFonts w:hint="eastAsia"/>
                <w:sz w:val="21"/>
                <w:szCs w:val="21"/>
              </w:rPr>
              <w:t>.00</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38488119</w:t>
            </w:r>
            <w:r>
              <w:rPr>
                <w:rFonts w:hint="eastAsia"/>
                <w:kern w:val="10"/>
                <w:sz w:val="21"/>
                <w:szCs w:val="21"/>
              </w:rPr>
              <w:t>.00</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4354284</w:t>
            </w:r>
            <w:r>
              <w:rPr>
                <w:rFonts w:hint="eastAsia"/>
                <w:kern w:val="10"/>
                <w:sz w:val="21"/>
                <w:szCs w:val="21"/>
              </w:rPr>
              <w:t>.00</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19746972</w:t>
            </w:r>
            <w:r>
              <w:rPr>
                <w:rFonts w:hint="eastAsia"/>
                <w:kern w:val="10"/>
                <w:sz w:val="21"/>
                <w:szCs w:val="21"/>
              </w:rPr>
              <w:t>.00</w:t>
            </w:r>
            <w:r>
              <w:rPr>
                <w:rFonts w:hint="eastAsia"/>
                <w:sz w:val="21"/>
                <w:szCs w:val="21"/>
              </w:rPr>
              <w:t> </w:t>
            </w:r>
          </w:p>
        </w:tc>
        <w:tc>
          <w:tcPr>
            <w:tcW w:w="763" w:type="pct"/>
            <w:tcBorders>
              <w:top w:val="single" w:color="000000" w:sz="4" w:space="0"/>
              <w:left w:val="nil"/>
              <w:bottom w:val="single" w:color="auto" w:sz="4" w:space="0"/>
              <w:right w:val="single" w:color="auto" w:sz="4" w:space="0"/>
            </w:tcBorders>
            <w:vAlign w:val="center"/>
          </w:tcPr>
          <w:p>
            <w:pPr>
              <w:widowControl w:val="0"/>
              <w:spacing w:line="360" w:lineRule="exact"/>
              <w:jc w:val="center"/>
              <w:rPr>
                <w:color w:val="000000"/>
                <w:sz w:val="21"/>
                <w:szCs w:val="21"/>
              </w:rPr>
            </w:pPr>
            <w:r>
              <w:rPr>
                <w:color w:val="000000"/>
                <w:sz w:val="21"/>
                <w:szCs w:val="21"/>
              </w:rPr>
              <w:t>39°17′11″</w:t>
            </w:r>
          </w:p>
        </w:tc>
        <w:tc>
          <w:tcPr>
            <w:tcW w:w="744" w:type="pct"/>
            <w:tcBorders>
              <w:top w:val="single" w:color="000000" w:sz="4" w:space="0"/>
              <w:left w:val="nil"/>
              <w:bottom w:val="single" w:color="auto" w:sz="4" w:space="0"/>
              <w:right w:val="single" w:color="000000" w:sz="4" w:space="0"/>
            </w:tcBorders>
            <w:vAlign w:val="center"/>
          </w:tcPr>
          <w:p>
            <w:pPr>
              <w:widowControl w:val="0"/>
              <w:adjustRightInd w:val="0"/>
              <w:snapToGrid w:val="0"/>
              <w:spacing w:line="360" w:lineRule="exact"/>
              <w:jc w:val="center"/>
              <w:rPr>
                <w:color w:val="000000"/>
                <w:sz w:val="21"/>
                <w:szCs w:val="21"/>
              </w:rPr>
            </w:pPr>
            <w:r>
              <w:rPr>
                <w:color w:val="000000"/>
                <w:sz w:val="21"/>
                <w:szCs w:val="21"/>
              </w:rPr>
              <w:t>113°51′4</w:t>
            </w:r>
            <w:r>
              <w:rPr>
                <w:rFonts w:hint="eastAsia"/>
                <w:color w:val="000000"/>
                <w:sz w:val="21"/>
                <w:szCs w:val="21"/>
              </w:rPr>
              <w:t>2</w:t>
            </w:r>
            <w:r>
              <w:rPr>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2</w:t>
            </w: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4350381</w:t>
            </w:r>
            <w:r>
              <w:rPr>
                <w:rFonts w:hint="eastAsia"/>
                <w:kern w:val="10"/>
                <w:sz w:val="21"/>
                <w:szCs w:val="21"/>
              </w:rPr>
              <w:t>.00</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38488400</w:t>
            </w:r>
            <w:r>
              <w:rPr>
                <w:rFonts w:hint="eastAsia"/>
                <w:kern w:val="10"/>
                <w:sz w:val="21"/>
                <w:szCs w:val="21"/>
              </w:rPr>
              <w:t>.00</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4354289</w:t>
            </w:r>
            <w:r>
              <w:rPr>
                <w:rFonts w:hint="eastAsia"/>
                <w:kern w:val="10"/>
                <w:sz w:val="21"/>
                <w:szCs w:val="21"/>
              </w:rPr>
              <w:t>.00</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19747253</w:t>
            </w:r>
            <w:r>
              <w:rPr>
                <w:rFonts w:hint="eastAsia"/>
                <w:kern w:val="10"/>
                <w:sz w:val="21"/>
                <w:szCs w:val="21"/>
              </w:rPr>
              <w:t>.00</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000000"/>
                <w:sz w:val="21"/>
                <w:szCs w:val="21"/>
              </w:rPr>
            </w:pPr>
            <w:r>
              <w:rPr>
                <w:color w:val="000000"/>
                <w:sz w:val="21"/>
                <w:szCs w:val="21"/>
              </w:rPr>
              <w:t>39°17′11″</w:t>
            </w:r>
          </w:p>
        </w:tc>
        <w:tc>
          <w:tcPr>
            <w:tcW w:w="744" w:type="pct"/>
            <w:tcBorders>
              <w:top w:val="single" w:color="auto" w:sz="4" w:space="0"/>
              <w:left w:val="nil"/>
              <w:bottom w:val="single" w:color="auto" w:sz="4" w:space="0"/>
              <w:right w:val="single" w:color="000000" w:sz="4" w:space="0"/>
            </w:tcBorders>
            <w:vAlign w:val="center"/>
          </w:tcPr>
          <w:p>
            <w:pPr>
              <w:widowControl w:val="0"/>
              <w:adjustRightInd w:val="0"/>
              <w:snapToGrid w:val="0"/>
              <w:spacing w:line="360" w:lineRule="exact"/>
              <w:jc w:val="center"/>
              <w:rPr>
                <w:color w:val="000000"/>
                <w:sz w:val="21"/>
                <w:szCs w:val="21"/>
              </w:rPr>
            </w:pPr>
            <w:r>
              <w:rPr>
                <w:color w:val="000000"/>
                <w:sz w:val="21"/>
                <w:szCs w:val="21"/>
              </w:rPr>
              <w:t>113°51′5</w:t>
            </w:r>
            <w:r>
              <w:rPr>
                <w:rFonts w:hint="eastAsia"/>
                <w:color w:val="000000"/>
                <w:sz w:val="21"/>
                <w:szCs w:val="21"/>
              </w:rPr>
              <w:t>3</w:t>
            </w:r>
            <w:r>
              <w:rPr>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3</w:t>
            </w: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4350200</w:t>
            </w:r>
            <w:r>
              <w:rPr>
                <w:rFonts w:hint="eastAsia"/>
                <w:sz w:val="21"/>
                <w:szCs w:val="21"/>
              </w:rPr>
              <w:t>.00</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38488400</w:t>
            </w:r>
            <w:r>
              <w:rPr>
                <w:rFonts w:hint="eastAsia"/>
                <w:sz w:val="21"/>
                <w:szCs w:val="21"/>
              </w:rPr>
              <w:t>.00</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4354108</w:t>
            </w:r>
            <w:r>
              <w:rPr>
                <w:rFonts w:hint="eastAsia"/>
                <w:kern w:val="10"/>
                <w:sz w:val="21"/>
                <w:szCs w:val="21"/>
              </w:rPr>
              <w:t>.00</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19747259</w:t>
            </w:r>
            <w:r>
              <w:rPr>
                <w:rFonts w:hint="eastAsia"/>
                <w:kern w:val="10"/>
                <w:sz w:val="21"/>
                <w:szCs w:val="21"/>
              </w:rPr>
              <w:t>.00</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000000"/>
                <w:sz w:val="21"/>
                <w:szCs w:val="21"/>
              </w:rPr>
            </w:pPr>
            <w:r>
              <w:rPr>
                <w:color w:val="000000"/>
                <w:sz w:val="21"/>
                <w:szCs w:val="21"/>
              </w:rPr>
              <w:t>39°17′0</w:t>
            </w:r>
            <w:r>
              <w:rPr>
                <w:rFonts w:hint="eastAsia"/>
                <w:color w:val="000000"/>
                <w:sz w:val="21"/>
                <w:szCs w:val="21"/>
              </w:rPr>
              <w:t>6</w:t>
            </w:r>
            <w:r>
              <w:rPr>
                <w:color w:val="000000"/>
                <w:sz w:val="21"/>
                <w:szCs w:val="21"/>
              </w:rPr>
              <w:t>″</w:t>
            </w:r>
          </w:p>
        </w:tc>
        <w:tc>
          <w:tcPr>
            <w:tcW w:w="744" w:type="pct"/>
            <w:tcBorders>
              <w:top w:val="single" w:color="auto" w:sz="4" w:space="0"/>
              <w:left w:val="nil"/>
              <w:bottom w:val="single" w:color="auto" w:sz="4" w:space="0"/>
              <w:right w:val="single" w:color="000000" w:sz="4" w:space="0"/>
            </w:tcBorders>
            <w:vAlign w:val="center"/>
          </w:tcPr>
          <w:p>
            <w:pPr>
              <w:widowControl w:val="0"/>
              <w:adjustRightInd w:val="0"/>
              <w:snapToGrid w:val="0"/>
              <w:spacing w:line="360" w:lineRule="exact"/>
              <w:jc w:val="center"/>
              <w:rPr>
                <w:color w:val="000000"/>
                <w:sz w:val="21"/>
                <w:szCs w:val="21"/>
              </w:rPr>
            </w:pPr>
            <w:r>
              <w:rPr>
                <w:color w:val="000000"/>
                <w:sz w:val="21"/>
                <w:szCs w:val="21"/>
              </w:rPr>
              <w:t>113°51′5</w:t>
            </w:r>
            <w:r>
              <w:rPr>
                <w:rFonts w:hint="eastAsia"/>
                <w:color w:val="000000"/>
                <w:sz w:val="21"/>
                <w:szCs w:val="21"/>
              </w:rPr>
              <w:t>3</w:t>
            </w:r>
            <w:r>
              <w:rPr>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4</w:t>
            </w: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4350207</w:t>
            </w:r>
            <w:r>
              <w:rPr>
                <w:rFonts w:hint="eastAsia"/>
                <w:sz w:val="21"/>
                <w:szCs w:val="21"/>
              </w:rPr>
              <w:t>.00</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38488114</w:t>
            </w:r>
            <w:r>
              <w:rPr>
                <w:rFonts w:hint="eastAsia"/>
                <w:sz w:val="21"/>
                <w:szCs w:val="21"/>
              </w:rPr>
              <w:t>.00</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4354106</w:t>
            </w:r>
            <w:r>
              <w:rPr>
                <w:rFonts w:hint="eastAsia"/>
                <w:kern w:val="10"/>
                <w:sz w:val="21"/>
                <w:szCs w:val="21"/>
              </w:rPr>
              <w:t>.00</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sz w:val="21"/>
                <w:szCs w:val="21"/>
              </w:rPr>
            </w:pPr>
            <w:r>
              <w:rPr>
                <w:kern w:val="10"/>
                <w:sz w:val="21"/>
                <w:szCs w:val="21"/>
              </w:rPr>
              <w:t>19746973</w:t>
            </w:r>
            <w:r>
              <w:rPr>
                <w:rFonts w:hint="eastAsia"/>
                <w:kern w:val="10"/>
                <w:sz w:val="21"/>
                <w:szCs w:val="21"/>
              </w:rPr>
              <w:t>.00</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000000"/>
                <w:sz w:val="21"/>
                <w:szCs w:val="21"/>
              </w:rPr>
            </w:pPr>
            <w:r>
              <w:rPr>
                <w:color w:val="000000"/>
                <w:sz w:val="21"/>
                <w:szCs w:val="21"/>
              </w:rPr>
              <w:t>39°17′05″</w:t>
            </w:r>
          </w:p>
        </w:tc>
        <w:tc>
          <w:tcPr>
            <w:tcW w:w="744" w:type="pct"/>
            <w:tcBorders>
              <w:top w:val="single" w:color="auto" w:sz="4" w:space="0"/>
              <w:left w:val="nil"/>
              <w:bottom w:val="single" w:color="auto" w:sz="4" w:space="0"/>
              <w:right w:val="single" w:color="000000" w:sz="4" w:space="0"/>
            </w:tcBorders>
            <w:vAlign w:val="center"/>
          </w:tcPr>
          <w:p>
            <w:pPr>
              <w:widowControl w:val="0"/>
              <w:adjustRightInd w:val="0"/>
              <w:snapToGrid w:val="0"/>
              <w:spacing w:line="360" w:lineRule="exact"/>
              <w:jc w:val="center"/>
              <w:rPr>
                <w:color w:val="000000"/>
                <w:sz w:val="21"/>
                <w:szCs w:val="21"/>
              </w:rPr>
            </w:pPr>
            <w:r>
              <w:rPr>
                <w:color w:val="000000"/>
                <w:sz w:val="21"/>
                <w:szCs w:val="21"/>
              </w:rPr>
              <w:t>113°51′44″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vMerge w:val="restart"/>
            <w:tcBorders>
              <w:top w:val="nil"/>
              <w:left w:val="single" w:color="000000" w:sz="4" w:space="0"/>
              <w:bottom w:val="single" w:color="000000" w:sz="4" w:space="0"/>
              <w:right w:val="single" w:color="000000" w:sz="4" w:space="0"/>
            </w:tcBorders>
            <w:vAlign w:val="center"/>
          </w:tcPr>
          <w:p>
            <w:pPr>
              <w:spacing w:line="360" w:lineRule="exact"/>
              <w:jc w:val="center"/>
              <w:rPr>
                <w:sz w:val="21"/>
                <w:szCs w:val="21"/>
              </w:rPr>
            </w:pPr>
            <w:r>
              <w:rPr>
                <w:sz w:val="21"/>
                <w:szCs w:val="21"/>
              </w:rPr>
              <w:t>点</w:t>
            </w:r>
          </w:p>
          <w:p>
            <w:pPr>
              <w:widowControl w:val="0"/>
              <w:spacing w:line="360" w:lineRule="exact"/>
              <w:jc w:val="center"/>
              <w:rPr>
                <w:sz w:val="21"/>
                <w:szCs w:val="21"/>
              </w:rPr>
            </w:pPr>
            <w:r>
              <w:rPr>
                <w:sz w:val="21"/>
                <w:szCs w:val="21"/>
              </w:rPr>
              <w:t>号</w:t>
            </w:r>
          </w:p>
        </w:tc>
        <w:tc>
          <w:tcPr>
            <w:tcW w:w="1579" w:type="pct"/>
            <w:gridSpan w:val="2"/>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西安80</w:t>
            </w:r>
            <w:r>
              <w:rPr>
                <w:rFonts w:ascii="宋体" w:hAnsi="宋体"/>
                <w:color w:val="000000"/>
                <w:sz w:val="21"/>
                <w:szCs w:val="21"/>
              </w:rPr>
              <w:t>坐标系</w:t>
            </w:r>
            <w:r>
              <w:rPr>
                <w:color w:val="000000"/>
                <w:sz w:val="21"/>
                <w:szCs w:val="21"/>
              </w:rPr>
              <w:t>(3</w:t>
            </w:r>
            <w:r>
              <w:rPr>
                <w:rFonts w:ascii="宋体" w:hAnsi="宋体"/>
                <w:color w:val="000000"/>
                <w:sz w:val="21"/>
                <w:szCs w:val="21"/>
              </w:rPr>
              <w:t>度带</w:t>
            </w:r>
            <w:r>
              <w:rPr>
                <w:color w:val="000000"/>
                <w:sz w:val="21"/>
                <w:szCs w:val="21"/>
              </w:rPr>
              <w:t>)</w:t>
            </w:r>
          </w:p>
        </w:tc>
        <w:tc>
          <w:tcPr>
            <w:tcW w:w="1679" w:type="pct"/>
            <w:gridSpan w:val="2"/>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西安80</w:t>
            </w:r>
            <w:r>
              <w:rPr>
                <w:rFonts w:ascii="宋体" w:hAnsi="宋体"/>
                <w:color w:val="000000"/>
                <w:sz w:val="21"/>
                <w:szCs w:val="21"/>
              </w:rPr>
              <w:t>坐标系</w:t>
            </w:r>
            <w:r>
              <w:rPr>
                <w:color w:val="000000"/>
                <w:sz w:val="21"/>
                <w:szCs w:val="21"/>
              </w:rPr>
              <w:t>(6</w:t>
            </w:r>
            <w:r>
              <w:rPr>
                <w:rFonts w:ascii="宋体" w:hAnsi="宋体"/>
                <w:color w:val="000000"/>
                <w:sz w:val="21"/>
                <w:szCs w:val="21"/>
              </w:rPr>
              <w:t>度带</w:t>
            </w:r>
            <w:r>
              <w:rPr>
                <w:color w:val="000000"/>
                <w:sz w:val="21"/>
                <w:szCs w:val="21"/>
              </w:rPr>
              <w:t>)</w:t>
            </w:r>
          </w:p>
        </w:tc>
        <w:tc>
          <w:tcPr>
            <w:tcW w:w="1507" w:type="pct"/>
            <w:gridSpan w:val="2"/>
            <w:tcBorders>
              <w:top w:val="single" w:color="auto" w:sz="4" w:space="0"/>
              <w:left w:val="nil"/>
              <w:bottom w:val="single" w:color="auto"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西安80</w:t>
            </w:r>
            <w:r>
              <w:rPr>
                <w:rFonts w:ascii="宋体" w:hAnsi="宋体"/>
                <w:color w:val="000000"/>
                <w:sz w:val="21"/>
                <w:szCs w:val="21"/>
              </w:rPr>
              <w:t>坐标系</w:t>
            </w:r>
            <w:r>
              <w:rPr>
                <w:color w:val="000000"/>
                <w:sz w:val="21"/>
                <w:szCs w:val="21"/>
              </w:rPr>
              <w:t>(</w:t>
            </w:r>
            <w:r>
              <w:rPr>
                <w:rFonts w:ascii="宋体" w:hAnsi="宋体"/>
                <w:color w:val="000000"/>
                <w:sz w:val="21"/>
                <w:szCs w:val="21"/>
              </w:rPr>
              <w:t>经纬度</w:t>
            </w:r>
            <w:r>
              <w:rPr>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vMerge w:val="continue"/>
            <w:tcBorders>
              <w:top w:val="nil"/>
              <w:left w:val="single" w:color="000000" w:sz="4" w:space="0"/>
              <w:bottom w:val="single" w:color="000000" w:sz="4" w:space="0"/>
              <w:right w:val="single" w:color="000000" w:sz="4" w:space="0"/>
            </w:tcBorders>
            <w:vAlign w:val="center"/>
          </w:tcPr>
          <w:p>
            <w:pPr>
              <w:spacing w:line="360" w:lineRule="exact"/>
              <w:rPr>
                <w:sz w:val="21"/>
                <w:szCs w:val="21"/>
              </w:rPr>
            </w:pP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X</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Y</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X</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Y</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000000"/>
                <w:sz w:val="21"/>
                <w:szCs w:val="21"/>
              </w:rPr>
            </w:pPr>
            <w:r>
              <w:rPr>
                <w:color w:val="000000"/>
                <w:sz w:val="21"/>
                <w:szCs w:val="21"/>
              </w:rPr>
              <w:t>X</w:t>
            </w:r>
          </w:p>
        </w:tc>
        <w:tc>
          <w:tcPr>
            <w:tcW w:w="744" w:type="pct"/>
            <w:tcBorders>
              <w:top w:val="single" w:color="auto" w:sz="4" w:space="0"/>
              <w:left w:val="nil"/>
              <w:bottom w:val="single" w:color="auto"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1</w:t>
            </w: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sz w:val="21"/>
                <w:szCs w:val="21"/>
              </w:rPr>
              <w:t>4350340.64</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38488053.3</w:t>
            </w:r>
            <w:r>
              <w:rPr>
                <w:rFonts w:hint="eastAsia"/>
                <w:color w:val="000000"/>
                <w:sz w:val="21"/>
                <w:szCs w:val="21"/>
              </w:rPr>
              <w:t>2</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rFonts w:hint="eastAsia"/>
                <w:color w:val="000000"/>
                <w:sz w:val="21"/>
                <w:szCs w:val="21"/>
              </w:rPr>
              <w:t>4354237.30</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rFonts w:hint="eastAsia"/>
                <w:color w:val="000000"/>
                <w:sz w:val="21"/>
                <w:szCs w:val="21"/>
              </w:rPr>
              <w:t>19746901.29</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000000"/>
                <w:sz w:val="21"/>
                <w:szCs w:val="21"/>
              </w:rPr>
            </w:pPr>
            <w:r>
              <w:rPr>
                <w:color w:val="000000"/>
                <w:sz w:val="21"/>
                <w:szCs w:val="21"/>
              </w:rPr>
              <w:t>3</w:t>
            </w:r>
            <w:r>
              <w:rPr>
                <w:rFonts w:hint="eastAsia"/>
                <w:color w:val="000000"/>
                <w:sz w:val="21"/>
                <w:szCs w:val="21"/>
              </w:rPr>
              <w:t>9</w:t>
            </w:r>
            <w:r>
              <w:rPr>
                <w:color w:val="000000"/>
                <w:sz w:val="21"/>
                <w:szCs w:val="21"/>
              </w:rPr>
              <w:t>°1</w:t>
            </w:r>
            <w:r>
              <w:rPr>
                <w:rFonts w:hint="eastAsia"/>
                <w:color w:val="000000"/>
                <w:sz w:val="21"/>
                <w:szCs w:val="21"/>
              </w:rPr>
              <w:t>7</w:t>
            </w:r>
            <w:r>
              <w:rPr>
                <w:color w:val="000000"/>
                <w:sz w:val="21"/>
                <w:szCs w:val="21"/>
              </w:rPr>
              <w:t>′</w:t>
            </w:r>
            <w:r>
              <w:rPr>
                <w:rFonts w:hint="eastAsia"/>
                <w:color w:val="000000"/>
                <w:sz w:val="21"/>
                <w:szCs w:val="21"/>
              </w:rPr>
              <w:t>12</w:t>
            </w:r>
            <w:r>
              <w:rPr>
                <w:color w:val="000000"/>
                <w:sz w:val="21"/>
                <w:szCs w:val="21"/>
              </w:rPr>
              <w:t>″</w:t>
            </w:r>
          </w:p>
        </w:tc>
        <w:tc>
          <w:tcPr>
            <w:tcW w:w="744" w:type="pct"/>
            <w:tcBorders>
              <w:top w:val="single" w:color="auto" w:sz="4" w:space="0"/>
              <w:left w:val="nil"/>
              <w:bottom w:val="single" w:color="auto" w:sz="4" w:space="0"/>
              <w:right w:val="single" w:color="000000" w:sz="4" w:space="0"/>
            </w:tcBorders>
            <w:vAlign w:val="center"/>
          </w:tcPr>
          <w:p>
            <w:pPr>
              <w:widowControl w:val="0"/>
              <w:adjustRightInd w:val="0"/>
              <w:snapToGrid w:val="0"/>
              <w:spacing w:line="360" w:lineRule="exact"/>
              <w:jc w:val="center"/>
              <w:rPr>
                <w:color w:val="000000"/>
                <w:sz w:val="21"/>
                <w:szCs w:val="21"/>
              </w:rPr>
            </w:pPr>
            <w:r>
              <w:rPr>
                <w:color w:val="000000"/>
                <w:sz w:val="21"/>
                <w:szCs w:val="21"/>
              </w:rPr>
              <w:t>11</w:t>
            </w:r>
            <w:r>
              <w:rPr>
                <w:rFonts w:hint="eastAsia"/>
                <w:color w:val="000000"/>
                <w:sz w:val="21"/>
                <w:szCs w:val="21"/>
              </w:rPr>
              <w:t>3</w:t>
            </w:r>
            <w:r>
              <w:rPr>
                <w:color w:val="000000"/>
                <w:sz w:val="21"/>
                <w:szCs w:val="21"/>
              </w:rPr>
              <w:t>°</w:t>
            </w:r>
            <w:r>
              <w:rPr>
                <w:rFonts w:hint="eastAsia"/>
                <w:color w:val="000000"/>
                <w:sz w:val="21"/>
                <w:szCs w:val="21"/>
              </w:rPr>
              <w:t>51</w:t>
            </w:r>
            <w:r>
              <w:rPr>
                <w:color w:val="000000"/>
                <w:sz w:val="21"/>
                <w:szCs w:val="21"/>
              </w:rPr>
              <w:t>′</w:t>
            </w:r>
            <w:r>
              <w:rPr>
                <w:rFonts w:hint="eastAsia"/>
                <w:color w:val="000000"/>
                <w:sz w:val="21"/>
                <w:szCs w:val="21"/>
              </w:rPr>
              <w:t>42</w:t>
            </w:r>
            <w:r>
              <w:rPr>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2</w:t>
            </w: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sz w:val="21"/>
                <w:szCs w:val="21"/>
              </w:rPr>
              <w:t>4350336.3</w:t>
            </w:r>
            <w:r>
              <w:rPr>
                <w:rFonts w:hint="eastAsia"/>
                <w:sz w:val="21"/>
                <w:szCs w:val="21"/>
              </w:rPr>
              <w:t>3</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38488334.12</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rFonts w:hint="eastAsia"/>
                <w:color w:val="000000"/>
                <w:sz w:val="21"/>
                <w:szCs w:val="21"/>
              </w:rPr>
              <w:t>4354242.31</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rFonts w:hint="eastAsia"/>
                <w:color w:val="000000"/>
                <w:sz w:val="21"/>
                <w:szCs w:val="21"/>
              </w:rPr>
              <w:t>19747182.28</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000000"/>
                <w:sz w:val="21"/>
                <w:szCs w:val="21"/>
              </w:rPr>
            </w:pPr>
            <w:r>
              <w:rPr>
                <w:color w:val="000000"/>
                <w:sz w:val="21"/>
                <w:szCs w:val="21"/>
              </w:rPr>
              <w:t>3</w:t>
            </w:r>
            <w:r>
              <w:rPr>
                <w:rFonts w:hint="eastAsia"/>
                <w:color w:val="000000"/>
                <w:sz w:val="21"/>
                <w:szCs w:val="21"/>
              </w:rPr>
              <w:t>9</w:t>
            </w:r>
            <w:r>
              <w:rPr>
                <w:color w:val="000000"/>
                <w:sz w:val="21"/>
                <w:szCs w:val="21"/>
              </w:rPr>
              <w:t>°</w:t>
            </w:r>
            <w:r>
              <w:rPr>
                <w:rFonts w:hint="eastAsia"/>
                <w:color w:val="000000"/>
                <w:sz w:val="21"/>
                <w:szCs w:val="21"/>
              </w:rPr>
              <w:t>17</w:t>
            </w:r>
            <w:r>
              <w:rPr>
                <w:color w:val="000000"/>
                <w:sz w:val="21"/>
                <w:szCs w:val="21"/>
              </w:rPr>
              <w:t>′</w:t>
            </w:r>
            <w:r>
              <w:rPr>
                <w:rFonts w:hint="eastAsia"/>
                <w:color w:val="000000"/>
                <w:sz w:val="21"/>
                <w:szCs w:val="21"/>
              </w:rPr>
              <w:t>12</w:t>
            </w:r>
            <w:r>
              <w:rPr>
                <w:color w:val="000000"/>
                <w:sz w:val="21"/>
                <w:szCs w:val="21"/>
              </w:rPr>
              <w:t>″</w:t>
            </w:r>
          </w:p>
        </w:tc>
        <w:tc>
          <w:tcPr>
            <w:tcW w:w="744" w:type="pct"/>
            <w:tcBorders>
              <w:top w:val="single" w:color="auto" w:sz="4" w:space="0"/>
              <w:left w:val="nil"/>
              <w:bottom w:val="single" w:color="auto" w:sz="4" w:space="0"/>
              <w:right w:val="single" w:color="000000" w:sz="4" w:space="0"/>
            </w:tcBorders>
            <w:vAlign w:val="center"/>
          </w:tcPr>
          <w:p>
            <w:pPr>
              <w:widowControl w:val="0"/>
              <w:adjustRightInd w:val="0"/>
              <w:snapToGrid w:val="0"/>
              <w:spacing w:line="360" w:lineRule="exact"/>
              <w:jc w:val="center"/>
              <w:rPr>
                <w:color w:val="000000"/>
                <w:sz w:val="21"/>
                <w:szCs w:val="21"/>
              </w:rPr>
            </w:pPr>
            <w:r>
              <w:rPr>
                <w:color w:val="000000"/>
                <w:sz w:val="21"/>
                <w:szCs w:val="21"/>
              </w:rPr>
              <w:t>11</w:t>
            </w:r>
            <w:r>
              <w:rPr>
                <w:rFonts w:hint="eastAsia"/>
                <w:color w:val="000000"/>
                <w:sz w:val="21"/>
                <w:szCs w:val="21"/>
              </w:rPr>
              <w:t>3</w:t>
            </w:r>
            <w:r>
              <w:rPr>
                <w:color w:val="000000"/>
                <w:sz w:val="21"/>
                <w:szCs w:val="21"/>
              </w:rPr>
              <w:t>°</w:t>
            </w:r>
            <w:r>
              <w:rPr>
                <w:rFonts w:hint="eastAsia"/>
                <w:color w:val="000000"/>
                <w:sz w:val="21"/>
                <w:szCs w:val="21"/>
              </w:rPr>
              <w:t>51</w:t>
            </w:r>
            <w:r>
              <w:rPr>
                <w:color w:val="000000"/>
                <w:sz w:val="21"/>
                <w:szCs w:val="21"/>
              </w:rPr>
              <w:t>′</w:t>
            </w:r>
            <w:r>
              <w:rPr>
                <w:rFonts w:hint="eastAsia"/>
                <w:color w:val="000000"/>
                <w:sz w:val="21"/>
                <w:szCs w:val="21"/>
              </w:rPr>
              <w:t>53</w:t>
            </w:r>
            <w:r>
              <w:rPr>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3</w:t>
            </w: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sz w:val="21"/>
                <w:szCs w:val="21"/>
              </w:rPr>
              <w:t>4350155.36</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38488334.1</w:t>
            </w:r>
            <w:r>
              <w:rPr>
                <w:rFonts w:hint="eastAsia"/>
                <w:color w:val="000000"/>
                <w:sz w:val="21"/>
                <w:szCs w:val="21"/>
              </w:rPr>
              <w:t>2</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rFonts w:hint="eastAsia"/>
                <w:color w:val="000000"/>
                <w:sz w:val="21"/>
                <w:szCs w:val="21"/>
              </w:rPr>
              <w:t>4354061.31</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rFonts w:hint="eastAsia"/>
                <w:color w:val="000000"/>
                <w:sz w:val="21"/>
                <w:szCs w:val="21"/>
              </w:rPr>
              <w:t>19747188.29</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000000"/>
                <w:sz w:val="21"/>
                <w:szCs w:val="21"/>
              </w:rPr>
            </w:pPr>
            <w:r>
              <w:rPr>
                <w:color w:val="000000"/>
                <w:sz w:val="21"/>
                <w:szCs w:val="21"/>
              </w:rPr>
              <w:t>3</w:t>
            </w:r>
            <w:r>
              <w:rPr>
                <w:rFonts w:hint="eastAsia"/>
                <w:color w:val="000000"/>
                <w:sz w:val="21"/>
                <w:szCs w:val="21"/>
              </w:rPr>
              <w:t>9</w:t>
            </w:r>
            <w:r>
              <w:rPr>
                <w:color w:val="000000"/>
                <w:sz w:val="21"/>
                <w:szCs w:val="21"/>
              </w:rPr>
              <w:t>°1</w:t>
            </w:r>
            <w:r>
              <w:rPr>
                <w:rFonts w:hint="eastAsia"/>
                <w:color w:val="000000"/>
                <w:sz w:val="21"/>
                <w:szCs w:val="21"/>
              </w:rPr>
              <w:t>7</w:t>
            </w:r>
            <w:r>
              <w:rPr>
                <w:color w:val="000000"/>
                <w:sz w:val="21"/>
                <w:szCs w:val="21"/>
              </w:rPr>
              <w:t>′</w:t>
            </w:r>
            <w:r>
              <w:rPr>
                <w:rFonts w:hint="eastAsia"/>
                <w:color w:val="000000"/>
                <w:sz w:val="21"/>
                <w:szCs w:val="21"/>
              </w:rPr>
              <w:t>06</w:t>
            </w:r>
            <w:r>
              <w:rPr>
                <w:color w:val="000000"/>
                <w:sz w:val="21"/>
                <w:szCs w:val="21"/>
              </w:rPr>
              <w:t>″</w:t>
            </w:r>
          </w:p>
        </w:tc>
        <w:tc>
          <w:tcPr>
            <w:tcW w:w="744" w:type="pct"/>
            <w:tcBorders>
              <w:top w:val="single" w:color="auto" w:sz="4" w:space="0"/>
              <w:left w:val="nil"/>
              <w:bottom w:val="single" w:color="auto"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11</w:t>
            </w:r>
            <w:r>
              <w:rPr>
                <w:rFonts w:hint="eastAsia"/>
                <w:color w:val="000000"/>
                <w:sz w:val="21"/>
                <w:szCs w:val="21"/>
              </w:rPr>
              <w:t>3</w:t>
            </w:r>
            <w:r>
              <w:rPr>
                <w:color w:val="000000"/>
                <w:sz w:val="21"/>
                <w:szCs w:val="21"/>
              </w:rPr>
              <w:t>°</w:t>
            </w:r>
            <w:r>
              <w:rPr>
                <w:rFonts w:hint="eastAsia"/>
                <w:color w:val="000000"/>
                <w:sz w:val="21"/>
                <w:szCs w:val="21"/>
              </w:rPr>
              <w:t>51</w:t>
            </w:r>
            <w:r>
              <w:rPr>
                <w:color w:val="000000"/>
                <w:sz w:val="21"/>
                <w:szCs w:val="21"/>
              </w:rPr>
              <w:t>′</w:t>
            </w:r>
            <w:r>
              <w:rPr>
                <w:rFonts w:hint="eastAsia"/>
                <w:color w:val="000000"/>
                <w:sz w:val="21"/>
                <w:szCs w:val="21"/>
              </w:rPr>
              <w:t>53</w:t>
            </w:r>
            <w:r>
              <w:rPr>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4</w:t>
            </w: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sz w:val="21"/>
                <w:szCs w:val="21"/>
              </w:rPr>
              <w:t>4350162.84</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38488048.4</w:t>
            </w:r>
            <w:r>
              <w:rPr>
                <w:rFonts w:hint="eastAsia"/>
                <w:color w:val="000000"/>
                <w:sz w:val="21"/>
                <w:szCs w:val="21"/>
              </w:rPr>
              <w:t>2</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rFonts w:hint="eastAsia"/>
                <w:color w:val="000000"/>
                <w:sz w:val="21"/>
                <w:szCs w:val="21"/>
              </w:rPr>
              <w:t>4354059.31</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rFonts w:hint="eastAsia"/>
                <w:color w:val="000000"/>
                <w:sz w:val="21"/>
                <w:szCs w:val="21"/>
              </w:rPr>
              <w:t>19746902.29</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000000"/>
                <w:sz w:val="21"/>
                <w:szCs w:val="21"/>
              </w:rPr>
            </w:pPr>
            <w:r>
              <w:rPr>
                <w:color w:val="000000"/>
                <w:sz w:val="21"/>
                <w:szCs w:val="21"/>
              </w:rPr>
              <w:t>3</w:t>
            </w:r>
            <w:r>
              <w:rPr>
                <w:rFonts w:hint="eastAsia"/>
                <w:color w:val="000000"/>
                <w:sz w:val="21"/>
                <w:szCs w:val="21"/>
              </w:rPr>
              <w:t>9</w:t>
            </w:r>
            <w:r>
              <w:rPr>
                <w:color w:val="000000"/>
                <w:sz w:val="21"/>
                <w:szCs w:val="21"/>
              </w:rPr>
              <w:t>°1</w:t>
            </w:r>
            <w:r>
              <w:rPr>
                <w:rFonts w:hint="eastAsia"/>
                <w:color w:val="000000"/>
                <w:sz w:val="21"/>
                <w:szCs w:val="21"/>
              </w:rPr>
              <w:t>7</w:t>
            </w:r>
            <w:r>
              <w:rPr>
                <w:color w:val="000000"/>
                <w:sz w:val="21"/>
                <w:szCs w:val="21"/>
              </w:rPr>
              <w:t>′</w:t>
            </w:r>
            <w:r>
              <w:rPr>
                <w:rFonts w:hint="eastAsia"/>
                <w:color w:val="000000"/>
                <w:sz w:val="21"/>
                <w:szCs w:val="21"/>
              </w:rPr>
              <w:t>06</w:t>
            </w:r>
            <w:r>
              <w:rPr>
                <w:color w:val="000000"/>
                <w:sz w:val="21"/>
                <w:szCs w:val="21"/>
              </w:rPr>
              <w:t>″</w:t>
            </w:r>
          </w:p>
        </w:tc>
        <w:tc>
          <w:tcPr>
            <w:tcW w:w="744" w:type="pct"/>
            <w:tcBorders>
              <w:top w:val="single" w:color="auto" w:sz="4" w:space="0"/>
              <w:left w:val="nil"/>
              <w:bottom w:val="single" w:color="auto"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11</w:t>
            </w:r>
            <w:r>
              <w:rPr>
                <w:rFonts w:hint="eastAsia"/>
                <w:color w:val="000000"/>
                <w:sz w:val="21"/>
                <w:szCs w:val="21"/>
              </w:rPr>
              <w:t>3</w:t>
            </w:r>
            <w:r>
              <w:rPr>
                <w:color w:val="000000"/>
                <w:sz w:val="21"/>
                <w:szCs w:val="21"/>
              </w:rPr>
              <w:t>°</w:t>
            </w:r>
            <w:r>
              <w:rPr>
                <w:rFonts w:hint="eastAsia"/>
                <w:color w:val="000000"/>
                <w:sz w:val="21"/>
                <w:szCs w:val="21"/>
              </w:rPr>
              <w:t>51</w:t>
            </w:r>
            <w:r>
              <w:rPr>
                <w:color w:val="000000"/>
                <w:sz w:val="21"/>
                <w:szCs w:val="21"/>
              </w:rPr>
              <w:t>′</w:t>
            </w:r>
            <w:r>
              <w:rPr>
                <w:rFonts w:hint="eastAsia"/>
                <w:color w:val="000000"/>
                <w:sz w:val="21"/>
                <w:szCs w:val="21"/>
              </w:rPr>
              <w:t>41</w:t>
            </w:r>
            <w:r>
              <w:rPr>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vMerge w:val="restart"/>
            <w:tcBorders>
              <w:top w:val="nil"/>
              <w:left w:val="single" w:color="000000" w:sz="4" w:space="0"/>
              <w:bottom w:val="single" w:color="000000" w:sz="4" w:space="0"/>
              <w:right w:val="single" w:color="000000" w:sz="4" w:space="0"/>
            </w:tcBorders>
            <w:vAlign w:val="center"/>
          </w:tcPr>
          <w:p>
            <w:pPr>
              <w:spacing w:line="360" w:lineRule="exact"/>
              <w:jc w:val="center"/>
              <w:rPr>
                <w:sz w:val="21"/>
                <w:szCs w:val="21"/>
              </w:rPr>
            </w:pPr>
            <w:r>
              <w:rPr>
                <w:sz w:val="21"/>
                <w:szCs w:val="21"/>
              </w:rPr>
              <w:t>点</w:t>
            </w:r>
          </w:p>
          <w:p>
            <w:pPr>
              <w:widowControl w:val="0"/>
              <w:spacing w:line="360" w:lineRule="exact"/>
              <w:jc w:val="center"/>
              <w:rPr>
                <w:sz w:val="21"/>
                <w:szCs w:val="21"/>
              </w:rPr>
            </w:pPr>
            <w:r>
              <w:rPr>
                <w:sz w:val="21"/>
                <w:szCs w:val="21"/>
              </w:rPr>
              <w:t>号</w:t>
            </w:r>
          </w:p>
        </w:tc>
        <w:tc>
          <w:tcPr>
            <w:tcW w:w="1579" w:type="pct"/>
            <w:gridSpan w:val="2"/>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CGCS2000</w:t>
            </w:r>
            <w:r>
              <w:rPr>
                <w:rFonts w:ascii="宋体" w:hAnsi="宋体"/>
                <w:color w:val="000000"/>
                <w:sz w:val="21"/>
                <w:szCs w:val="21"/>
              </w:rPr>
              <w:t>坐标系</w:t>
            </w:r>
            <w:r>
              <w:rPr>
                <w:color w:val="000000"/>
                <w:sz w:val="21"/>
                <w:szCs w:val="21"/>
              </w:rPr>
              <w:t>(3</w:t>
            </w:r>
            <w:r>
              <w:rPr>
                <w:rFonts w:ascii="宋体" w:hAnsi="宋体"/>
                <w:color w:val="000000"/>
                <w:sz w:val="21"/>
                <w:szCs w:val="21"/>
              </w:rPr>
              <w:t>度带</w:t>
            </w:r>
            <w:r>
              <w:rPr>
                <w:color w:val="000000"/>
                <w:sz w:val="21"/>
                <w:szCs w:val="21"/>
              </w:rPr>
              <w:t>)</w:t>
            </w:r>
          </w:p>
        </w:tc>
        <w:tc>
          <w:tcPr>
            <w:tcW w:w="1679" w:type="pct"/>
            <w:gridSpan w:val="2"/>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CGCS2000</w:t>
            </w:r>
            <w:r>
              <w:rPr>
                <w:rFonts w:ascii="宋体" w:hAnsi="宋体"/>
                <w:color w:val="000000"/>
                <w:sz w:val="21"/>
                <w:szCs w:val="21"/>
              </w:rPr>
              <w:t>坐标系</w:t>
            </w:r>
            <w:r>
              <w:rPr>
                <w:color w:val="000000"/>
                <w:sz w:val="21"/>
                <w:szCs w:val="21"/>
              </w:rPr>
              <w:t>(6</w:t>
            </w:r>
            <w:r>
              <w:rPr>
                <w:rFonts w:ascii="宋体" w:hAnsi="宋体"/>
                <w:color w:val="000000"/>
                <w:sz w:val="21"/>
                <w:szCs w:val="21"/>
              </w:rPr>
              <w:t>度带</w:t>
            </w:r>
            <w:r>
              <w:rPr>
                <w:color w:val="000000"/>
                <w:sz w:val="21"/>
                <w:szCs w:val="21"/>
              </w:rPr>
              <w:t>)</w:t>
            </w:r>
          </w:p>
        </w:tc>
        <w:tc>
          <w:tcPr>
            <w:tcW w:w="1507" w:type="pct"/>
            <w:gridSpan w:val="2"/>
            <w:tcBorders>
              <w:top w:val="single" w:color="auto" w:sz="4" w:space="0"/>
              <w:left w:val="nil"/>
              <w:bottom w:val="single" w:color="auto"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CGCS2000</w:t>
            </w:r>
            <w:r>
              <w:rPr>
                <w:rFonts w:ascii="宋体" w:hAnsi="宋体"/>
                <w:color w:val="000000"/>
                <w:sz w:val="21"/>
                <w:szCs w:val="21"/>
              </w:rPr>
              <w:t>坐标系</w:t>
            </w:r>
            <w:r>
              <w:rPr>
                <w:color w:val="000000"/>
                <w:sz w:val="21"/>
                <w:szCs w:val="21"/>
              </w:rPr>
              <w:t>(</w:t>
            </w:r>
            <w:r>
              <w:rPr>
                <w:rFonts w:ascii="宋体" w:hAnsi="宋体"/>
                <w:color w:val="000000"/>
                <w:sz w:val="21"/>
                <w:szCs w:val="21"/>
              </w:rPr>
              <w:t>经纬度</w:t>
            </w:r>
            <w:r>
              <w:rPr>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vMerge w:val="continue"/>
            <w:tcBorders>
              <w:top w:val="nil"/>
              <w:left w:val="single" w:color="000000" w:sz="4" w:space="0"/>
              <w:bottom w:val="single" w:color="000000" w:sz="4" w:space="0"/>
              <w:right w:val="single" w:color="000000" w:sz="4" w:space="0"/>
            </w:tcBorders>
            <w:vAlign w:val="center"/>
          </w:tcPr>
          <w:p>
            <w:pPr>
              <w:spacing w:line="360" w:lineRule="exact"/>
              <w:rPr>
                <w:sz w:val="21"/>
                <w:szCs w:val="21"/>
              </w:rPr>
            </w:pP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X</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Y</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X</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Y</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000000"/>
                <w:sz w:val="21"/>
                <w:szCs w:val="21"/>
              </w:rPr>
            </w:pPr>
            <w:r>
              <w:rPr>
                <w:color w:val="000000"/>
                <w:sz w:val="21"/>
                <w:szCs w:val="21"/>
              </w:rPr>
              <w:t>X</w:t>
            </w:r>
          </w:p>
        </w:tc>
        <w:tc>
          <w:tcPr>
            <w:tcW w:w="744" w:type="pct"/>
            <w:tcBorders>
              <w:top w:val="single" w:color="auto" w:sz="4" w:space="0"/>
              <w:left w:val="nil"/>
              <w:bottom w:val="single" w:color="auto"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1</w:t>
            </w:r>
          </w:p>
        </w:tc>
        <w:tc>
          <w:tcPr>
            <w:tcW w:w="815" w:type="pct"/>
            <w:tcBorders>
              <w:top w:val="single" w:color="000000" w:sz="4" w:space="0"/>
              <w:left w:val="nil"/>
              <w:bottom w:val="single" w:color="000000" w:sz="4" w:space="0"/>
              <w:right w:val="single" w:color="000000" w:sz="4" w:space="0"/>
            </w:tcBorders>
            <w:vAlign w:val="center"/>
          </w:tcPr>
          <w:p>
            <w:pPr>
              <w:widowControl w:val="0"/>
              <w:adjustRightInd w:val="0"/>
              <w:snapToGrid w:val="0"/>
              <w:spacing w:line="360" w:lineRule="exact"/>
              <w:jc w:val="center"/>
              <w:rPr>
                <w:color w:val="000000"/>
                <w:sz w:val="21"/>
                <w:szCs w:val="21"/>
              </w:rPr>
            </w:pPr>
            <w:r>
              <w:rPr>
                <w:color w:val="000000"/>
                <w:sz w:val="21"/>
                <w:szCs w:val="21"/>
              </w:rPr>
              <w:t>4350342.93</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38488169.6</w:t>
            </w:r>
            <w:r>
              <w:rPr>
                <w:rFonts w:hint="eastAsia"/>
                <w:color w:val="000000"/>
                <w:sz w:val="21"/>
                <w:szCs w:val="21"/>
              </w:rPr>
              <w:t>4</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rFonts w:hint="eastAsia"/>
                <w:color w:val="000000"/>
                <w:sz w:val="21"/>
                <w:szCs w:val="21"/>
              </w:rPr>
              <w:t xml:space="preserve">4354243.45 </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000000"/>
                <w:sz w:val="21"/>
                <w:szCs w:val="21"/>
              </w:rPr>
            </w:pPr>
            <w:r>
              <w:rPr>
                <w:rFonts w:hint="eastAsia"/>
                <w:color w:val="000000"/>
                <w:sz w:val="21"/>
                <w:szCs w:val="21"/>
              </w:rPr>
              <w:t xml:space="preserve">19747017.36 </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000000"/>
                <w:sz w:val="21"/>
                <w:szCs w:val="21"/>
              </w:rPr>
            </w:pPr>
            <w:r>
              <w:rPr>
                <w:color w:val="000000"/>
                <w:sz w:val="21"/>
                <w:szCs w:val="21"/>
              </w:rPr>
              <w:t>3</w:t>
            </w:r>
            <w:r>
              <w:rPr>
                <w:rFonts w:hint="eastAsia"/>
                <w:color w:val="000000"/>
                <w:sz w:val="21"/>
                <w:szCs w:val="21"/>
              </w:rPr>
              <w:t>9</w:t>
            </w:r>
            <w:r>
              <w:rPr>
                <w:color w:val="000000"/>
                <w:sz w:val="21"/>
                <w:szCs w:val="21"/>
              </w:rPr>
              <w:t>°17′</w:t>
            </w:r>
            <w:r>
              <w:rPr>
                <w:rFonts w:hint="eastAsia"/>
                <w:color w:val="000000"/>
                <w:sz w:val="21"/>
                <w:szCs w:val="21"/>
              </w:rPr>
              <w:t>12</w:t>
            </w:r>
            <w:r>
              <w:rPr>
                <w:color w:val="000000"/>
                <w:sz w:val="21"/>
                <w:szCs w:val="21"/>
              </w:rPr>
              <w:t>″</w:t>
            </w:r>
          </w:p>
        </w:tc>
        <w:tc>
          <w:tcPr>
            <w:tcW w:w="744" w:type="pct"/>
            <w:tcBorders>
              <w:top w:val="single" w:color="auto" w:sz="4" w:space="0"/>
              <w:left w:val="nil"/>
              <w:bottom w:val="single" w:color="auto" w:sz="4" w:space="0"/>
              <w:right w:val="single" w:color="000000" w:sz="4" w:space="0"/>
            </w:tcBorders>
            <w:vAlign w:val="center"/>
          </w:tcPr>
          <w:p>
            <w:pPr>
              <w:widowControl w:val="0"/>
              <w:spacing w:line="360" w:lineRule="exact"/>
              <w:jc w:val="center"/>
              <w:rPr>
                <w:color w:val="000000"/>
                <w:sz w:val="21"/>
                <w:szCs w:val="21"/>
              </w:rPr>
            </w:pPr>
            <w:r>
              <w:rPr>
                <w:color w:val="000000"/>
                <w:sz w:val="21"/>
                <w:szCs w:val="21"/>
              </w:rPr>
              <w:t>11</w:t>
            </w:r>
            <w:r>
              <w:rPr>
                <w:rFonts w:hint="eastAsia"/>
                <w:color w:val="000000"/>
                <w:sz w:val="21"/>
                <w:szCs w:val="21"/>
              </w:rPr>
              <w:t>3</w:t>
            </w:r>
            <w:r>
              <w:rPr>
                <w:color w:val="000000"/>
                <w:sz w:val="21"/>
                <w:szCs w:val="21"/>
              </w:rPr>
              <w:t>°</w:t>
            </w:r>
            <w:r>
              <w:rPr>
                <w:rFonts w:hint="eastAsia"/>
                <w:color w:val="000000"/>
                <w:sz w:val="21"/>
                <w:szCs w:val="21"/>
              </w:rPr>
              <w:t>51</w:t>
            </w:r>
            <w:r>
              <w:rPr>
                <w:color w:val="000000"/>
                <w:sz w:val="21"/>
                <w:szCs w:val="21"/>
              </w:rPr>
              <w:t>′</w:t>
            </w:r>
            <w:r>
              <w:rPr>
                <w:rFonts w:hint="eastAsia"/>
                <w:color w:val="000000"/>
                <w:sz w:val="21"/>
                <w:szCs w:val="21"/>
              </w:rPr>
              <w:t>46</w:t>
            </w:r>
            <w:r>
              <w:rPr>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2</w:t>
            </w:r>
          </w:p>
        </w:tc>
        <w:tc>
          <w:tcPr>
            <w:tcW w:w="815" w:type="pct"/>
            <w:tcBorders>
              <w:top w:val="single" w:color="000000" w:sz="4" w:space="0"/>
              <w:left w:val="nil"/>
              <w:bottom w:val="single" w:color="000000" w:sz="4" w:space="0"/>
              <w:right w:val="single" w:color="000000" w:sz="4" w:space="0"/>
            </w:tcBorders>
            <w:vAlign w:val="center"/>
          </w:tcPr>
          <w:p>
            <w:pPr>
              <w:widowControl w:val="0"/>
              <w:adjustRightInd w:val="0"/>
              <w:snapToGrid w:val="0"/>
              <w:spacing w:line="360" w:lineRule="exact"/>
              <w:jc w:val="center"/>
              <w:rPr>
                <w:sz w:val="21"/>
                <w:szCs w:val="21"/>
              </w:rPr>
            </w:pPr>
            <w:r>
              <w:rPr>
                <w:sz w:val="21"/>
                <w:szCs w:val="21"/>
              </w:rPr>
              <w:t>4350338.62</w:t>
            </w:r>
            <w:r>
              <w:rPr>
                <w:rFonts w:hint="eastAsia"/>
                <w:color w:val="FF0000"/>
                <w:sz w:val="21"/>
                <w:szCs w:val="21"/>
              </w:rPr>
              <w:t> </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rFonts w:hint="eastAsia"/>
                <w:sz w:val="21"/>
                <w:szCs w:val="21"/>
              </w:rPr>
              <w:t>38488450.44</w:t>
            </w:r>
            <w:r>
              <w:rPr>
                <w:rFonts w:hint="eastAsia"/>
                <w:color w:val="FF0000"/>
                <w:sz w:val="21"/>
                <w:szCs w:val="21"/>
              </w:rPr>
              <w:t> </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rFonts w:hint="eastAsia"/>
                <w:sz w:val="21"/>
                <w:szCs w:val="21"/>
              </w:rPr>
              <w:t>4354248.46</w:t>
            </w:r>
            <w:r>
              <w:rPr>
                <w:rFonts w:hint="eastAsia"/>
                <w:color w:val="FF0000"/>
                <w:sz w:val="21"/>
                <w:szCs w:val="21"/>
              </w:rPr>
              <w:t> </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rFonts w:hint="eastAsia"/>
                <w:sz w:val="21"/>
                <w:szCs w:val="21"/>
              </w:rPr>
              <w:t>19747298.36</w:t>
            </w:r>
            <w:r>
              <w:rPr>
                <w:rFonts w:hint="eastAsia"/>
                <w:color w:val="FF0000"/>
                <w:sz w:val="21"/>
                <w:szCs w:val="21"/>
              </w:rPr>
              <w:t> </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FF0000"/>
                <w:sz w:val="21"/>
                <w:szCs w:val="21"/>
              </w:rPr>
            </w:pPr>
            <w:r>
              <w:rPr>
                <w:sz w:val="21"/>
                <w:szCs w:val="21"/>
              </w:rPr>
              <w:t>3</w:t>
            </w:r>
            <w:r>
              <w:rPr>
                <w:rFonts w:hint="eastAsia"/>
                <w:sz w:val="21"/>
                <w:szCs w:val="21"/>
              </w:rPr>
              <w:t>9</w:t>
            </w:r>
            <w:r>
              <w:rPr>
                <w:sz w:val="21"/>
                <w:szCs w:val="21"/>
              </w:rPr>
              <w:t>°17′</w:t>
            </w:r>
            <w:r>
              <w:rPr>
                <w:rFonts w:hint="eastAsia"/>
                <w:sz w:val="21"/>
                <w:szCs w:val="21"/>
              </w:rPr>
              <w:t>12</w:t>
            </w:r>
            <w:r>
              <w:rPr>
                <w:sz w:val="21"/>
                <w:szCs w:val="21"/>
              </w:rPr>
              <w:t>″</w:t>
            </w:r>
          </w:p>
        </w:tc>
        <w:tc>
          <w:tcPr>
            <w:tcW w:w="744" w:type="pct"/>
            <w:tcBorders>
              <w:top w:val="single" w:color="auto" w:sz="4" w:space="0"/>
              <w:left w:val="nil"/>
              <w:bottom w:val="single" w:color="auto" w:sz="4" w:space="0"/>
              <w:right w:val="single" w:color="000000" w:sz="4" w:space="0"/>
            </w:tcBorders>
            <w:vAlign w:val="center"/>
          </w:tcPr>
          <w:p>
            <w:pPr>
              <w:widowControl w:val="0"/>
              <w:adjustRightInd w:val="0"/>
              <w:snapToGrid w:val="0"/>
              <w:spacing w:line="360" w:lineRule="exact"/>
              <w:jc w:val="center"/>
              <w:rPr>
                <w:sz w:val="21"/>
                <w:szCs w:val="21"/>
              </w:rPr>
            </w:pPr>
            <w:r>
              <w:rPr>
                <w:sz w:val="21"/>
                <w:szCs w:val="21"/>
              </w:rPr>
              <w:t>11</w:t>
            </w:r>
            <w:r>
              <w:rPr>
                <w:rFonts w:hint="eastAsia"/>
                <w:sz w:val="21"/>
                <w:szCs w:val="21"/>
              </w:rPr>
              <w:t>3</w:t>
            </w:r>
            <w:r>
              <w:rPr>
                <w:sz w:val="21"/>
                <w:szCs w:val="21"/>
              </w:rPr>
              <w:t>°</w:t>
            </w:r>
            <w:r>
              <w:rPr>
                <w:rFonts w:hint="eastAsia"/>
                <w:sz w:val="21"/>
                <w:szCs w:val="21"/>
              </w:rPr>
              <w:t>51</w:t>
            </w:r>
            <w:r>
              <w:rPr>
                <w:sz w:val="21"/>
                <w:szCs w:val="21"/>
              </w:rPr>
              <w:t>′</w:t>
            </w:r>
            <w:r>
              <w:rPr>
                <w:rFonts w:hint="eastAsia"/>
                <w:sz w:val="21"/>
                <w:szCs w:val="21"/>
              </w:rPr>
              <w:t>58</w:t>
            </w:r>
            <w:r>
              <w:rPr>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3</w:t>
            </w: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rFonts w:hint="eastAsia"/>
                <w:sz w:val="21"/>
                <w:szCs w:val="21"/>
              </w:rPr>
              <w:t>4350157.65</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rFonts w:hint="eastAsia"/>
                <w:sz w:val="21"/>
                <w:szCs w:val="21"/>
              </w:rPr>
              <w:t>38488450.44</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rFonts w:hint="eastAsia"/>
                <w:sz w:val="21"/>
                <w:szCs w:val="21"/>
              </w:rPr>
              <w:t>4354067.46</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rFonts w:hint="eastAsia"/>
                <w:sz w:val="21"/>
                <w:szCs w:val="21"/>
              </w:rPr>
              <w:t>19747304.37</w:t>
            </w:r>
            <w:r>
              <w:rPr>
                <w:rFonts w:hint="eastAsia"/>
                <w:color w:val="FF0000"/>
                <w:sz w:val="21"/>
                <w:szCs w:val="21"/>
              </w:rPr>
              <w:t> </w:t>
            </w:r>
          </w:p>
        </w:tc>
        <w:tc>
          <w:tcPr>
            <w:tcW w:w="763" w:type="pct"/>
            <w:tcBorders>
              <w:top w:val="single" w:color="auto" w:sz="4" w:space="0"/>
              <w:left w:val="nil"/>
              <w:bottom w:val="single" w:color="auto" w:sz="4" w:space="0"/>
              <w:right w:val="single" w:color="auto" w:sz="4" w:space="0"/>
            </w:tcBorders>
            <w:vAlign w:val="center"/>
          </w:tcPr>
          <w:p>
            <w:pPr>
              <w:widowControl w:val="0"/>
              <w:spacing w:line="360" w:lineRule="exact"/>
              <w:jc w:val="center"/>
              <w:rPr>
                <w:color w:val="FF0000"/>
                <w:sz w:val="21"/>
                <w:szCs w:val="21"/>
              </w:rPr>
            </w:pPr>
            <w:r>
              <w:rPr>
                <w:sz w:val="21"/>
                <w:szCs w:val="21"/>
              </w:rPr>
              <w:t>3</w:t>
            </w:r>
            <w:r>
              <w:rPr>
                <w:rFonts w:hint="eastAsia"/>
                <w:sz w:val="21"/>
                <w:szCs w:val="21"/>
              </w:rPr>
              <w:t>9</w:t>
            </w:r>
            <w:r>
              <w:rPr>
                <w:sz w:val="21"/>
                <w:szCs w:val="21"/>
              </w:rPr>
              <w:t>°17′</w:t>
            </w:r>
            <w:r>
              <w:rPr>
                <w:rFonts w:hint="eastAsia"/>
                <w:sz w:val="21"/>
                <w:szCs w:val="21"/>
              </w:rPr>
              <w:t>06</w:t>
            </w:r>
          </w:p>
        </w:tc>
        <w:tc>
          <w:tcPr>
            <w:tcW w:w="744" w:type="pct"/>
            <w:tcBorders>
              <w:top w:val="single" w:color="auto" w:sz="4" w:space="0"/>
              <w:left w:val="nil"/>
              <w:bottom w:val="single" w:color="auto" w:sz="4" w:space="0"/>
              <w:right w:val="single" w:color="000000" w:sz="4" w:space="0"/>
            </w:tcBorders>
            <w:vAlign w:val="center"/>
          </w:tcPr>
          <w:p>
            <w:pPr>
              <w:widowControl w:val="0"/>
              <w:adjustRightInd w:val="0"/>
              <w:snapToGrid w:val="0"/>
              <w:spacing w:line="360" w:lineRule="exact"/>
              <w:jc w:val="center"/>
              <w:rPr>
                <w:sz w:val="21"/>
                <w:szCs w:val="21"/>
              </w:rPr>
            </w:pPr>
            <w:r>
              <w:rPr>
                <w:sz w:val="21"/>
                <w:szCs w:val="21"/>
              </w:rPr>
              <w:t>11</w:t>
            </w:r>
            <w:r>
              <w:rPr>
                <w:rFonts w:hint="eastAsia"/>
                <w:sz w:val="21"/>
                <w:szCs w:val="21"/>
              </w:rPr>
              <w:t>3</w:t>
            </w:r>
            <w:r>
              <w:rPr>
                <w:sz w:val="21"/>
                <w:szCs w:val="21"/>
              </w:rPr>
              <w:t>°</w:t>
            </w:r>
            <w:r>
              <w:rPr>
                <w:rFonts w:hint="eastAsia"/>
                <w:sz w:val="21"/>
                <w:szCs w:val="21"/>
              </w:rPr>
              <w:t>51</w:t>
            </w:r>
            <w:r>
              <w:rPr>
                <w:sz w:val="21"/>
                <w:szCs w:val="21"/>
              </w:rPr>
              <w:t>′</w:t>
            </w:r>
            <w:r>
              <w:rPr>
                <w:rFonts w:hint="eastAsia"/>
                <w:sz w:val="21"/>
                <w:szCs w:val="21"/>
              </w:rPr>
              <w:t>58</w:t>
            </w:r>
            <w:r>
              <w:rPr>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val="0"/>
              <w:spacing w:line="360" w:lineRule="exact"/>
              <w:jc w:val="center"/>
              <w:rPr>
                <w:sz w:val="21"/>
                <w:szCs w:val="21"/>
              </w:rPr>
            </w:pPr>
            <w:r>
              <w:rPr>
                <w:sz w:val="21"/>
                <w:szCs w:val="21"/>
              </w:rPr>
              <w:t>4</w:t>
            </w:r>
          </w:p>
        </w:tc>
        <w:tc>
          <w:tcPr>
            <w:tcW w:w="815"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rFonts w:hint="eastAsia"/>
                <w:sz w:val="21"/>
                <w:szCs w:val="21"/>
              </w:rPr>
              <w:t>4350165.13</w:t>
            </w:r>
            <w:r>
              <w:rPr>
                <w:rFonts w:hint="eastAsia"/>
                <w:color w:val="FF0000"/>
                <w:sz w:val="21"/>
                <w:szCs w:val="21"/>
              </w:rPr>
              <w:t> </w:t>
            </w:r>
          </w:p>
        </w:tc>
        <w:tc>
          <w:tcPr>
            <w:tcW w:w="764"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rFonts w:hint="eastAsia"/>
                <w:sz w:val="21"/>
                <w:szCs w:val="21"/>
              </w:rPr>
              <w:t>38488164.74</w:t>
            </w:r>
          </w:p>
        </w:tc>
        <w:tc>
          <w:tcPr>
            <w:tcW w:w="839"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rFonts w:hint="eastAsia"/>
                <w:sz w:val="21"/>
                <w:szCs w:val="21"/>
              </w:rPr>
              <w:t>4354065.46</w:t>
            </w:r>
            <w:r>
              <w:rPr>
                <w:rFonts w:hint="eastAsia"/>
                <w:color w:val="FF0000"/>
                <w:sz w:val="21"/>
                <w:szCs w:val="21"/>
              </w:rPr>
              <w:t> </w:t>
            </w:r>
          </w:p>
        </w:tc>
        <w:tc>
          <w:tcPr>
            <w:tcW w:w="840" w:type="pct"/>
            <w:tcBorders>
              <w:top w:val="single" w:color="000000" w:sz="4" w:space="0"/>
              <w:left w:val="nil"/>
              <w:bottom w:val="single" w:color="000000" w:sz="4" w:space="0"/>
              <w:right w:val="single" w:color="000000" w:sz="4" w:space="0"/>
            </w:tcBorders>
            <w:vAlign w:val="center"/>
          </w:tcPr>
          <w:p>
            <w:pPr>
              <w:widowControl w:val="0"/>
              <w:spacing w:line="360" w:lineRule="exact"/>
              <w:jc w:val="center"/>
              <w:rPr>
                <w:color w:val="FF0000"/>
                <w:sz w:val="21"/>
                <w:szCs w:val="21"/>
              </w:rPr>
            </w:pPr>
            <w:r>
              <w:rPr>
                <w:rFonts w:hint="eastAsia"/>
                <w:sz w:val="21"/>
                <w:szCs w:val="21"/>
              </w:rPr>
              <w:t>19747018.36</w:t>
            </w:r>
            <w:r>
              <w:rPr>
                <w:rFonts w:hint="eastAsia"/>
                <w:color w:val="FF0000"/>
                <w:sz w:val="21"/>
                <w:szCs w:val="21"/>
              </w:rPr>
              <w:t> </w:t>
            </w:r>
          </w:p>
        </w:tc>
        <w:tc>
          <w:tcPr>
            <w:tcW w:w="763" w:type="pct"/>
            <w:tcBorders>
              <w:top w:val="single" w:color="auto" w:sz="4" w:space="0"/>
              <w:left w:val="nil"/>
              <w:bottom w:val="single" w:color="auto" w:sz="4" w:space="0"/>
              <w:right w:val="single" w:color="auto" w:sz="4" w:space="0"/>
            </w:tcBorders>
            <w:vAlign w:val="center"/>
          </w:tcPr>
          <w:p>
            <w:pPr>
              <w:widowControl w:val="0"/>
              <w:adjustRightInd w:val="0"/>
              <w:snapToGrid w:val="0"/>
              <w:spacing w:line="360" w:lineRule="exact"/>
              <w:jc w:val="center"/>
              <w:rPr>
                <w:sz w:val="21"/>
                <w:szCs w:val="21"/>
              </w:rPr>
            </w:pPr>
            <w:r>
              <w:rPr>
                <w:sz w:val="21"/>
                <w:szCs w:val="21"/>
              </w:rPr>
              <w:t>3</w:t>
            </w:r>
            <w:r>
              <w:rPr>
                <w:rFonts w:hint="eastAsia"/>
                <w:sz w:val="21"/>
                <w:szCs w:val="21"/>
              </w:rPr>
              <w:t>9</w:t>
            </w:r>
            <w:r>
              <w:rPr>
                <w:sz w:val="21"/>
                <w:szCs w:val="21"/>
              </w:rPr>
              <w:t>°17′</w:t>
            </w:r>
            <w:r>
              <w:rPr>
                <w:rFonts w:hint="eastAsia"/>
                <w:sz w:val="21"/>
                <w:szCs w:val="21"/>
              </w:rPr>
              <w:t>06</w:t>
            </w:r>
            <w:r>
              <w:rPr>
                <w:sz w:val="21"/>
                <w:szCs w:val="21"/>
              </w:rPr>
              <w:t>″</w:t>
            </w:r>
          </w:p>
        </w:tc>
        <w:tc>
          <w:tcPr>
            <w:tcW w:w="744" w:type="pct"/>
            <w:tcBorders>
              <w:top w:val="single" w:color="auto" w:sz="4" w:space="0"/>
              <w:left w:val="nil"/>
              <w:bottom w:val="single" w:color="auto" w:sz="4" w:space="0"/>
              <w:right w:val="single" w:color="000000" w:sz="4" w:space="0"/>
            </w:tcBorders>
            <w:vAlign w:val="center"/>
          </w:tcPr>
          <w:p>
            <w:pPr>
              <w:widowControl w:val="0"/>
              <w:adjustRightInd w:val="0"/>
              <w:snapToGrid w:val="0"/>
              <w:spacing w:line="360" w:lineRule="exact"/>
              <w:jc w:val="center"/>
              <w:rPr>
                <w:sz w:val="21"/>
                <w:szCs w:val="21"/>
              </w:rPr>
            </w:pPr>
            <w:r>
              <w:rPr>
                <w:sz w:val="21"/>
                <w:szCs w:val="21"/>
              </w:rPr>
              <w:t>11</w:t>
            </w:r>
            <w:r>
              <w:rPr>
                <w:rFonts w:hint="eastAsia"/>
                <w:sz w:val="21"/>
                <w:szCs w:val="21"/>
              </w:rPr>
              <w:t>3</w:t>
            </w:r>
            <w:r>
              <w:rPr>
                <w:sz w:val="21"/>
                <w:szCs w:val="21"/>
              </w:rPr>
              <w:t>°</w:t>
            </w:r>
            <w:r>
              <w:rPr>
                <w:rFonts w:hint="eastAsia"/>
                <w:sz w:val="21"/>
                <w:szCs w:val="21"/>
              </w:rPr>
              <w:t>51</w:t>
            </w:r>
            <w:r>
              <w:rPr>
                <w:sz w:val="21"/>
                <w:szCs w:val="21"/>
              </w:rPr>
              <w:t>′4</w:t>
            </w:r>
            <w:r>
              <w:rPr>
                <w:rFonts w:hint="eastAsia"/>
                <w:sz w:val="21"/>
                <w:szCs w:val="21"/>
              </w:rPr>
              <w:t>6</w:t>
            </w:r>
            <w:r>
              <w:rPr>
                <w:sz w:val="21"/>
                <w:szCs w:val="21"/>
              </w:rPr>
              <w:t>″</w:t>
            </w:r>
          </w:p>
        </w:tc>
      </w:tr>
    </w:tbl>
    <w:p>
      <w:pPr>
        <w:widowControl w:val="0"/>
        <w:adjustRightInd w:val="0"/>
        <w:snapToGrid w:val="0"/>
        <w:spacing w:before="120" w:beforeLines="50" w:after="120" w:afterLines="50"/>
        <w:jc w:val="both"/>
        <w:outlineLvl w:val="2"/>
        <w:rPr>
          <w:b/>
          <w:kern w:val="2"/>
        </w:rPr>
      </w:pPr>
      <w:r>
        <w:rPr>
          <w:b/>
          <w:kern w:val="2"/>
        </w:rPr>
        <w:t>2.2.</w:t>
      </w:r>
      <w:r>
        <w:rPr>
          <w:rFonts w:hint="eastAsia"/>
          <w:b/>
          <w:kern w:val="2"/>
        </w:rPr>
        <w:t>2矿区矿产资源储量</w:t>
      </w:r>
    </w:p>
    <w:p>
      <w:pPr>
        <w:spacing w:line="440" w:lineRule="exact"/>
        <w:ind w:firstLine="480" w:firstLineChars="200"/>
        <w:jc w:val="both"/>
        <w:rPr>
          <w:iCs/>
          <w:szCs w:val="18"/>
        </w:rPr>
      </w:pPr>
      <w:r>
        <w:rPr>
          <w:rFonts w:hint="eastAsia"/>
          <w:iCs/>
          <w:szCs w:val="18"/>
        </w:rPr>
        <w:t>根</w:t>
      </w:r>
      <w:r>
        <w:rPr>
          <w:iCs/>
          <w:szCs w:val="18"/>
        </w:rPr>
        <w:t>据山西中地地质工程有限公司201</w:t>
      </w:r>
      <w:r>
        <w:rPr>
          <w:rFonts w:hint="eastAsia"/>
          <w:iCs/>
          <w:szCs w:val="18"/>
        </w:rPr>
        <w:t>2</w:t>
      </w:r>
      <w:r>
        <w:rPr>
          <w:iCs/>
          <w:szCs w:val="18"/>
        </w:rPr>
        <w:t>年</w:t>
      </w:r>
      <w:r>
        <w:rPr>
          <w:rFonts w:hint="eastAsia"/>
          <w:iCs/>
          <w:szCs w:val="18"/>
        </w:rPr>
        <w:t>4</w:t>
      </w:r>
      <w:r>
        <w:rPr>
          <w:iCs/>
          <w:szCs w:val="18"/>
        </w:rPr>
        <w:t>月提交</w:t>
      </w:r>
      <w:r>
        <w:rPr>
          <w:rFonts w:hint="eastAsia"/>
          <w:iCs/>
          <w:szCs w:val="18"/>
        </w:rPr>
        <w:t>的</w:t>
      </w:r>
      <w:r>
        <w:rPr>
          <w:iCs/>
          <w:szCs w:val="18"/>
        </w:rPr>
        <w:t>《山西省繁峙县</w:t>
      </w:r>
      <w:r>
        <w:rPr>
          <w:rFonts w:hint="eastAsia"/>
          <w:iCs/>
          <w:szCs w:val="18"/>
        </w:rPr>
        <w:t>东胜</w:t>
      </w:r>
      <w:r>
        <w:rPr>
          <w:rFonts w:hint="eastAsia"/>
          <w:iCs/>
          <w:szCs w:val="18"/>
          <w:lang w:eastAsia="zh-CN"/>
        </w:rPr>
        <w:t>砖厂</w:t>
      </w:r>
      <w:r>
        <w:rPr>
          <w:iCs/>
          <w:szCs w:val="18"/>
        </w:rPr>
        <w:t>砖瓦用粘土矿资源储量核实报告》</w:t>
      </w:r>
      <w:r>
        <w:rPr>
          <w:rFonts w:hint="eastAsia"/>
          <w:iCs/>
          <w:szCs w:val="18"/>
        </w:rPr>
        <w:t>，</w:t>
      </w:r>
      <w:r>
        <w:rPr>
          <w:iCs/>
          <w:szCs w:val="18"/>
        </w:rPr>
        <w:t>截止到2012年3月底全区共查明砖瓦用粘土矿122b+333级资源储量11.18万t（6.21万m</w:t>
      </w:r>
      <w:r>
        <w:rPr>
          <w:iCs/>
          <w:szCs w:val="18"/>
          <w:vertAlign w:val="superscript"/>
        </w:rPr>
        <w:t>3</w:t>
      </w:r>
      <w:r>
        <w:rPr>
          <w:iCs/>
          <w:szCs w:val="18"/>
        </w:rPr>
        <w:t>），采空动用2.09万t（1.15万m</w:t>
      </w:r>
      <w:r>
        <w:rPr>
          <w:iCs/>
          <w:szCs w:val="18"/>
          <w:vertAlign w:val="superscript"/>
        </w:rPr>
        <w:t>3</w:t>
      </w:r>
      <w:r>
        <w:rPr>
          <w:iCs/>
          <w:szCs w:val="18"/>
        </w:rPr>
        <w:t>），保有资源量9.09万t（5.06万m</w:t>
      </w:r>
      <w:r>
        <w:rPr>
          <w:iCs/>
          <w:szCs w:val="18"/>
          <w:vertAlign w:val="superscript"/>
        </w:rPr>
        <w:t>3</w:t>
      </w:r>
      <w:r>
        <w:rPr>
          <w:iCs/>
          <w:szCs w:val="18"/>
        </w:rPr>
        <w:t>），保有资源量占总资源量81%。评审</w:t>
      </w:r>
      <w:r>
        <w:rPr>
          <w:rFonts w:hint="eastAsia"/>
          <w:iCs/>
          <w:szCs w:val="18"/>
        </w:rPr>
        <w:t>报告</w:t>
      </w:r>
      <w:r>
        <w:rPr>
          <w:iCs/>
          <w:szCs w:val="18"/>
        </w:rPr>
        <w:t>于2012年5月15日以繁审字[2012]01号文评审通过。繁峙县国土资源局以繁国土资储备字【2012】07号文出具了该矿山资源储量备案证明。</w:t>
      </w:r>
    </w:p>
    <w:p>
      <w:pPr>
        <w:pStyle w:val="245"/>
        <w:spacing w:line="440" w:lineRule="exact"/>
        <w:ind w:firstLine="480"/>
        <w:rPr>
          <w:rFonts w:eastAsiaTheme="minorEastAsia"/>
          <w:sz w:val="24"/>
          <w:szCs w:val="24"/>
        </w:rPr>
      </w:pPr>
      <w:r>
        <w:rPr>
          <w:rFonts w:eastAsiaTheme="minorEastAsia"/>
          <w:sz w:val="24"/>
          <w:szCs w:val="24"/>
        </w:rPr>
        <w:t>根据山西中地地质工程有限公司2018年12月提交的《山西省繁峙县东胜</w:t>
      </w:r>
      <w:r>
        <w:rPr>
          <w:rFonts w:hint="eastAsia" w:eastAsiaTheme="minorEastAsia"/>
          <w:sz w:val="24"/>
          <w:szCs w:val="24"/>
          <w:lang w:eastAsia="zh-CN"/>
        </w:rPr>
        <w:t>砖厂</w:t>
      </w:r>
      <w:r>
        <w:rPr>
          <w:rFonts w:eastAsiaTheme="minorEastAsia"/>
          <w:sz w:val="24"/>
          <w:szCs w:val="24"/>
        </w:rPr>
        <w:t>砖瓦用粘土矿二零一八年度矿山储量年报》，截</w:t>
      </w:r>
      <w:r>
        <w:rPr>
          <w:rFonts w:hint="eastAsia" w:eastAsiaTheme="minorEastAsia"/>
          <w:sz w:val="24"/>
          <w:szCs w:val="24"/>
        </w:rPr>
        <w:t>止</w:t>
      </w:r>
      <w:r>
        <w:rPr>
          <w:rFonts w:eastAsiaTheme="minorEastAsia"/>
          <w:sz w:val="24"/>
          <w:szCs w:val="24"/>
        </w:rPr>
        <w:t>2018年底，矿区累计查明砖瓦用粘土矿122b+333资源储量6.21万m</w:t>
      </w:r>
      <w:r>
        <w:rPr>
          <w:rFonts w:eastAsiaTheme="minorEastAsia"/>
          <w:sz w:val="24"/>
          <w:szCs w:val="24"/>
          <w:vertAlign w:val="superscript"/>
        </w:rPr>
        <w:t>3</w:t>
      </w:r>
      <w:r>
        <w:rPr>
          <w:rFonts w:eastAsiaTheme="minorEastAsia"/>
          <w:sz w:val="24"/>
          <w:szCs w:val="24"/>
        </w:rPr>
        <w:t>，累计动用2.12万m</w:t>
      </w:r>
      <w:r>
        <w:rPr>
          <w:rFonts w:eastAsiaTheme="minorEastAsia"/>
          <w:sz w:val="24"/>
          <w:szCs w:val="24"/>
          <w:vertAlign w:val="superscript"/>
        </w:rPr>
        <w:t>3</w:t>
      </w:r>
      <w:r>
        <w:rPr>
          <w:rFonts w:eastAsiaTheme="minorEastAsia"/>
          <w:sz w:val="24"/>
          <w:szCs w:val="24"/>
        </w:rPr>
        <w:t>，保有资源储量4.09万m</w:t>
      </w:r>
      <w:r>
        <w:rPr>
          <w:rFonts w:eastAsiaTheme="minorEastAsia"/>
          <w:sz w:val="24"/>
          <w:szCs w:val="24"/>
          <w:vertAlign w:val="superscript"/>
        </w:rPr>
        <w:t>3</w:t>
      </w:r>
      <w:r>
        <w:rPr>
          <w:rFonts w:eastAsiaTheme="minorEastAsia"/>
          <w:sz w:val="24"/>
          <w:szCs w:val="24"/>
        </w:rPr>
        <w:t>。</w:t>
      </w:r>
    </w:p>
    <w:p>
      <w:pPr>
        <w:pStyle w:val="245"/>
        <w:spacing w:line="440" w:lineRule="exact"/>
        <w:ind w:firstLine="480"/>
        <w:rPr>
          <w:rFonts w:eastAsiaTheme="minorEastAsia"/>
          <w:sz w:val="24"/>
          <w:szCs w:val="24"/>
        </w:rPr>
      </w:pPr>
      <w:r>
        <w:rPr>
          <w:rFonts w:hint="eastAsia" w:eastAsiaTheme="minorEastAsia"/>
          <w:sz w:val="24"/>
          <w:szCs w:val="24"/>
        </w:rPr>
        <w:t>根据</w:t>
      </w:r>
      <w:r>
        <w:rPr>
          <w:rFonts w:eastAsiaTheme="minorEastAsia"/>
          <w:sz w:val="24"/>
          <w:szCs w:val="24"/>
        </w:rPr>
        <w:t>《山西省繁峙县东胜砖厂砖瓦用粘土矿矿山矿产资源开发利用、地质环境保护与治理恢复、土地复垦方案》。</w:t>
      </w:r>
      <w:r>
        <w:rPr>
          <w:rFonts w:hint="eastAsia" w:eastAsiaTheme="minorEastAsia"/>
          <w:sz w:val="24"/>
          <w:szCs w:val="24"/>
        </w:rPr>
        <w:t>本次</w:t>
      </w:r>
      <w:r>
        <w:rPr>
          <w:rFonts w:eastAsiaTheme="minorEastAsia"/>
          <w:sz w:val="24"/>
          <w:szCs w:val="24"/>
        </w:rPr>
        <w:t>设计利用资源储量为4.01万m</w:t>
      </w:r>
      <w:r>
        <w:rPr>
          <w:rFonts w:eastAsiaTheme="minorEastAsia"/>
          <w:sz w:val="24"/>
          <w:szCs w:val="24"/>
          <w:vertAlign w:val="superscript"/>
        </w:rPr>
        <w:t>3</w:t>
      </w:r>
      <w:r>
        <w:rPr>
          <w:rFonts w:eastAsiaTheme="minorEastAsia"/>
          <w:sz w:val="24"/>
          <w:szCs w:val="24"/>
        </w:rPr>
        <w:t>，设计损失资源储量0.08万m</w:t>
      </w:r>
      <w:r>
        <w:rPr>
          <w:rFonts w:eastAsiaTheme="minorEastAsia"/>
          <w:sz w:val="24"/>
          <w:szCs w:val="24"/>
          <w:vertAlign w:val="superscript"/>
        </w:rPr>
        <w:t>3</w:t>
      </w:r>
      <w:r>
        <w:rPr>
          <w:rFonts w:eastAsiaTheme="minorEastAsia"/>
          <w:sz w:val="24"/>
          <w:szCs w:val="24"/>
        </w:rPr>
        <w:t>。按照回采率98%计算，可采储量3.93万m</w:t>
      </w:r>
      <w:r>
        <w:rPr>
          <w:rFonts w:eastAsiaTheme="minorEastAsia"/>
          <w:sz w:val="24"/>
          <w:szCs w:val="24"/>
          <w:vertAlign w:val="superscript"/>
        </w:rPr>
        <w:t>3</w:t>
      </w:r>
      <w:r>
        <w:rPr>
          <w:rFonts w:eastAsiaTheme="minorEastAsia"/>
          <w:sz w:val="24"/>
          <w:szCs w:val="24"/>
        </w:rPr>
        <w:t>，生产规模为1.50万m</w:t>
      </w:r>
      <w:r>
        <w:rPr>
          <w:rFonts w:eastAsiaTheme="minorEastAsia"/>
          <w:sz w:val="24"/>
          <w:szCs w:val="24"/>
          <w:vertAlign w:val="superscript"/>
        </w:rPr>
        <w:t>3</w:t>
      </w:r>
      <w:r>
        <w:rPr>
          <w:rFonts w:eastAsiaTheme="minorEastAsia"/>
          <w:sz w:val="24"/>
          <w:szCs w:val="24"/>
        </w:rPr>
        <w:t>/年，矿山服务年限为3年。</w:t>
      </w:r>
    </w:p>
    <w:p>
      <w:pPr>
        <w:widowControl w:val="0"/>
        <w:adjustRightInd w:val="0"/>
        <w:snapToGrid w:val="0"/>
        <w:spacing w:before="120" w:beforeLines="50" w:after="120" w:afterLines="50"/>
        <w:jc w:val="both"/>
        <w:outlineLvl w:val="2"/>
        <w:rPr>
          <w:b/>
          <w:kern w:val="2"/>
        </w:rPr>
      </w:pPr>
      <w:r>
        <w:rPr>
          <w:b/>
          <w:kern w:val="2"/>
        </w:rPr>
        <w:t>2.2.</w:t>
      </w:r>
      <w:r>
        <w:rPr>
          <w:rFonts w:hint="eastAsia"/>
          <w:b/>
          <w:kern w:val="2"/>
        </w:rPr>
        <w:t>3矿床地质及构造特征</w:t>
      </w:r>
    </w:p>
    <w:p>
      <w:pPr>
        <w:spacing w:line="440" w:lineRule="exact"/>
        <w:ind w:firstLine="482"/>
        <w:jc w:val="both"/>
        <w:rPr>
          <w:iCs/>
          <w:szCs w:val="18"/>
        </w:rPr>
      </w:pPr>
      <w:r>
        <w:rPr>
          <w:rFonts w:hint="eastAsia"/>
          <w:iCs/>
          <w:szCs w:val="18"/>
        </w:rPr>
        <w:t>（1）地层</w:t>
      </w:r>
    </w:p>
    <w:p>
      <w:pPr>
        <w:spacing w:line="440" w:lineRule="exact"/>
        <w:ind w:firstLine="482"/>
        <w:jc w:val="both"/>
        <w:rPr>
          <w:iCs/>
          <w:szCs w:val="18"/>
        </w:rPr>
      </w:pPr>
      <w:r>
        <w:rPr>
          <w:iCs/>
          <w:szCs w:val="18"/>
        </w:rPr>
        <w:t>矿区内仅出露有新生界第四系上更新统马兰组及全新统地层。</w:t>
      </w:r>
    </w:p>
    <w:p>
      <w:pPr>
        <w:spacing w:line="440" w:lineRule="exact"/>
        <w:ind w:firstLine="482"/>
        <w:jc w:val="both"/>
        <w:rPr>
          <w:iCs/>
          <w:szCs w:val="18"/>
        </w:rPr>
      </w:pPr>
      <w:r>
        <w:rPr>
          <w:iCs/>
          <w:szCs w:val="18"/>
        </w:rPr>
        <w:t>第四系上更新统马兰组（Q</w:t>
      </w:r>
      <w:r>
        <w:rPr>
          <w:iCs/>
          <w:szCs w:val="18"/>
          <w:vertAlign w:val="subscript"/>
        </w:rPr>
        <w:t>3</w:t>
      </w:r>
      <w:r>
        <w:rPr>
          <w:iCs/>
          <w:szCs w:val="18"/>
        </w:rPr>
        <w:t>）：矿区内广泛发育，为本区主要含矿层位，由灰黄色亚砂土、亚粘土组成，疏松、具大孔隙，垂直节理发育，厚度20-40m。</w:t>
      </w:r>
    </w:p>
    <w:p>
      <w:pPr>
        <w:spacing w:line="440" w:lineRule="exact"/>
        <w:ind w:firstLine="482"/>
        <w:jc w:val="both"/>
        <w:rPr>
          <w:iCs/>
          <w:szCs w:val="18"/>
        </w:rPr>
      </w:pPr>
      <w:r>
        <w:rPr>
          <w:iCs/>
          <w:szCs w:val="18"/>
        </w:rPr>
        <w:t>第四系全新统（Q</w:t>
      </w:r>
      <w:r>
        <w:rPr>
          <w:iCs/>
          <w:szCs w:val="18"/>
          <w:vertAlign w:val="subscript"/>
        </w:rPr>
        <w:t>4</w:t>
      </w:r>
      <w:r>
        <w:rPr>
          <w:iCs/>
          <w:szCs w:val="18"/>
        </w:rPr>
        <w:t>）：主要分布于沟谷及山麓地带，由黄色亚砂土、砂砾石、洪积、坡积物等组成。</w:t>
      </w:r>
    </w:p>
    <w:p>
      <w:pPr>
        <w:spacing w:line="440" w:lineRule="exact"/>
        <w:ind w:firstLine="482"/>
        <w:jc w:val="both"/>
        <w:rPr>
          <w:iCs/>
          <w:szCs w:val="18"/>
        </w:rPr>
      </w:pPr>
      <w:r>
        <w:rPr>
          <w:rFonts w:hint="eastAsia"/>
          <w:iCs/>
          <w:szCs w:val="18"/>
        </w:rPr>
        <w:t>（2）构造</w:t>
      </w:r>
    </w:p>
    <w:p>
      <w:pPr>
        <w:spacing w:line="440" w:lineRule="exact"/>
        <w:ind w:firstLine="482"/>
        <w:jc w:val="both"/>
        <w:rPr>
          <w:iCs/>
          <w:szCs w:val="18"/>
        </w:rPr>
      </w:pPr>
      <w:r>
        <w:rPr>
          <w:iCs/>
          <w:szCs w:val="18"/>
        </w:rPr>
        <w:t>矿区内地质构造简单，未见断裂构造。矿区地层呈水平产出，地层走向近东西，倾向356°，倾角2°。</w:t>
      </w:r>
    </w:p>
    <w:p>
      <w:pPr>
        <w:spacing w:line="440" w:lineRule="exact"/>
        <w:ind w:firstLine="482"/>
        <w:jc w:val="both"/>
        <w:rPr>
          <w:iCs/>
          <w:szCs w:val="18"/>
        </w:rPr>
      </w:pPr>
      <w:r>
        <w:rPr>
          <w:rFonts w:hint="eastAsia"/>
          <w:iCs/>
          <w:szCs w:val="18"/>
        </w:rPr>
        <w:t>（3）岩浆岩</w:t>
      </w:r>
    </w:p>
    <w:p>
      <w:pPr>
        <w:spacing w:line="440" w:lineRule="exact"/>
        <w:ind w:firstLine="482"/>
        <w:jc w:val="both"/>
        <w:rPr>
          <w:iCs/>
          <w:szCs w:val="18"/>
        </w:rPr>
      </w:pPr>
      <w:r>
        <w:rPr>
          <w:iCs/>
          <w:szCs w:val="18"/>
        </w:rPr>
        <w:t>矿区内未见岩浆岩出露。</w:t>
      </w:r>
    </w:p>
    <w:p>
      <w:pPr>
        <w:spacing w:line="440" w:lineRule="exact"/>
        <w:ind w:firstLine="482"/>
        <w:jc w:val="both"/>
        <w:rPr>
          <w:iCs/>
          <w:szCs w:val="18"/>
        </w:rPr>
      </w:pPr>
      <w:r>
        <w:rPr>
          <w:rFonts w:hint="eastAsia"/>
          <w:iCs/>
          <w:szCs w:val="18"/>
        </w:rPr>
        <w:t>（4）矿体特征</w:t>
      </w:r>
    </w:p>
    <w:p>
      <w:pPr>
        <w:spacing w:line="440" w:lineRule="exact"/>
        <w:ind w:firstLine="482"/>
        <w:jc w:val="both"/>
        <w:rPr>
          <w:iCs/>
          <w:szCs w:val="18"/>
        </w:rPr>
      </w:pPr>
      <w:r>
        <w:rPr>
          <w:iCs/>
          <w:szCs w:val="18"/>
        </w:rPr>
        <w:t>①矿体形态、规模及赋存特征</w:t>
      </w:r>
    </w:p>
    <w:p>
      <w:pPr>
        <w:spacing w:line="440" w:lineRule="exact"/>
        <w:ind w:firstLine="482"/>
        <w:jc w:val="both"/>
        <w:rPr>
          <w:iCs/>
          <w:szCs w:val="18"/>
        </w:rPr>
      </w:pPr>
      <w:r>
        <w:rPr>
          <w:iCs/>
          <w:szCs w:val="18"/>
        </w:rPr>
        <w:t>砖瓦粘土矿赋存于第四系上更新统马兰组，呈层状产出，表层为灰黄色腐植土</w:t>
      </w:r>
      <w:r>
        <w:rPr>
          <w:rFonts w:hint="eastAsia"/>
          <w:iCs/>
          <w:szCs w:val="18"/>
        </w:rPr>
        <w:t>，</w:t>
      </w:r>
      <w:r>
        <w:rPr>
          <w:iCs/>
          <w:szCs w:val="18"/>
        </w:rPr>
        <w:t>含有机质较多，厚0.80-1.20m。矿体产状倾向356°，倾角2°，出露260余米，矿体用A-A′、B-B′两个剖面控制，控制长度100m，厚度20-25m，赋存标高1262-1270m。</w:t>
      </w:r>
    </w:p>
    <w:p>
      <w:pPr>
        <w:spacing w:line="440" w:lineRule="exact"/>
        <w:ind w:firstLine="482"/>
        <w:jc w:val="both"/>
        <w:rPr>
          <w:iCs/>
          <w:szCs w:val="18"/>
        </w:rPr>
      </w:pPr>
      <w:r>
        <w:rPr>
          <w:iCs/>
          <w:szCs w:val="18"/>
        </w:rPr>
        <w:t>②矿石质量</w:t>
      </w:r>
    </w:p>
    <w:p>
      <w:pPr>
        <w:spacing w:line="440" w:lineRule="exact"/>
        <w:ind w:firstLine="482"/>
        <w:jc w:val="both"/>
        <w:rPr>
          <w:iCs/>
          <w:szCs w:val="18"/>
        </w:rPr>
      </w:pPr>
      <w:r>
        <w:rPr>
          <w:iCs/>
          <w:szCs w:val="18"/>
        </w:rPr>
        <w:t>粘土平均化学成分：SiO</w:t>
      </w:r>
      <w:r>
        <w:rPr>
          <w:iCs/>
          <w:szCs w:val="18"/>
          <w:vertAlign w:val="subscript"/>
        </w:rPr>
        <w:t xml:space="preserve">2 </w:t>
      </w:r>
      <w:r>
        <w:rPr>
          <w:iCs/>
          <w:szCs w:val="18"/>
        </w:rPr>
        <w:t>62.21%、Al</w:t>
      </w:r>
      <w:r>
        <w:rPr>
          <w:iCs/>
          <w:szCs w:val="18"/>
          <w:vertAlign w:val="subscript"/>
        </w:rPr>
        <w:t>2</w:t>
      </w:r>
      <w:r>
        <w:rPr>
          <w:iCs/>
          <w:szCs w:val="18"/>
        </w:rPr>
        <w:t>O</w:t>
      </w:r>
      <w:r>
        <w:rPr>
          <w:iCs/>
          <w:szCs w:val="18"/>
          <w:vertAlign w:val="subscript"/>
        </w:rPr>
        <w:t>3</w:t>
      </w:r>
      <w:r>
        <w:rPr>
          <w:iCs/>
          <w:szCs w:val="18"/>
        </w:rPr>
        <w:t xml:space="preserve"> 15.13%、Fe</w:t>
      </w:r>
      <w:r>
        <w:rPr>
          <w:iCs/>
          <w:szCs w:val="18"/>
          <w:vertAlign w:val="subscript"/>
        </w:rPr>
        <w:t>2</w:t>
      </w:r>
      <w:r>
        <w:rPr>
          <w:iCs/>
          <w:szCs w:val="18"/>
        </w:rPr>
        <w:t>O</w:t>
      </w:r>
      <w:r>
        <w:rPr>
          <w:iCs/>
          <w:szCs w:val="18"/>
          <w:vertAlign w:val="subscript"/>
        </w:rPr>
        <w:t>3</w:t>
      </w:r>
      <w:r>
        <w:rPr>
          <w:iCs/>
          <w:szCs w:val="18"/>
        </w:rPr>
        <w:t xml:space="preserve"> 5.28%、CaO 5.13%、MnO 2.06%、SO</w:t>
      </w:r>
      <w:r>
        <w:rPr>
          <w:iCs/>
          <w:szCs w:val="18"/>
          <w:vertAlign w:val="subscript"/>
        </w:rPr>
        <w:t>3</w:t>
      </w:r>
      <w:r>
        <w:rPr>
          <w:iCs/>
          <w:szCs w:val="18"/>
        </w:rPr>
        <w:t xml:space="preserve"> 2.32%、K</w:t>
      </w:r>
      <w:r>
        <w:rPr>
          <w:iCs/>
          <w:szCs w:val="18"/>
          <w:vertAlign w:val="subscript"/>
        </w:rPr>
        <w:t>2</w:t>
      </w:r>
      <w:r>
        <w:rPr>
          <w:iCs/>
          <w:szCs w:val="18"/>
        </w:rPr>
        <w:t>O+Na</w:t>
      </w:r>
      <w:r>
        <w:rPr>
          <w:iCs/>
          <w:szCs w:val="18"/>
          <w:vertAlign w:val="subscript"/>
        </w:rPr>
        <w:t>2</w:t>
      </w:r>
      <w:r>
        <w:rPr>
          <w:iCs/>
          <w:szCs w:val="18"/>
        </w:rPr>
        <w:t>O 1.25。</w:t>
      </w:r>
    </w:p>
    <w:p>
      <w:pPr>
        <w:spacing w:line="440" w:lineRule="exact"/>
        <w:ind w:firstLine="482"/>
        <w:jc w:val="both"/>
        <w:rPr>
          <w:iCs/>
          <w:szCs w:val="18"/>
        </w:rPr>
      </w:pPr>
      <w:r>
        <w:rPr>
          <w:iCs/>
          <w:szCs w:val="18"/>
        </w:rPr>
        <w:t>粘土颗粒组成：粘土级（&lt;0.005mm）35%、尘土（0.005-0.05mm）41%、砂土级（&gt;0.05mm）24%、烧失量9.65%。</w:t>
      </w:r>
    </w:p>
    <w:p>
      <w:pPr>
        <w:spacing w:line="440" w:lineRule="exact"/>
        <w:ind w:firstLine="482"/>
        <w:jc w:val="both"/>
        <w:rPr>
          <w:iCs/>
          <w:szCs w:val="18"/>
        </w:rPr>
      </w:pPr>
      <w:r>
        <w:rPr>
          <w:iCs/>
          <w:szCs w:val="18"/>
        </w:rPr>
        <w:t>粘土塑性指数9-12，干燥敏感系数1.0%，放射性强度&lt;350。</w:t>
      </w:r>
    </w:p>
    <w:p>
      <w:pPr>
        <w:spacing w:line="440" w:lineRule="exact"/>
        <w:ind w:firstLine="482"/>
        <w:jc w:val="both"/>
        <w:rPr>
          <w:iCs/>
          <w:szCs w:val="18"/>
        </w:rPr>
      </w:pPr>
      <w:r>
        <w:rPr>
          <w:iCs/>
          <w:szCs w:val="18"/>
        </w:rPr>
        <w:t>本区粘土适宜于制砖、制瓦。</w:t>
      </w:r>
    </w:p>
    <w:p>
      <w:pPr>
        <w:spacing w:line="440" w:lineRule="exact"/>
        <w:ind w:firstLine="482"/>
        <w:jc w:val="both"/>
        <w:rPr>
          <w:rFonts w:ascii="宋体" w:hAnsi="宋体"/>
          <w:iCs/>
          <w:szCs w:val="18"/>
        </w:rPr>
      </w:pPr>
      <w:r>
        <w:rPr>
          <w:rFonts w:hint="eastAsia" w:ascii="宋体" w:hAnsi="宋体"/>
          <w:iCs/>
          <w:szCs w:val="18"/>
        </w:rPr>
        <w:t>③矿体控制程度</w:t>
      </w:r>
    </w:p>
    <w:p>
      <w:pPr>
        <w:spacing w:line="440" w:lineRule="exact"/>
        <w:ind w:firstLine="480" w:firstLineChars="200"/>
        <w:jc w:val="both"/>
        <w:rPr>
          <w:rFonts w:ascii="宋体" w:hAnsi="宋体"/>
          <w:iCs/>
          <w:szCs w:val="18"/>
        </w:rPr>
      </w:pPr>
      <w:r>
        <w:rPr>
          <w:rFonts w:ascii="宋体" w:hAnsi="宋体"/>
          <w:iCs/>
          <w:szCs w:val="18"/>
        </w:rPr>
        <w:t>本期砖瓦用粘土矿矿石质量较稳定，不含夹层，矿体内部结构复杂程度为简单；矿体稳定、厚度变化较小；矿体呈单斜产出，产状变化小，构造简单</w:t>
      </w:r>
      <w:r>
        <w:rPr>
          <w:rFonts w:hint="eastAsia" w:ascii="宋体" w:hAnsi="宋体"/>
          <w:iCs/>
          <w:szCs w:val="18"/>
        </w:rPr>
        <w:t>。</w:t>
      </w:r>
    </w:p>
    <w:p>
      <w:pPr>
        <w:spacing w:line="440" w:lineRule="exact"/>
        <w:ind w:firstLine="482"/>
        <w:jc w:val="both"/>
        <w:rPr>
          <w:iCs/>
          <w:szCs w:val="18"/>
        </w:rPr>
      </w:pPr>
      <w:r>
        <w:rPr>
          <w:rFonts w:hint="eastAsia"/>
          <w:iCs/>
          <w:szCs w:val="18"/>
        </w:rPr>
        <w:t>本项目粘土矿区地形地质及采剥工程现状平面图，见图2-2-1</w:t>
      </w:r>
    </w:p>
    <w:p>
      <w:pPr>
        <w:pStyle w:val="87"/>
        <w:ind w:left="480"/>
        <w:rPr>
          <w:iCs/>
          <w:szCs w:val="18"/>
        </w:rPr>
        <w:sectPr>
          <w:headerReference r:id="rId11" w:type="default"/>
          <w:pgSz w:w="11907" w:h="16840"/>
          <w:pgMar w:top="1247" w:right="1418" w:bottom="1247" w:left="1418" w:header="850" w:footer="850" w:gutter="0"/>
          <w:cols w:space="425" w:num="1"/>
          <w:docGrid w:linePitch="326" w:charSpace="0"/>
        </w:sectPr>
      </w:pPr>
    </w:p>
    <w:p/>
    <w:p>
      <w:pPr>
        <w:ind w:firstLine="482"/>
        <w:jc w:val="center"/>
        <w:rPr>
          <w:iCs/>
          <w:szCs w:val="18"/>
        </w:rPr>
      </w:pPr>
      <w:r>
        <w:drawing>
          <wp:inline distT="0" distB="0" distL="0" distR="0">
            <wp:extent cx="7790180" cy="5210810"/>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7790180" cy="5210810"/>
                    </a:xfrm>
                    <a:prstGeom prst="rect">
                      <a:avLst/>
                    </a:prstGeom>
                  </pic:spPr>
                </pic:pic>
              </a:graphicData>
            </a:graphic>
          </wp:inline>
        </w:drawing>
      </w:r>
    </w:p>
    <w:p>
      <w:pPr>
        <w:pStyle w:val="87"/>
        <w:ind w:left="480" w:firstLine="480"/>
        <w:jc w:val="center"/>
        <w:rPr>
          <w:sz w:val="24"/>
          <w:szCs w:val="32"/>
        </w:rPr>
        <w:sectPr>
          <w:pgSz w:w="16840" w:h="11907" w:orient="landscape"/>
          <w:pgMar w:top="1418" w:right="1247" w:bottom="1418" w:left="1247" w:header="850" w:footer="850" w:gutter="0"/>
          <w:cols w:space="425" w:num="1"/>
          <w:docGrid w:linePitch="326" w:charSpace="0"/>
        </w:sectPr>
      </w:pPr>
      <w:r>
        <w:rPr>
          <w:rFonts w:hint="eastAsia"/>
          <w:sz w:val="24"/>
          <w:szCs w:val="32"/>
        </w:rPr>
        <w:t xml:space="preserve">图2-2-1 </w:t>
      </w:r>
      <w:r>
        <w:rPr>
          <w:rFonts w:hint="eastAsia"/>
          <w:iCs/>
          <w:sz w:val="24"/>
          <w:szCs w:val="21"/>
        </w:rPr>
        <w:t>粘土矿区地形地质及采剥工程现状平面图</w:t>
      </w:r>
    </w:p>
    <w:p>
      <w:pPr>
        <w:widowControl w:val="0"/>
        <w:adjustRightInd w:val="0"/>
        <w:snapToGrid w:val="0"/>
        <w:spacing w:before="120" w:beforeLines="50" w:line="360" w:lineRule="auto"/>
        <w:jc w:val="both"/>
        <w:outlineLvl w:val="2"/>
        <w:rPr>
          <w:b/>
          <w:kern w:val="2"/>
        </w:rPr>
      </w:pPr>
      <w:r>
        <w:rPr>
          <w:b/>
          <w:kern w:val="2"/>
        </w:rPr>
        <w:t>2.2.</w:t>
      </w:r>
      <w:r>
        <w:rPr>
          <w:rFonts w:hint="eastAsia"/>
          <w:b/>
          <w:kern w:val="2"/>
        </w:rPr>
        <w:t>4矿床水文地质条件</w:t>
      </w:r>
    </w:p>
    <w:p>
      <w:pPr>
        <w:spacing w:line="440" w:lineRule="exact"/>
        <w:ind w:firstLine="480" w:firstLineChars="200"/>
        <w:jc w:val="both"/>
        <w:rPr>
          <w:iCs/>
          <w:szCs w:val="18"/>
        </w:rPr>
      </w:pPr>
      <w:r>
        <w:rPr>
          <w:rFonts w:hint="eastAsia"/>
          <w:iCs/>
          <w:szCs w:val="18"/>
        </w:rPr>
        <w:t>（1）水文地质条件</w:t>
      </w:r>
    </w:p>
    <w:p>
      <w:pPr>
        <w:spacing w:line="440" w:lineRule="exact"/>
        <w:ind w:firstLine="480" w:firstLineChars="200"/>
        <w:jc w:val="both"/>
        <w:rPr>
          <w:iCs/>
          <w:szCs w:val="18"/>
        </w:rPr>
      </w:pPr>
      <w:r>
        <w:rPr>
          <w:rFonts w:hint="eastAsia"/>
          <w:iCs/>
          <w:szCs w:val="18"/>
        </w:rPr>
        <w:t>矿区地形总体特征北部高，南部低，最高海拔1272m，最低1258m，相对高差14m。矿区及其周边的山体全部被新生界第四系地层覆盖，为黄土丘陵地貌。</w:t>
      </w:r>
    </w:p>
    <w:p>
      <w:pPr>
        <w:spacing w:line="440" w:lineRule="exact"/>
        <w:ind w:firstLine="480" w:firstLineChars="200"/>
        <w:jc w:val="both"/>
        <w:rPr>
          <w:iCs/>
          <w:szCs w:val="18"/>
        </w:rPr>
      </w:pPr>
      <w:r>
        <w:rPr>
          <w:rFonts w:hint="eastAsia"/>
          <w:iCs/>
          <w:szCs w:val="18"/>
        </w:rPr>
        <w:t>主要沟谷呈近东西向，被切割为“V”字型谷，无常年性流水，次一级水系沿各沟谷向南汇入孤山水库。</w:t>
      </w:r>
    </w:p>
    <w:p>
      <w:pPr>
        <w:spacing w:line="440" w:lineRule="exact"/>
        <w:ind w:firstLine="480" w:firstLineChars="200"/>
        <w:jc w:val="both"/>
        <w:rPr>
          <w:iCs/>
          <w:szCs w:val="18"/>
        </w:rPr>
      </w:pPr>
      <w:r>
        <w:rPr>
          <w:rFonts w:hint="eastAsia"/>
          <w:iCs/>
          <w:szCs w:val="18"/>
        </w:rPr>
        <w:t>该区地下水主要为层间裂隙水、孔隙水，地下水的补给来源主要是大气降水和地表水的渗入，其排泄方式以径流、蒸发的形式为主，在地形、地貌、水文、构造等地质条件的控制下，由北向南径流汇入孤山水库，矿床开采最低标高位于当地侵蚀基准面以上，即使汛期也不会对采区造成灾害，矿床开采过程中地下水依靠自然地形疏干十分方便，故本区水文地质条件简单。</w:t>
      </w:r>
    </w:p>
    <w:p>
      <w:pPr>
        <w:spacing w:line="440" w:lineRule="exact"/>
        <w:ind w:firstLine="480" w:firstLineChars="200"/>
        <w:jc w:val="both"/>
        <w:rPr>
          <w:iCs/>
          <w:szCs w:val="18"/>
        </w:rPr>
      </w:pPr>
      <w:r>
        <w:rPr>
          <w:rFonts w:hint="eastAsia"/>
          <w:iCs/>
          <w:szCs w:val="18"/>
        </w:rPr>
        <w:t>（2）工程地质条件</w:t>
      </w:r>
    </w:p>
    <w:p>
      <w:pPr>
        <w:spacing w:line="440" w:lineRule="exact"/>
        <w:ind w:firstLine="480" w:firstLineChars="200"/>
        <w:jc w:val="both"/>
        <w:rPr>
          <w:iCs/>
          <w:szCs w:val="18"/>
        </w:rPr>
      </w:pPr>
      <w:r>
        <w:rPr>
          <w:rFonts w:hint="eastAsia"/>
          <w:iCs/>
          <w:szCs w:val="18"/>
        </w:rPr>
        <w:t>区内构造简单，砖瓦用粘土矿体稳定，表层为灰-灰黄色腐植土，厚0.80-1.20m。底板岩性与矿体一致，该岩石物理性质稳定，经A-A′、B-B′两个剖面估算，砖瓦粘土矿剥采比平均为0.1，砖瓦粘土矿设计边坡角45°，工程地质条件简单，开采技术条件很好。</w:t>
      </w:r>
    </w:p>
    <w:p>
      <w:pPr>
        <w:spacing w:line="440" w:lineRule="exact"/>
        <w:ind w:firstLine="480" w:firstLineChars="200"/>
        <w:jc w:val="both"/>
        <w:rPr>
          <w:iCs/>
          <w:szCs w:val="18"/>
        </w:rPr>
      </w:pPr>
      <w:r>
        <w:rPr>
          <w:rFonts w:hint="eastAsia"/>
          <w:iCs/>
          <w:szCs w:val="18"/>
        </w:rPr>
        <w:t>（3）环境地质条件</w:t>
      </w:r>
    </w:p>
    <w:p>
      <w:pPr>
        <w:spacing w:line="440" w:lineRule="exact"/>
        <w:ind w:firstLine="480" w:firstLineChars="200"/>
        <w:jc w:val="both"/>
        <w:rPr>
          <w:iCs/>
          <w:szCs w:val="18"/>
        </w:rPr>
      </w:pPr>
      <w:r>
        <w:rPr>
          <w:rFonts w:hint="eastAsia"/>
          <w:iCs/>
          <w:szCs w:val="18"/>
        </w:rPr>
        <w:t>矿区内地貌特征以黄土丘陵为主，地表多被黄土覆盖，植被稀少，黄土冲沟发育，属一般黄土丘陵地形，现状条件下未发现地面崩塌、滑坡、地面裂缝、地面塌陷等地质灾害及其它地质现象，地质灾害危险性小，地质灾害影响程度为较轻。矿区附近无大的矿山企业，矿区周边地形简单，地层出露主要为第四系上更新黄土，矿山在开采过程中使用推土机，无有害气体及液体排放，所以对周围人文环境、地下水及地表水体不会造成大的影响，环境地质条件属简单类型。</w:t>
      </w:r>
    </w:p>
    <w:p>
      <w:pPr>
        <w:widowControl w:val="0"/>
        <w:adjustRightInd w:val="0"/>
        <w:snapToGrid w:val="0"/>
        <w:spacing w:before="120" w:beforeLines="50" w:line="360" w:lineRule="auto"/>
        <w:jc w:val="both"/>
        <w:outlineLvl w:val="2"/>
        <w:rPr>
          <w:b/>
          <w:kern w:val="2"/>
        </w:rPr>
      </w:pPr>
      <w:r>
        <w:rPr>
          <w:b/>
          <w:kern w:val="2"/>
        </w:rPr>
        <w:t>2.2.</w:t>
      </w:r>
      <w:r>
        <w:rPr>
          <w:rFonts w:hint="eastAsia"/>
          <w:b/>
          <w:kern w:val="2"/>
        </w:rPr>
        <w:t>5矿区开采方案</w:t>
      </w:r>
    </w:p>
    <w:p>
      <w:pPr>
        <w:spacing w:line="440" w:lineRule="exact"/>
        <w:jc w:val="both"/>
        <w:rPr>
          <w:rFonts w:eastAsiaTheme="minorEastAsia"/>
          <w:b/>
          <w:lang w:val="zh-CN"/>
        </w:rPr>
      </w:pPr>
      <w:r>
        <w:rPr>
          <w:rFonts w:eastAsiaTheme="minorEastAsia"/>
          <w:b/>
          <w:lang w:val="zh-CN"/>
        </w:rPr>
        <w:t>2</w:t>
      </w:r>
      <w:r>
        <w:rPr>
          <w:rFonts w:hint="eastAsia" w:eastAsiaTheme="minorEastAsia"/>
          <w:b/>
          <w:lang w:val="zh-CN"/>
        </w:rPr>
        <w:t>.2.</w:t>
      </w:r>
      <w:r>
        <w:rPr>
          <w:rFonts w:hint="eastAsia" w:eastAsiaTheme="minorEastAsia"/>
          <w:b/>
        </w:rPr>
        <w:t>5</w:t>
      </w:r>
      <w:r>
        <w:rPr>
          <w:rFonts w:hint="eastAsia" w:eastAsiaTheme="minorEastAsia"/>
          <w:b/>
          <w:lang w:val="zh-CN"/>
        </w:rPr>
        <w:t>.</w:t>
      </w:r>
      <w:r>
        <w:rPr>
          <w:rFonts w:hint="eastAsia" w:eastAsiaTheme="minorEastAsia"/>
          <w:b/>
        </w:rPr>
        <w:t>1</w:t>
      </w:r>
      <w:r>
        <w:rPr>
          <w:rFonts w:hint="eastAsia" w:eastAsiaTheme="minorEastAsia"/>
          <w:b/>
          <w:lang w:val="zh-CN"/>
        </w:rPr>
        <w:t>开采储量</w:t>
      </w:r>
    </w:p>
    <w:p>
      <w:pPr>
        <w:spacing w:line="440" w:lineRule="exact"/>
        <w:ind w:firstLine="480" w:firstLineChars="200"/>
        <w:jc w:val="both"/>
        <w:rPr>
          <w:iCs/>
          <w:szCs w:val="18"/>
        </w:rPr>
      </w:pPr>
      <w:r>
        <w:rPr>
          <w:rFonts w:hint="eastAsia"/>
          <w:iCs/>
          <w:szCs w:val="18"/>
        </w:rPr>
        <w:t>本次设计利用资源储量为4.01万m</w:t>
      </w:r>
      <w:r>
        <w:rPr>
          <w:rFonts w:hint="eastAsia"/>
          <w:iCs/>
          <w:szCs w:val="18"/>
          <w:vertAlign w:val="superscript"/>
        </w:rPr>
        <w:t>3</w:t>
      </w:r>
      <w:r>
        <w:rPr>
          <w:rFonts w:hint="eastAsia"/>
          <w:iCs/>
          <w:szCs w:val="18"/>
        </w:rPr>
        <w:t>，设计损失资源储量为0.08万m</w:t>
      </w:r>
      <w:r>
        <w:rPr>
          <w:rFonts w:hint="eastAsia"/>
          <w:iCs/>
          <w:szCs w:val="18"/>
          <w:vertAlign w:val="superscript"/>
        </w:rPr>
        <w:t>3</w:t>
      </w:r>
      <w:r>
        <w:rPr>
          <w:rFonts w:hint="eastAsia"/>
          <w:iCs/>
          <w:szCs w:val="18"/>
        </w:rPr>
        <w:t>。按照回采率98%计算，可采储量为3.93万m</w:t>
      </w:r>
      <w:r>
        <w:rPr>
          <w:rFonts w:hint="eastAsia"/>
          <w:iCs/>
          <w:szCs w:val="18"/>
          <w:vertAlign w:val="superscript"/>
        </w:rPr>
        <w:t>3</w:t>
      </w:r>
      <w:r>
        <w:rPr>
          <w:rFonts w:hint="eastAsia"/>
          <w:iCs/>
          <w:szCs w:val="18"/>
        </w:rPr>
        <w:t>。</w:t>
      </w:r>
    </w:p>
    <w:p>
      <w:pPr>
        <w:spacing w:line="440" w:lineRule="exact"/>
        <w:jc w:val="both"/>
        <w:rPr>
          <w:rFonts w:eastAsiaTheme="minorEastAsia"/>
          <w:b/>
          <w:lang w:val="zh-CN"/>
        </w:rPr>
      </w:pPr>
      <w:r>
        <w:rPr>
          <w:rFonts w:eastAsiaTheme="minorEastAsia"/>
          <w:b/>
          <w:lang w:val="zh-CN"/>
        </w:rPr>
        <w:t>2</w:t>
      </w:r>
      <w:r>
        <w:rPr>
          <w:rFonts w:hint="eastAsia" w:eastAsiaTheme="minorEastAsia"/>
          <w:b/>
          <w:lang w:val="zh-CN"/>
        </w:rPr>
        <w:t>.2.</w:t>
      </w:r>
      <w:r>
        <w:rPr>
          <w:rFonts w:hint="eastAsia" w:eastAsiaTheme="minorEastAsia"/>
          <w:b/>
        </w:rPr>
        <w:t>5</w:t>
      </w:r>
      <w:r>
        <w:rPr>
          <w:rFonts w:hint="eastAsia" w:eastAsiaTheme="minorEastAsia"/>
          <w:b/>
          <w:lang w:val="zh-CN"/>
        </w:rPr>
        <w:t>.</w:t>
      </w:r>
      <w:r>
        <w:rPr>
          <w:rFonts w:hint="eastAsia" w:eastAsiaTheme="minorEastAsia"/>
          <w:b/>
        </w:rPr>
        <w:t>2</w:t>
      </w:r>
      <w:r>
        <w:rPr>
          <w:rFonts w:hint="eastAsia" w:eastAsiaTheme="minorEastAsia"/>
          <w:b/>
          <w:lang w:val="zh-CN"/>
        </w:rPr>
        <w:t>开采方式</w:t>
      </w:r>
    </w:p>
    <w:p>
      <w:pPr>
        <w:spacing w:line="440" w:lineRule="exact"/>
        <w:ind w:firstLine="480" w:firstLineChars="200"/>
        <w:jc w:val="both"/>
        <w:rPr>
          <w:iCs/>
          <w:szCs w:val="18"/>
        </w:rPr>
      </w:pPr>
      <w:r>
        <w:rPr>
          <w:rFonts w:hint="eastAsia"/>
          <w:iCs/>
          <w:szCs w:val="18"/>
        </w:rPr>
        <w:t>区域水文地质条件简单、工程地质条件中等，矿体裸露地表，无覆盖，粘土矿厚度大，适宜露天开采。因而，确定本项目开采方式为露天开采。</w:t>
      </w:r>
    </w:p>
    <w:p>
      <w:pPr>
        <w:spacing w:line="440" w:lineRule="exact"/>
        <w:jc w:val="both"/>
        <w:rPr>
          <w:rFonts w:eastAsiaTheme="minorEastAsia"/>
          <w:b/>
          <w:lang w:val="zh-CN"/>
        </w:rPr>
      </w:pPr>
      <w:r>
        <w:rPr>
          <w:rFonts w:eastAsiaTheme="minorEastAsia"/>
          <w:b/>
          <w:lang w:val="zh-CN"/>
        </w:rPr>
        <w:t>2</w:t>
      </w:r>
      <w:r>
        <w:rPr>
          <w:rFonts w:hint="eastAsia" w:eastAsiaTheme="minorEastAsia"/>
          <w:b/>
          <w:lang w:val="zh-CN"/>
        </w:rPr>
        <w:t>.2.</w:t>
      </w:r>
      <w:r>
        <w:rPr>
          <w:rFonts w:hint="eastAsia" w:eastAsiaTheme="minorEastAsia"/>
          <w:b/>
        </w:rPr>
        <w:t>5</w:t>
      </w:r>
      <w:r>
        <w:rPr>
          <w:rFonts w:hint="eastAsia" w:eastAsiaTheme="minorEastAsia"/>
          <w:b/>
          <w:lang w:val="zh-CN"/>
        </w:rPr>
        <w:t>.</w:t>
      </w:r>
      <w:r>
        <w:rPr>
          <w:rFonts w:hint="eastAsia" w:eastAsiaTheme="minorEastAsia"/>
          <w:b/>
        </w:rPr>
        <w:t>3</w:t>
      </w:r>
      <w:r>
        <w:rPr>
          <w:rFonts w:hint="eastAsia" w:eastAsiaTheme="minorEastAsia"/>
          <w:b/>
          <w:lang w:val="zh-CN"/>
        </w:rPr>
        <w:t>开采规模和服务年限</w:t>
      </w:r>
    </w:p>
    <w:p>
      <w:pPr>
        <w:spacing w:line="440" w:lineRule="exact"/>
        <w:ind w:firstLine="480" w:firstLineChars="200"/>
        <w:jc w:val="both"/>
        <w:rPr>
          <w:iCs/>
          <w:szCs w:val="18"/>
        </w:rPr>
      </w:pPr>
      <w:r>
        <w:rPr>
          <w:rFonts w:hint="eastAsia"/>
          <w:iCs/>
          <w:szCs w:val="18"/>
        </w:rPr>
        <w:t>依据繁峙县国土资源局颁发的C1409242010057130065775采矿许可证，批准开采规模为1.50万立方米/年，故推荐生产规模为1.50万立方米/年。经生产能力验证，生产规模合理。</w:t>
      </w:r>
    </w:p>
    <w:p>
      <w:pPr>
        <w:spacing w:line="440" w:lineRule="exact"/>
        <w:ind w:firstLine="480" w:firstLineChars="200"/>
        <w:jc w:val="both"/>
        <w:rPr>
          <w:iCs/>
          <w:szCs w:val="18"/>
        </w:rPr>
      </w:pPr>
      <w:r>
        <w:rPr>
          <w:rFonts w:hint="eastAsia"/>
          <w:iCs/>
          <w:szCs w:val="18"/>
        </w:rPr>
        <w:t>露天开采服务年限T=Q÷A=3.93÷1.5 ≈3（年）</w:t>
      </w:r>
    </w:p>
    <w:p>
      <w:pPr>
        <w:spacing w:line="440" w:lineRule="exact"/>
        <w:ind w:firstLine="960" w:firstLineChars="400"/>
        <w:jc w:val="both"/>
        <w:rPr>
          <w:iCs/>
          <w:szCs w:val="18"/>
        </w:rPr>
      </w:pPr>
      <w:r>
        <w:rPr>
          <w:rFonts w:hint="eastAsia"/>
          <w:iCs/>
          <w:szCs w:val="18"/>
        </w:rPr>
        <w:t>T：矿山服务年限（年）</w:t>
      </w:r>
    </w:p>
    <w:p>
      <w:pPr>
        <w:spacing w:line="440" w:lineRule="exact"/>
        <w:ind w:firstLine="960" w:firstLineChars="400"/>
        <w:jc w:val="both"/>
        <w:rPr>
          <w:iCs/>
          <w:szCs w:val="18"/>
        </w:rPr>
      </w:pPr>
      <w:r>
        <w:rPr>
          <w:rFonts w:hint="eastAsia"/>
          <w:iCs/>
          <w:szCs w:val="18"/>
        </w:rPr>
        <w:t>Q：可采储量（3.93万立方米）</w:t>
      </w:r>
    </w:p>
    <w:p>
      <w:pPr>
        <w:spacing w:line="440" w:lineRule="exact"/>
        <w:ind w:firstLine="480" w:firstLineChars="200"/>
        <w:jc w:val="both"/>
        <w:rPr>
          <w:iCs/>
          <w:szCs w:val="18"/>
        </w:rPr>
      </w:pPr>
      <w:r>
        <w:rPr>
          <w:rFonts w:hint="eastAsia"/>
          <w:iCs/>
          <w:szCs w:val="18"/>
        </w:rPr>
        <w:t xml:space="preserve">        A：设计生产规模（1.50万立方米/年）</w:t>
      </w:r>
    </w:p>
    <w:p>
      <w:pPr>
        <w:spacing w:line="440" w:lineRule="exact"/>
        <w:jc w:val="both"/>
        <w:rPr>
          <w:rFonts w:eastAsiaTheme="minorEastAsia"/>
          <w:b/>
          <w:lang w:val="zh-CN"/>
        </w:rPr>
      </w:pPr>
      <w:r>
        <w:rPr>
          <w:rFonts w:eastAsiaTheme="minorEastAsia"/>
          <w:b/>
          <w:lang w:val="zh-CN"/>
        </w:rPr>
        <w:t>2</w:t>
      </w:r>
      <w:r>
        <w:rPr>
          <w:rFonts w:hint="eastAsia" w:eastAsiaTheme="minorEastAsia"/>
          <w:b/>
          <w:lang w:val="zh-CN"/>
        </w:rPr>
        <w:t>.2.</w:t>
      </w:r>
      <w:r>
        <w:rPr>
          <w:rFonts w:hint="eastAsia" w:eastAsiaTheme="minorEastAsia"/>
          <w:b/>
        </w:rPr>
        <w:t>5</w:t>
      </w:r>
      <w:r>
        <w:rPr>
          <w:rFonts w:hint="eastAsia" w:eastAsiaTheme="minorEastAsia"/>
          <w:b/>
          <w:lang w:val="zh-CN"/>
        </w:rPr>
        <w:t>.</w:t>
      </w:r>
      <w:r>
        <w:rPr>
          <w:rFonts w:hint="eastAsia" w:eastAsiaTheme="minorEastAsia"/>
          <w:b/>
        </w:rPr>
        <w:t>4开拓运输方案</w:t>
      </w:r>
    </w:p>
    <w:p>
      <w:pPr>
        <w:spacing w:line="440" w:lineRule="exact"/>
        <w:ind w:firstLine="480" w:firstLineChars="200"/>
        <w:jc w:val="both"/>
        <w:rPr>
          <w:iCs/>
          <w:szCs w:val="18"/>
        </w:rPr>
      </w:pPr>
      <w:r>
        <w:rPr>
          <w:rFonts w:hint="eastAsia"/>
          <w:iCs/>
          <w:szCs w:val="18"/>
        </w:rPr>
        <w:t>根据矿床埋藏条件、地质地形特征，结合矿山生产规模小（1.50万m</w:t>
      </w:r>
      <w:r>
        <w:rPr>
          <w:rFonts w:hint="eastAsia"/>
          <w:iCs/>
          <w:szCs w:val="18"/>
          <w:vertAlign w:val="superscript"/>
        </w:rPr>
        <w:t>3</w:t>
      </w:r>
      <w:r>
        <w:rPr>
          <w:rFonts w:hint="eastAsia"/>
          <w:iCs/>
          <w:szCs w:val="18"/>
        </w:rPr>
        <w:t>/a）、剥离量少、运距短等条件，确定采用公路开拓运输方案。</w:t>
      </w:r>
    </w:p>
    <w:p>
      <w:pPr>
        <w:spacing w:line="440" w:lineRule="exact"/>
        <w:ind w:firstLine="480" w:firstLineChars="200"/>
        <w:jc w:val="both"/>
        <w:rPr>
          <w:iCs/>
          <w:szCs w:val="18"/>
        </w:rPr>
      </w:pPr>
      <w:r>
        <w:rPr>
          <w:rFonts w:hint="eastAsia"/>
          <w:iCs/>
          <w:szCs w:val="18"/>
        </w:rPr>
        <w:t>运矿道路均按《厂矿道路设计规范》（GBJ22-87）设计，项目公路主要技术参数如下：</w:t>
      </w:r>
    </w:p>
    <w:p>
      <w:pPr>
        <w:spacing w:line="440" w:lineRule="exact"/>
        <w:ind w:firstLine="480" w:firstLineChars="200"/>
        <w:jc w:val="both"/>
        <w:rPr>
          <w:iCs/>
          <w:szCs w:val="18"/>
        </w:rPr>
      </w:pPr>
      <w:r>
        <w:rPr>
          <w:rFonts w:hint="eastAsia"/>
          <w:iCs/>
          <w:szCs w:val="18"/>
        </w:rPr>
        <w:t>道路等级及路面质量要求：矿山道路等级采用矿山道路三级标准，路面为碎石路面。</w:t>
      </w:r>
    </w:p>
    <w:p>
      <w:pPr>
        <w:spacing w:line="440" w:lineRule="exact"/>
        <w:ind w:firstLine="480" w:firstLineChars="200"/>
        <w:jc w:val="both"/>
        <w:rPr>
          <w:iCs/>
          <w:szCs w:val="18"/>
        </w:rPr>
      </w:pPr>
      <w:r>
        <w:rPr>
          <w:rFonts w:hint="eastAsia"/>
          <w:iCs/>
          <w:szCs w:val="18"/>
        </w:rPr>
        <w:t>行车速度：5km/h</w:t>
      </w:r>
    </w:p>
    <w:p>
      <w:pPr>
        <w:spacing w:line="440" w:lineRule="exact"/>
        <w:ind w:firstLine="480" w:firstLineChars="200"/>
        <w:jc w:val="both"/>
        <w:rPr>
          <w:iCs/>
          <w:szCs w:val="18"/>
        </w:rPr>
      </w:pPr>
      <w:r>
        <w:rPr>
          <w:rFonts w:hint="eastAsia"/>
          <w:iCs/>
          <w:szCs w:val="18"/>
        </w:rPr>
        <w:t>路面及路基宽度：路面宽度4.5m；路基宽度2.5m。</w:t>
      </w:r>
    </w:p>
    <w:p>
      <w:pPr>
        <w:spacing w:line="440" w:lineRule="exact"/>
        <w:ind w:firstLine="480" w:firstLineChars="200"/>
        <w:jc w:val="both"/>
        <w:rPr>
          <w:iCs/>
          <w:szCs w:val="18"/>
        </w:rPr>
      </w:pPr>
      <w:r>
        <w:rPr>
          <w:rFonts w:hint="eastAsia"/>
          <w:iCs/>
          <w:szCs w:val="18"/>
        </w:rPr>
        <w:t>最小圆曲线半径100m，曲线内侧加宽3.0m。</w:t>
      </w:r>
    </w:p>
    <w:p>
      <w:pPr>
        <w:spacing w:line="440" w:lineRule="exact"/>
        <w:ind w:firstLine="480" w:firstLineChars="200"/>
        <w:jc w:val="both"/>
        <w:rPr>
          <w:iCs/>
          <w:szCs w:val="18"/>
        </w:rPr>
      </w:pPr>
      <w:r>
        <w:rPr>
          <w:rFonts w:hint="eastAsia"/>
          <w:iCs/>
          <w:szCs w:val="18"/>
        </w:rPr>
        <w:t>最小视距停车20m，会车40m。</w:t>
      </w:r>
    </w:p>
    <w:p>
      <w:pPr>
        <w:spacing w:line="440" w:lineRule="exact"/>
        <w:ind w:firstLine="480" w:firstLineChars="200"/>
        <w:jc w:val="both"/>
        <w:rPr>
          <w:iCs/>
          <w:szCs w:val="18"/>
        </w:rPr>
      </w:pPr>
      <w:r>
        <w:rPr>
          <w:rFonts w:hint="eastAsia"/>
          <w:iCs/>
          <w:szCs w:val="18"/>
        </w:rPr>
        <w:t>最大纵向坡度不大于9%，坡长限制长度200m；最大合成坡度9.5%。</w:t>
      </w:r>
    </w:p>
    <w:p>
      <w:pPr>
        <w:spacing w:line="440" w:lineRule="exact"/>
        <w:ind w:firstLine="480" w:firstLineChars="200"/>
        <w:jc w:val="both"/>
        <w:rPr>
          <w:iCs/>
          <w:szCs w:val="18"/>
        </w:rPr>
      </w:pPr>
      <w:r>
        <w:rPr>
          <w:rFonts w:hint="eastAsia"/>
          <w:iCs/>
          <w:szCs w:val="18"/>
        </w:rPr>
        <w:t>最小竖曲线半径&gt;200m；最小竖曲线长度20m。</w:t>
      </w:r>
    </w:p>
    <w:p>
      <w:pPr>
        <w:widowControl w:val="0"/>
        <w:adjustRightInd w:val="0"/>
        <w:snapToGrid w:val="0"/>
        <w:spacing w:before="120" w:beforeLines="50" w:line="360" w:lineRule="auto"/>
        <w:jc w:val="both"/>
        <w:outlineLvl w:val="2"/>
        <w:rPr>
          <w:b/>
          <w:kern w:val="2"/>
        </w:rPr>
      </w:pPr>
      <w:r>
        <w:rPr>
          <w:b/>
          <w:kern w:val="2"/>
        </w:rPr>
        <w:t>2.2.</w:t>
      </w:r>
      <w:r>
        <w:rPr>
          <w:rFonts w:hint="eastAsia"/>
          <w:b/>
          <w:kern w:val="2"/>
        </w:rPr>
        <w:t>6矿山开采工艺</w:t>
      </w:r>
    </w:p>
    <w:p>
      <w:pPr>
        <w:spacing w:line="440" w:lineRule="exact"/>
        <w:ind w:firstLine="480" w:firstLineChars="200"/>
        <w:jc w:val="both"/>
        <w:rPr>
          <w:rFonts w:eastAsiaTheme="minorEastAsia"/>
          <w:b/>
          <w:lang w:val="zh-CN"/>
        </w:rPr>
      </w:pPr>
      <w:r>
        <w:rPr>
          <w:rFonts w:hint="eastAsia"/>
          <w:iCs/>
          <w:szCs w:val="18"/>
        </w:rPr>
        <w:t>本项目采用露天开采方式，开采方式为由上而下分台阶开采，露天可采工作线沿地形等高线布置，</w:t>
      </w:r>
      <w:r>
        <w:t>由</w:t>
      </w:r>
      <w:r>
        <w:rPr>
          <w:rFonts w:hint="eastAsia"/>
        </w:rPr>
        <w:t>南</w:t>
      </w:r>
      <w:r>
        <w:t>向</w:t>
      </w:r>
      <w:r>
        <w:rPr>
          <w:rFonts w:hint="eastAsia"/>
        </w:rPr>
        <w:t>北</w:t>
      </w:r>
      <w:r>
        <w:t>方向推进</w:t>
      </w:r>
      <w:r>
        <w:rPr>
          <w:rFonts w:hint="eastAsia"/>
          <w:iCs/>
        </w:rPr>
        <w:t>。</w:t>
      </w:r>
    </w:p>
    <w:p>
      <w:pPr>
        <w:spacing w:line="440" w:lineRule="exact"/>
        <w:jc w:val="both"/>
        <w:rPr>
          <w:rFonts w:eastAsiaTheme="minorEastAsia"/>
          <w:b/>
          <w:lang w:val="zh-CN"/>
        </w:rPr>
      </w:pPr>
      <w:r>
        <w:rPr>
          <w:rFonts w:eastAsiaTheme="minorEastAsia"/>
          <w:b/>
          <w:lang w:val="zh-CN"/>
        </w:rPr>
        <w:t>2</w:t>
      </w:r>
      <w:r>
        <w:rPr>
          <w:rFonts w:hint="eastAsia" w:eastAsiaTheme="minorEastAsia"/>
          <w:b/>
          <w:lang w:val="zh-CN"/>
        </w:rPr>
        <w:t>.2.</w:t>
      </w:r>
      <w:r>
        <w:rPr>
          <w:rFonts w:hint="eastAsia" w:eastAsiaTheme="minorEastAsia"/>
          <w:b/>
        </w:rPr>
        <w:t>6</w:t>
      </w:r>
      <w:r>
        <w:rPr>
          <w:rFonts w:hint="eastAsia" w:eastAsiaTheme="minorEastAsia"/>
          <w:b/>
          <w:lang w:val="zh-CN"/>
        </w:rPr>
        <w:t>.</w:t>
      </w:r>
      <w:r>
        <w:rPr>
          <w:rFonts w:hint="eastAsia" w:eastAsiaTheme="minorEastAsia"/>
          <w:b/>
        </w:rPr>
        <w:t>1采场构成要素及其技术参数</w:t>
      </w:r>
    </w:p>
    <w:p>
      <w:pPr>
        <w:spacing w:line="440" w:lineRule="exact"/>
        <w:ind w:firstLine="480" w:firstLineChars="200"/>
        <w:jc w:val="both"/>
      </w:pPr>
      <w:r>
        <w:rPr>
          <w:rFonts w:hint="eastAsia"/>
          <w:iCs/>
          <w:szCs w:val="18"/>
        </w:rPr>
        <w:t>最高开采水平标高：1265m</w:t>
      </w:r>
    </w:p>
    <w:p>
      <w:pPr>
        <w:spacing w:line="440" w:lineRule="exact"/>
        <w:ind w:firstLine="480" w:firstLineChars="200"/>
        <w:jc w:val="both"/>
        <w:rPr>
          <w:iCs/>
          <w:szCs w:val="18"/>
        </w:rPr>
      </w:pPr>
      <w:r>
        <w:rPr>
          <w:rFonts w:hint="eastAsia"/>
          <w:iCs/>
          <w:szCs w:val="18"/>
        </w:rPr>
        <w:t>最低开采水平标高：1251m</w:t>
      </w:r>
    </w:p>
    <w:p>
      <w:pPr>
        <w:spacing w:line="440" w:lineRule="exact"/>
        <w:ind w:firstLine="480" w:firstLineChars="200"/>
        <w:jc w:val="both"/>
        <w:rPr>
          <w:iCs/>
          <w:szCs w:val="18"/>
        </w:rPr>
      </w:pPr>
      <w:r>
        <w:rPr>
          <w:rFonts w:hint="eastAsia"/>
          <w:iCs/>
          <w:szCs w:val="18"/>
        </w:rPr>
        <w:t>垂直深度：14m</w:t>
      </w:r>
    </w:p>
    <w:p>
      <w:pPr>
        <w:spacing w:line="440" w:lineRule="exact"/>
        <w:ind w:firstLine="480" w:firstLineChars="200"/>
        <w:jc w:val="both"/>
        <w:rPr>
          <w:iCs/>
          <w:szCs w:val="18"/>
        </w:rPr>
      </w:pPr>
      <w:r>
        <w:rPr>
          <w:rFonts w:hint="eastAsia"/>
          <w:iCs/>
          <w:szCs w:val="18"/>
        </w:rPr>
        <w:t>台阶高度：10m</w:t>
      </w:r>
    </w:p>
    <w:p>
      <w:pPr>
        <w:spacing w:line="440" w:lineRule="exact"/>
        <w:ind w:firstLine="480" w:firstLineChars="200"/>
        <w:jc w:val="both"/>
        <w:rPr>
          <w:iCs/>
          <w:szCs w:val="18"/>
        </w:rPr>
      </w:pPr>
      <w:r>
        <w:rPr>
          <w:rFonts w:hint="eastAsia"/>
          <w:iCs/>
          <w:szCs w:val="18"/>
        </w:rPr>
        <w:t>采场上口长度：190m</w:t>
      </w:r>
    </w:p>
    <w:p>
      <w:pPr>
        <w:spacing w:line="440" w:lineRule="exact"/>
        <w:ind w:firstLine="480" w:firstLineChars="200"/>
        <w:jc w:val="both"/>
        <w:rPr>
          <w:iCs/>
          <w:szCs w:val="18"/>
        </w:rPr>
      </w:pPr>
      <w:r>
        <w:rPr>
          <w:rFonts w:hint="eastAsia"/>
          <w:iCs/>
          <w:szCs w:val="18"/>
        </w:rPr>
        <w:t>采场上口</w:t>
      </w:r>
      <w:r>
        <w:rPr>
          <w:rFonts w:hint="eastAsia"/>
          <w:iCs/>
          <w:szCs w:val="18"/>
          <w:lang w:eastAsia="zh-CN"/>
        </w:rPr>
        <w:t>宽</w:t>
      </w:r>
      <w:r>
        <w:rPr>
          <w:rFonts w:hint="eastAsia"/>
          <w:iCs/>
          <w:szCs w:val="18"/>
        </w:rPr>
        <w:t>度：60m</w:t>
      </w:r>
    </w:p>
    <w:p>
      <w:pPr>
        <w:spacing w:line="440" w:lineRule="exact"/>
        <w:ind w:firstLine="480" w:firstLineChars="200"/>
        <w:jc w:val="both"/>
        <w:rPr>
          <w:iCs/>
          <w:szCs w:val="18"/>
        </w:rPr>
      </w:pPr>
      <w:r>
        <w:rPr>
          <w:rFonts w:hint="eastAsia"/>
          <w:iCs/>
          <w:szCs w:val="18"/>
        </w:rPr>
        <w:t>采场底平面长度：200m</w:t>
      </w:r>
    </w:p>
    <w:p>
      <w:pPr>
        <w:spacing w:line="440" w:lineRule="exact"/>
        <w:ind w:firstLine="480" w:firstLineChars="200"/>
        <w:jc w:val="both"/>
        <w:rPr>
          <w:iCs/>
          <w:szCs w:val="18"/>
        </w:rPr>
      </w:pPr>
      <w:r>
        <w:rPr>
          <w:rFonts w:hint="eastAsia"/>
          <w:iCs/>
          <w:szCs w:val="18"/>
        </w:rPr>
        <w:t>采场底平面宽度：56m</w:t>
      </w:r>
    </w:p>
    <w:p>
      <w:pPr>
        <w:spacing w:line="440" w:lineRule="exact"/>
        <w:ind w:firstLine="480" w:firstLineChars="200"/>
        <w:jc w:val="both"/>
        <w:rPr>
          <w:iCs/>
          <w:szCs w:val="18"/>
        </w:rPr>
      </w:pPr>
      <w:r>
        <w:rPr>
          <w:rFonts w:hint="eastAsia"/>
          <w:iCs/>
          <w:szCs w:val="18"/>
        </w:rPr>
        <w:t>安全平台宽度：3m</w:t>
      </w:r>
    </w:p>
    <w:p>
      <w:pPr>
        <w:spacing w:line="440" w:lineRule="exact"/>
        <w:ind w:firstLine="480" w:firstLineChars="200"/>
        <w:jc w:val="both"/>
        <w:rPr>
          <w:iCs/>
          <w:szCs w:val="18"/>
        </w:rPr>
      </w:pPr>
      <w:r>
        <w:rPr>
          <w:rFonts w:hint="eastAsia"/>
          <w:iCs/>
          <w:szCs w:val="18"/>
        </w:rPr>
        <w:t>最小工作平台宽度：20m</w:t>
      </w:r>
    </w:p>
    <w:p>
      <w:pPr>
        <w:spacing w:line="440" w:lineRule="exact"/>
        <w:jc w:val="both"/>
        <w:rPr>
          <w:rFonts w:eastAsiaTheme="minorEastAsia"/>
          <w:b/>
          <w:lang w:val="zh-CN"/>
        </w:rPr>
      </w:pPr>
      <w:r>
        <w:rPr>
          <w:rFonts w:eastAsiaTheme="minorEastAsia"/>
          <w:b/>
          <w:lang w:val="zh-CN"/>
        </w:rPr>
        <w:t>2</w:t>
      </w:r>
      <w:r>
        <w:rPr>
          <w:rFonts w:hint="eastAsia" w:eastAsiaTheme="minorEastAsia"/>
          <w:b/>
          <w:lang w:val="zh-CN"/>
        </w:rPr>
        <w:t>.2.</w:t>
      </w:r>
      <w:r>
        <w:rPr>
          <w:rFonts w:hint="eastAsia" w:eastAsiaTheme="minorEastAsia"/>
          <w:b/>
        </w:rPr>
        <w:t>6</w:t>
      </w:r>
      <w:r>
        <w:rPr>
          <w:rFonts w:hint="eastAsia" w:eastAsiaTheme="minorEastAsia"/>
          <w:b/>
          <w:lang w:val="zh-CN"/>
        </w:rPr>
        <w:t>.</w:t>
      </w:r>
      <w:r>
        <w:rPr>
          <w:rFonts w:hint="eastAsia" w:eastAsiaTheme="minorEastAsia"/>
          <w:b/>
        </w:rPr>
        <w:t>2采剥工艺</w:t>
      </w:r>
    </w:p>
    <w:p>
      <w:pPr>
        <w:spacing w:line="440" w:lineRule="exact"/>
        <w:ind w:firstLine="480" w:firstLineChars="200"/>
        <w:jc w:val="both"/>
        <w:rPr>
          <w:iCs/>
          <w:szCs w:val="18"/>
        </w:rPr>
      </w:pPr>
      <w:r>
        <w:rPr>
          <w:rFonts w:hint="eastAsia"/>
          <w:iCs/>
          <w:szCs w:val="18"/>
        </w:rPr>
        <w:t>本项目矿山生产规模较小，选用东方红160型推土机及1.0m</w:t>
      </w:r>
      <w:r>
        <w:rPr>
          <w:rFonts w:hint="eastAsia"/>
          <w:iCs/>
          <w:szCs w:val="18"/>
          <w:vertAlign w:val="superscript"/>
        </w:rPr>
        <w:t>3</w:t>
      </w:r>
      <w:r>
        <w:rPr>
          <w:rFonts w:hint="eastAsia"/>
          <w:iCs/>
          <w:szCs w:val="18"/>
        </w:rPr>
        <w:t>挖掘机进行开采，</w:t>
      </w:r>
      <w:r>
        <w:t>选用1辆</w:t>
      </w:r>
      <w:r>
        <w:rPr>
          <w:rFonts w:hint="eastAsia"/>
        </w:rPr>
        <w:t>自卸汽车将开采出的粘土矿</w:t>
      </w:r>
      <w:r>
        <w:t>运至</w:t>
      </w:r>
      <w:r>
        <w:rPr>
          <w:rFonts w:hint="eastAsia"/>
        </w:rPr>
        <w:t>全封闭原料库储存，定期外运至砖厂制砖</w:t>
      </w:r>
      <w:r>
        <w:rPr>
          <w:rFonts w:hint="eastAsia"/>
          <w:iCs/>
          <w:szCs w:val="18"/>
        </w:rPr>
        <w:t>。</w:t>
      </w:r>
    </w:p>
    <w:p>
      <w:pPr>
        <w:spacing w:line="440" w:lineRule="exact"/>
        <w:jc w:val="both"/>
        <w:rPr>
          <w:rFonts w:eastAsiaTheme="minorEastAsia"/>
          <w:b/>
          <w:lang w:val="zh-CN"/>
        </w:rPr>
      </w:pPr>
      <w:r>
        <w:rPr>
          <w:rFonts w:eastAsiaTheme="minorEastAsia"/>
          <w:b/>
          <w:lang w:val="zh-CN"/>
        </w:rPr>
        <w:t>2</w:t>
      </w:r>
      <w:r>
        <w:rPr>
          <w:rFonts w:hint="eastAsia" w:eastAsiaTheme="minorEastAsia"/>
          <w:b/>
          <w:lang w:val="zh-CN"/>
        </w:rPr>
        <w:t>.2.</w:t>
      </w:r>
      <w:r>
        <w:rPr>
          <w:rFonts w:hint="eastAsia" w:eastAsiaTheme="minorEastAsia"/>
          <w:b/>
        </w:rPr>
        <w:t>6</w:t>
      </w:r>
      <w:r>
        <w:rPr>
          <w:rFonts w:hint="eastAsia" w:eastAsiaTheme="minorEastAsia"/>
          <w:b/>
          <w:lang w:val="zh-CN"/>
        </w:rPr>
        <w:t>.</w:t>
      </w:r>
      <w:r>
        <w:rPr>
          <w:rFonts w:hint="eastAsia" w:eastAsiaTheme="minorEastAsia"/>
          <w:b/>
        </w:rPr>
        <w:t>3排土场</w:t>
      </w:r>
    </w:p>
    <w:p>
      <w:pPr>
        <w:spacing w:line="440" w:lineRule="exact"/>
        <w:ind w:firstLine="480" w:firstLineChars="200"/>
        <w:jc w:val="both"/>
        <w:rPr>
          <w:rFonts w:hint="eastAsia"/>
          <w:iCs/>
          <w:szCs w:val="18"/>
        </w:rPr>
      </w:pPr>
      <w:r>
        <w:rPr>
          <w:rFonts w:hint="eastAsia"/>
          <w:iCs/>
          <w:szCs w:val="18"/>
        </w:rPr>
        <w:t>本项目砖瓦用粘土矿区平均剥采比为0.1，开采过程中会产生一定量的剥离物</w:t>
      </w:r>
      <w:r>
        <w:rPr>
          <w:rFonts w:hint="eastAsia"/>
          <w:iCs/>
          <w:szCs w:val="18"/>
          <w:lang w:eastAsia="zh-CN"/>
        </w:rPr>
        <w:t>，产生量约为</w:t>
      </w:r>
      <w:r>
        <w:rPr>
          <w:rFonts w:hint="eastAsia"/>
          <w:iCs/>
          <w:szCs w:val="18"/>
          <w:lang w:val="en-US" w:eastAsia="zh-CN"/>
        </w:rPr>
        <w:t>27000t</w:t>
      </w:r>
      <w:r>
        <w:rPr>
          <w:rFonts w:hint="eastAsia"/>
          <w:iCs/>
          <w:szCs w:val="18"/>
        </w:rPr>
        <w:t>。</w:t>
      </w:r>
    </w:p>
    <w:p>
      <w:pPr>
        <w:spacing w:line="440" w:lineRule="exact"/>
        <w:ind w:firstLine="480" w:firstLineChars="200"/>
        <w:jc w:val="both"/>
        <w:rPr>
          <w:iCs/>
          <w:szCs w:val="18"/>
        </w:rPr>
      </w:pPr>
      <w:r>
        <w:rPr>
          <w:rFonts w:hint="eastAsia"/>
          <w:iCs/>
          <w:szCs w:val="18"/>
          <w:lang w:eastAsia="zh-CN"/>
        </w:rPr>
        <w:t>开采区</w:t>
      </w:r>
      <w:r>
        <w:rPr>
          <w:iCs/>
          <w:szCs w:val="18"/>
        </w:rPr>
        <w:t>表层为灰黄色腐植土，厚0.80-1.20m</w:t>
      </w:r>
      <w:r>
        <w:rPr>
          <w:rFonts w:hint="eastAsia"/>
          <w:iCs/>
          <w:szCs w:val="18"/>
          <w:lang w:eastAsia="zh-CN"/>
        </w:rPr>
        <w:t>。其中，表层</w:t>
      </w:r>
      <w:r>
        <w:rPr>
          <w:rFonts w:hint="eastAsia"/>
          <w:iCs/>
          <w:szCs w:val="18"/>
          <w:lang w:val="en-US" w:eastAsia="zh-CN"/>
        </w:rPr>
        <w:t>0.2-0.3m的土壤质地较好，含有机质较多。</w:t>
      </w:r>
      <w:r>
        <w:rPr>
          <w:rFonts w:hint="eastAsia"/>
          <w:iCs/>
          <w:szCs w:val="18"/>
        </w:rPr>
        <w:t>项目在工业广场北部沟谷内（采空区）设计排土场，方便矿山生产。拟设排土场长14m，宽13m，</w:t>
      </w:r>
      <w:r>
        <w:rPr>
          <w:rFonts w:hint="eastAsia"/>
          <w:iCs/>
          <w:szCs w:val="18"/>
          <w:lang w:eastAsia="zh-CN"/>
        </w:rPr>
        <w:t>且</w:t>
      </w:r>
      <w:r>
        <w:rPr>
          <w:rFonts w:hint="eastAsia"/>
          <w:iCs/>
          <w:szCs w:val="18"/>
        </w:rPr>
        <w:t>排土场内部单独设置表土堆存区域。</w:t>
      </w:r>
    </w:p>
    <w:p>
      <w:pPr>
        <w:spacing w:line="440" w:lineRule="exact"/>
        <w:ind w:firstLine="480" w:firstLineChars="200"/>
        <w:jc w:val="both"/>
        <w:rPr>
          <w:iCs/>
          <w:szCs w:val="18"/>
        </w:rPr>
      </w:pPr>
      <w:r>
        <w:rPr>
          <w:rFonts w:hint="eastAsia"/>
          <w:iCs/>
          <w:szCs w:val="18"/>
        </w:rPr>
        <w:t>排土场上部约5米处布置截水沟，截水沟的断面为梯形，按水力最经济计算为：上宽1.00m、下宽0.40m、深0.4m，边坡1：1，截水沟规格=长×宽×高=43m×0.5m×0.3m，将山坡汇水引离排土场，避免排土场被地表水浸泡冲涮，确保排土场不能成为泥石流物源。</w:t>
      </w:r>
    </w:p>
    <w:p>
      <w:pPr>
        <w:spacing w:line="440" w:lineRule="exact"/>
        <w:ind w:firstLine="480" w:firstLineChars="200"/>
        <w:jc w:val="both"/>
        <w:rPr>
          <w:iCs/>
          <w:szCs w:val="18"/>
        </w:rPr>
      </w:pPr>
      <w:r>
        <w:rPr>
          <w:rFonts w:hint="eastAsia"/>
          <w:iCs/>
          <w:szCs w:val="18"/>
        </w:rPr>
        <w:t>排土场下部布置挡土墙，且开有放水孔以防止发生滑坡及泥石流，挡土墙长度14米，断面为阶梯形，结构为浆砌块石。下部基础为浆砌块石构筑。中部预留防水口，将排土场松散废石拦截，避免排土场因采矿等因素渣土滚落</w:t>
      </w:r>
      <w:r>
        <w:rPr>
          <w:rFonts w:hint="eastAsia"/>
          <w:iCs/>
          <w:color w:val="FF0000"/>
          <w:szCs w:val="18"/>
        </w:rPr>
        <w:t>，</w:t>
      </w:r>
      <w:r>
        <w:rPr>
          <w:rFonts w:hint="eastAsia"/>
          <w:iCs/>
          <w:szCs w:val="18"/>
        </w:rPr>
        <w:t>以防对下游及周围造成地质灾害。</w:t>
      </w:r>
    </w:p>
    <w:p>
      <w:pPr>
        <w:widowControl w:val="0"/>
        <w:adjustRightInd w:val="0"/>
        <w:snapToGrid w:val="0"/>
        <w:spacing w:before="120" w:beforeLines="50" w:line="360" w:lineRule="auto"/>
        <w:jc w:val="both"/>
        <w:outlineLvl w:val="2"/>
        <w:rPr>
          <w:b/>
          <w:kern w:val="2"/>
        </w:rPr>
      </w:pPr>
      <w:r>
        <w:rPr>
          <w:b/>
          <w:kern w:val="2"/>
        </w:rPr>
        <w:t>2.2.</w:t>
      </w:r>
      <w:r>
        <w:rPr>
          <w:rFonts w:hint="eastAsia"/>
          <w:b/>
          <w:kern w:val="2"/>
        </w:rPr>
        <w:t>7总平面布置图</w:t>
      </w:r>
    </w:p>
    <w:p>
      <w:pPr>
        <w:spacing w:line="440" w:lineRule="exact"/>
        <w:ind w:firstLine="480" w:firstLineChars="200"/>
        <w:jc w:val="both"/>
        <w:rPr>
          <w:iCs/>
          <w:szCs w:val="18"/>
        </w:rPr>
      </w:pPr>
      <w:r>
        <w:rPr>
          <w:rFonts w:hint="eastAsia"/>
          <w:iCs/>
          <w:szCs w:val="18"/>
        </w:rPr>
        <w:t>矿山总平面布置由开采区、排土场、办公生活区、全封闭原料库和洗车平台等各部分组成。</w:t>
      </w:r>
    </w:p>
    <w:p>
      <w:pPr>
        <w:spacing w:line="440" w:lineRule="exact"/>
        <w:ind w:firstLine="480" w:firstLineChars="200"/>
        <w:jc w:val="both"/>
        <w:rPr>
          <w:iCs/>
          <w:szCs w:val="18"/>
        </w:rPr>
      </w:pPr>
      <w:r>
        <w:rPr>
          <w:rFonts w:hint="eastAsia"/>
          <w:iCs/>
          <w:szCs w:val="18"/>
        </w:rPr>
        <w:t>矿区总面积0.0508km</w:t>
      </w:r>
      <w:r>
        <w:rPr>
          <w:rFonts w:hint="eastAsia"/>
          <w:iCs/>
          <w:szCs w:val="18"/>
          <w:vertAlign w:val="superscript"/>
        </w:rPr>
        <w:t>2</w:t>
      </w:r>
      <w:r>
        <w:rPr>
          <w:rFonts w:hint="eastAsia"/>
          <w:iCs/>
          <w:szCs w:val="18"/>
        </w:rPr>
        <w:t>。</w:t>
      </w:r>
      <w:r>
        <w:rPr>
          <w:iCs/>
          <w:szCs w:val="18"/>
        </w:rPr>
        <w:t>工业场地位于矿区南部，地形较开阔</w:t>
      </w:r>
      <w:r>
        <w:rPr>
          <w:rFonts w:hint="eastAsia"/>
          <w:iCs/>
          <w:szCs w:val="18"/>
        </w:rPr>
        <w:t>。工业场地内设1座500m</w:t>
      </w:r>
      <w:r>
        <w:rPr>
          <w:rFonts w:hint="eastAsia"/>
          <w:iCs/>
          <w:szCs w:val="18"/>
          <w:vertAlign w:val="superscript"/>
        </w:rPr>
        <w:t>2</w:t>
      </w:r>
      <w:r>
        <w:rPr>
          <w:rFonts w:hint="eastAsia"/>
          <w:iCs/>
          <w:szCs w:val="18"/>
        </w:rPr>
        <w:t>全封闭原料库</w:t>
      </w:r>
      <w:r>
        <w:rPr>
          <w:iCs/>
          <w:szCs w:val="18"/>
        </w:rPr>
        <w:t>。 办公生活区位于矿区西</w:t>
      </w:r>
      <w:r>
        <w:rPr>
          <w:rFonts w:hint="eastAsia"/>
          <w:iCs/>
          <w:szCs w:val="18"/>
        </w:rPr>
        <w:t>南侧，排土场设在工业广场北部沟谷中（采空区），长度为14m，宽度为13m</w:t>
      </w:r>
      <w:r>
        <w:rPr>
          <w:iCs/>
          <w:szCs w:val="18"/>
        </w:rPr>
        <w:t>。</w:t>
      </w:r>
      <w:r>
        <w:rPr>
          <w:rFonts w:hint="eastAsia"/>
          <w:iCs/>
          <w:szCs w:val="18"/>
        </w:rPr>
        <w:t>洗车平台位于工业场地入口处。</w:t>
      </w:r>
    </w:p>
    <w:p>
      <w:pPr>
        <w:spacing w:line="440" w:lineRule="exact"/>
        <w:ind w:firstLine="480" w:firstLineChars="200"/>
        <w:jc w:val="both"/>
        <w:rPr>
          <w:rFonts w:hint="default" w:eastAsia="宋体"/>
          <w:b/>
          <w:lang w:val="en-US" w:eastAsia="zh-CN"/>
        </w:rPr>
      </w:pPr>
      <w:r>
        <w:t>本项目</w:t>
      </w:r>
      <w:r>
        <w:rPr>
          <w:rFonts w:hint="eastAsia"/>
        </w:rPr>
        <w:t>矿区总</w:t>
      </w:r>
      <w:r>
        <w:t>平面</w:t>
      </w:r>
      <w:r>
        <w:rPr>
          <w:rFonts w:hint="eastAsia"/>
        </w:rPr>
        <w:t>布置</w:t>
      </w:r>
      <w:r>
        <w:t>图见图</w:t>
      </w:r>
      <w:r>
        <w:rPr>
          <w:rFonts w:hint="eastAsia"/>
        </w:rPr>
        <w:t>2</w:t>
      </w:r>
      <w:r>
        <w:t>-</w:t>
      </w:r>
      <w:r>
        <w:rPr>
          <w:rFonts w:hint="eastAsia"/>
        </w:rPr>
        <w:t>2</w:t>
      </w:r>
      <w:r>
        <w:t>-2</w:t>
      </w:r>
      <w:r>
        <w:rPr>
          <w:rFonts w:hint="eastAsia"/>
          <w:lang w:eastAsia="zh-CN"/>
        </w:rPr>
        <w:t>，采场终了平面布置图见图</w:t>
      </w:r>
      <w:r>
        <w:rPr>
          <w:rFonts w:hint="eastAsia"/>
          <w:lang w:val="en-US" w:eastAsia="zh-CN"/>
        </w:rPr>
        <w:t>2-2-3。</w:t>
      </w:r>
    </w:p>
    <w:p>
      <w:pPr>
        <w:spacing w:line="440" w:lineRule="exact"/>
        <w:ind w:firstLine="480" w:firstLineChars="200"/>
        <w:jc w:val="both"/>
        <w:rPr>
          <w:iCs/>
          <w:szCs w:val="18"/>
        </w:rPr>
      </w:pPr>
    </w:p>
    <w:p>
      <w:pPr>
        <w:pStyle w:val="87"/>
        <w:ind w:left="480"/>
        <w:rPr>
          <w:iCs/>
          <w:szCs w:val="18"/>
        </w:rPr>
      </w:pPr>
    </w:p>
    <w:p>
      <w:pPr>
        <w:rPr>
          <w:iCs/>
          <w:szCs w:val="18"/>
        </w:rPr>
        <w:sectPr>
          <w:pgSz w:w="11907" w:h="16840"/>
          <w:pgMar w:top="1247" w:right="1418" w:bottom="1247" w:left="1418" w:header="850" w:footer="850" w:gutter="0"/>
          <w:cols w:space="425" w:num="1"/>
          <w:docGrid w:linePitch="326" w:charSpace="0"/>
        </w:sectPr>
      </w:pPr>
    </w:p>
    <w:p>
      <w:pPr>
        <w:pStyle w:val="87"/>
        <w:spacing w:line="240" w:lineRule="auto"/>
        <w:ind w:left="480"/>
        <w:rPr>
          <w:rFonts w:eastAsia="宋体"/>
        </w:rPr>
      </w:pPr>
      <w:r>
        <w:rPr>
          <w:rFonts w:hint="eastAsia" w:eastAsia="宋体"/>
        </w:rPr>
        <w:drawing>
          <wp:inline distT="0" distB="0" distL="114300" distR="114300">
            <wp:extent cx="7555230" cy="5350510"/>
            <wp:effectExtent l="0" t="0" r="7620" b="2540"/>
            <wp:docPr id="37" name="图片 37" descr="图2-2-2 总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2-2-2 总平面布置图"/>
                    <pic:cNvPicPr>
                      <a:picLocks noChangeAspect="1"/>
                    </pic:cNvPicPr>
                  </pic:nvPicPr>
                  <pic:blipFill>
                    <a:blip r:embed="rId30"/>
                    <a:stretch>
                      <a:fillRect/>
                    </a:stretch>
                  </pic:blipFill>
                  <pic:spPr>
                    <a:xfrm>
                      <a:off x="0" y="0"/>
                      <a:ext cx="7555230" cy="5350510"/>
                    </a:xfrm>
                    <a:prstGeom prst="rect">
                      <a:avLst/>
                    </a:prstGeom>
                  </pic:spPr>
                </pic:pic>
              </a:graphicData>
            </a:graphic>
          </wp:inline>
        </w:drawing>
      </w:r>
    </w:p>
    <w:p>
      <w:pPr>
        <w:jc w:val="center"/>
        <w:rPr>
          <w:iCs/>
          <w:szCs w:val="18"/>
        </w:rPr>
      </w:pPr>
      <w:r>
        <w:rPr>
          <w:rFonts w:hint="eastAsia"/>
        </w:rPr>
        <w:t>图2-2-2 矿区总平面布置图</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iCs/>
          <w:szCs w:val="18"/>
        </w:rPr>
      </w:pPr>
      <w:r>
        <w:rPr>
          <w:rFonts w:hint="eastAsia" w:eastAsia="华康简魏碑"/>
          <w:lang w:eastAsia="zh-CN"/>
        </w:rPr>
        <w:drawing>
          <wp:inline distT="0" distB="0" distL="114300" distR="114300">
            <wp:extent cx="6866890" cy="5275580"/>
            <wp:effectExtent l="0" t="0" r="10160" b="1270"/>
            <wp:docPr id="36" name="图片 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
                    <pic:cNvPicPr>
                      <a:picLocks noChangeAspect="1"/>
                    </pic:cNvPicPr>
                  </pic:nvPicPr>
                  <pic:blipFill>
                    <a:blip r:embed="rId31"/>
                    <a:stretch>
                      <a:fillRect/>
                    </a:stretch>
                  </pic:blipFill>
                  <pic:spPr>
                    <a:xfrm>
                      <a:off x="0" y="0"/>
                      <a:ext cx="6866890" cy="5275580"/>
                    </a:xfrm>
                    <a:prstGeom prst="rect">
                      <a:avLst/>
                    </a:prstGeom>
                  </pic:spPr>
                </pic:pic>
              </a:graphicData>
            </a:graphic>
          </wp:inline>
        </w:drawing>
      </w:r>
    </w:p>
    <w:p>
      <w:pPr>
        <w:pStyle w:val="87"/>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textAlignment w:val="auto"/>
        <w:rPr>
          <w:rFonts w:hint="eastAsia" w:eastAsia="华康简魏碑"/>
          <w:lang w:eastAsia="zh-CN"/>
        </w:rPr>
      </w:pPr>
    </w:p>
    <w:p>
      <w:pPr>
        <w:jc w:val="center"/>
        <w:rPr>
          <w:rFonts w:hint="default"/>
          <w:lang w:val="en-US" w:eastAsia="zh-CN"/>
        </w:rPr>
        <w:sectPr>
          <w:pgSz w:w="16840" w:h="11907" w:orient="landscape"/>
          <w:pgMar w:top="1418" w:right="1247" w:bottom="1418" w:left="1247" w:header="850" w:footer="850" w:gutter="0"/>
          <w:cols w:space="425" w:num="1"/>
          <w:docGrid w:linePitch="326" w:charSpace="0"/>
        </w:sectPr>
      </w:pPr>
      <w:r>
        <w:rPr>
          <w:rFonts w:hint="eastAsia" w:eastAsia="华康简魏碑"/>
          <w:lang w:eastAsia="zh-CN"/>
        </w:rPr>
        <w:t>图</w:t>
      </w:r>
      <w:r>
        <w:rPr>
          <w:rFonts w:hint="eastAsia" w:eastAsia="华康简魏碑"/>
          <w:lang w:val="en-US" w:eastAsia="zh-CN"/>
        </w:rPr>
        <w:t>2-2-3 露天采场终了平面图</w:t>
      </w:r>
    </w:p>
    <w:p>
      <w:pPr>
        <w:widowControl w:val="0"/>
        <w:adjustRightInd w:val="0"/>
        <w:snapToGrid w:val="0"/>
        <w:spacing w:before="120" w:beforeLines="50" w:line="360" w:lineRule="auto"/>
        <w:jc w:val="both"/>
        <w:outlineLvl w:val="2"/>
        <w:rPr>
          <w:b/>
          <w:kern w:val="2"/>
        </w:rPr>
      </w:pPr>
      <w:r>
        <w:rPr>
          <w:b/>
          <w:kern w:val="2"/>
        </w:rPr>
        <w:t>2.2.</w:t>
      </w:r>
      <w:r>
        <w:rPr>
          <w:rFonts w:hint="eastAsia"/>
          <w:b/>
          <w:kern w:val="2"/>
        </w:rPr>
        <w:t>8公用工程</w:t>
      </w:r>
    </w:p>
    <w:p>
      <w:pPr>
        <w:spacing w:line="440" w:lineRule="exact"/>
        <w:jc w:val="both"/>
        <w:rPr>
          <w:rFonts w:eastAsiaTheme="minorEastAsia"/>
          <w:b/>
          <w:lang w:val="zh-CN"/>
        </w:rPr>
      </w:pPr>
      <w:r>
        <w:rPr>
          <w:rFonts w:eastAsiaTheme="minorEastAsia"/>
          <w:b/>
          <w:lang w:val="zh-CN"/>
        </w:rPr>
        <w:t>2</w:t>
      </w:r>
      <w:r>
        <w:rPr>
          <w:rFonts w:hint="eastAsia" w:eastAsiaTheme="minorEastAsia"/>
          <w:b/>
          <w:lang w:val="zh-CN"/>
        </w:rPr>
        <w:t>.2.</w:t>
      </w:r>
      <w:r>
        <w:rPr>
          <w:rFonts w:hint="eastAsia" w:eastAsiaTheme="minorEastAsia"/>
          <w:b/>
        </w:rPr>
        <w:t>8</w:t>
      </w:r>
      <w:r>
        <w:rPr>
          <w:rFonts w:hint="eastAsia" w:eastAsiaTheme="minorEastAsia"/>
          <w:b/>
          <w:lang w:val="zh-CN"/>
        </w:rPr>
        <w:t>.</w:t>
      </w:r>
      <w:r>
        <w:rPr>
          <w:rFonts w:hint="eastAsia" w:eastAsiaTheme="minorEastAsia"/>
          <w:b/>
        </w:rPr>
        <w:t>1供电</w:t>
      </w:r>
    </w:p>
    <w:p>
      <w:pPr>
        <w:spacing w:line="440" w:lineRule="exact"/>
        <w:ind w:firstLine="480" w:firstLineChars="200"/>
        <w:jc w:val="both"/>
        <w:rPr>
          <w:iCs/>
          <w:szCs w:val="18"/>
        </w:rPr>
      </w:pPr>
      <w:r>
        <w:rPr>
          <w:rFonts w:hint="eastAsia"/>
          <w:iCs/>
          <w:szCs w:val="18"/>
        </w:rPr>
        <w:t>本项目供电接自横涧乡变电站，工业场地内设配电室，内设75kw变压器，能够满足生产生活用电需求。</w:t>
      </w:r>
    </w:p>
    <w:p>
      <w:pPr>
        <w:spacing w:line="440" w:lineRule="exact"/>
        <w:jc w:val="both"/>
        <w:rPr>
          <w:rFonts w:eastAsiaTheme="minorEastAsia"/>
          <w:b/>
          <w:lang w:val="zh-CN"/>
        </w:rPr>
      </w:pPr>
      <w:r>
        <w:rPr>
          <w:rFonts w:eastAsiaTheme="minorEastAsia"/>
          <w:b/>
          <w:lang w:val="zh-CN"/>
        </w:rPr>
        <w:t>2</w:t>
      </w:r>
      <w:r>
        <w:rPr>
          <w:rFonts w:hint="eastAsia" w:eastAsiaTheme="minorEastAsia"/>
          <w:b/>
          <w:lang w:val="zh-CN"/>
        </w:rPr>
        <w:t>.2.</w:t>
      </w:r>
      <w:r>
        <w:rPr>
          <w:rFonts w:hint="eastAsia" w:eastAsiaTheme="minorEastAsia"/>
          <w:b/>
        </w:rPr>
        <w:t>8</w:t>
      </w:r>
      <w:r>
        <w:rPr>
          <w:rFonts w:hint="eastAsia" w:eastAsiaTheme="minorEastAsia"/>
          <w:b/>
          <w:lang w:val="zh-CN"/>
        </w:rPr>
        <w:t>.</w:t>
      </w:r>
      <w:r>
        <w:rPr>
          <w:rFonts w:hint="eastAsia" w:eastAsiaTheme="minorEastAsia"/>
          <w:b/>
        </w:rPr>
        <w:t>2给排水</w:t>
      </w:r>
    </w:p>
    <w:p>
      <w:pPr>
        <w:spacing w:line="440" w:lineRule="exact"/>
        <w:ind w:firstLine="480" w:firstLineChars="200"/>
        <w:jc w:val="both"/>
        <w:rPr>
          <w:iCs/>
          <w:szCs w:val="18"/>
        </w:rPr>
      </w:pPr>
      <w:r>
        <w:rPr>
          <w:rFonts w:hint="eastAsia"/>
          <w:iCs/>
          <w:szCs w:val="18"/>
        </w:rPr>
        <w:t>本项目用水水源为横涧乡自来水，经罐车运至厂区内储罐储存，能够满足生产生活用水需求。</w:t>
      </w:r>
    </w:p>
    <w:p>
      <w:pPr>
        <w:spacing w:line="440" w:lineRule="exact"/>
        <w:ind w:firstLine="480" w:firstLineChars="200"/>
        <w:jc w:val="both"/>
        <w:rPr>
          <w:iCs/>
          <w:szCs w:val="18"/>
        </w:rPr>
      </w:pPr>
      <w:r>
        <w:rPr>
          <w:rFonts w:hint="eastAsia"/>
          <w:iCs/>
          <w:szCs w:val="18"/>
        </w:rPr>
        <w:t>1、给水</w:t>
      </w:r>
    </w:p>
    <w:p>
      <w:pPr>
        <w:spacing w:line="440" w:lineRule="exact"/>
        <w:ind w:firstLine="480" w:firstLineChars="200"/>
        <w:jc w:val="both"/>
        <w:rPr>
          <w:iCs/>
          <w:szCs w:val="18"/>
        </w:rPr>
      </w:pPr>
      <w:r>
        <w:rPr>
          <w:rFonts w:hint="eastAsia"/>
          <w:iCs/>
          <w:szCs w:val="18"/>
        </w:rPr>
        <w:t>本项目用水主要包括雾炮机用水、职工生活用水、绿化用水、道路洒水和洗车用水。</w:t>
      </w:r>
    </w:p>
    <w:p>
      <w:pPr>
        <w:spacing w:line="440" w:lineRule="exact"/>
        <w:ind w:firstLine="480" w:firstLineChars="200"/>
        <w:jc w:val="both"/>
        <w:rPr>
          <w:iCs/>
          <w:szCs w:val="18"/>
        </w:rPr>
      </w:pPr>
      <w:r>
        <w:rPr>
          <w:rFonts w:hint="eastAsia"/>
          <w:iCs/>
          <w:szCs w:val="18"/>
        </w:rPr>
        <w:t>（1）雾炮机用水</w:t>
      </w:r>
    </w:p>
    <w:p>
      <w:pPr>
        <w:spacing w:line="440" w:lineRule="exact"/>
        <w:ind w:firstLine="480" w:firstLineChars="200"/>
        <w:jc w:val="both"/>
        <w:rPr>
          <w:iCs/>
          <w:szCs w:val="18"/>
        </w:rPr>
      </w:pPr>
      <w:r>
        <w:rPr>
          <w:rFonts w:hint="eastAsia"/>
          <w:iCs/>
          <w:szCs w:val="18"/>
        </w:rPr>
        <w:t>本项目采装作业区和原料库内设雾炮机喷雾洒水抑尘，</w:t>
      </w:r>
      <w:r>
        <w:rPr>
          <w:rFonts w:hint="eastAsia"/>
          <w:szCs w:val="20"/>
        </w:rPr>
        <w:t>本项目</w:t>
      </w:r>
      <w:r>
        <w:rPr>
          <w:rFonts w:hint="eastAsia"/>
          <w:iCs/>
          <w:szCs w:val="18"/>
        </w:rPr>
        <w:t>雾炮机总计耗水量约为3</w:t>
      </w:r>
      <w:r>
        <w:rPr>
          <w:szCs w:val="20"/>
        </w:rPr>
        <w:t>m</w:t>
      </w:r>
      <w:r>
        <w:rPr>
          <w:szCs w:val="20"/>
          <w:vertAlign w:val="superscript"/>
        </w:rPr>
        <w:t>3</w:t>
      </w:r>
      <w:r>
        <w:rPr>
          <w:szCs w:val="20"/>
        </w:rPr>
        <w:t>/d</w:t>
      </w:r>
      <w:r>
        <w:rPr>
          <w:rFonts w:hint="eastAsia"/>
          <w:szCs w:val="20"/>
        </w:rPr>
        <w:t>（630</w:t>
      </w:r>
      <w:r>
        <w:rPr>
          <w:bCs/>
          <w:szCs w:val="20"/>
        </w:rPr>
        <w:t>m</w:t>
      </w:r>
      <w:r>
        <w:rPr>
          <w:bCs/>
          <w:szCs w:val="20"/>
          <w:vertAlign w:val="superscript"/>
        </w:rPr>
        <w:t>3</w:t>
      </w:r>
      <w:r>
        <w:rPr>
          <w:bCs/>
          <w:szCs w:val="20"/>
        </w:rPr>
        <w:t>/a</w:t>
      </w:r>
      <w:r>
        <w:rPr>
          <w:rFonts w:hint="eastAsia"/>
          <w:szCs w:val="20"/>
        </w:rPr>
        <w:t>）。</w:t>
      </w:r>
    </w:p>
    <w:p>
      <w:pPr>
        <w:spacing w:line="440" w:lineRule="exact"/>
        <w:ind w:firstLine="480" w:firstLineChars="200"/>
        <w:jc w:val="both"/>
        <w:rPr>
          <w:iCs/>
          <w:szCs w:val="18"/>
        </w:rPr>
      </w:pPr>
      <w:r>
        <w:rPr>
          <w:rFonts w:hint="eastAsia"/>
          <w:iCs/>
          <w:szCs w:val="18"/>
        </w:rPr>
        <w:t>（2）生活用水</w:t>
      </w:r>
    </w:p>
    <w:p>
      <w:pPr>
        <w:snapToGrid w:val="0"/>
        <w:spacing w:line="500" w:lineRule="exact"/>
        <w:ind w:firstLine="480"/>
        <w:rPr>
          <w:bCs/>
          <w:szCs w:val="20"/>
        </w:rPr>
      </w:pPr>
      <w:r>
        <w:rPr>
          <w:rFonts w:hint="eastAsia"/>
          <w:iCs/>
          <w:szCs w:val="18"/>
        </w:rPr>
        <w:t>本项目劳动定员10人，全部为附近村民，厂区内不设食堂和浴室，采用旱厕，生活用水量按</w:t>
      </w:r>
      <w:r>
        <w:rPr>
          <w:rFonts w:hint="eastAsia"/>
          <w:szCs w:val="20"/>
        </w:rPr>
        <w:t>3</w:t>
      </w:r>
      <w:r>
        <w:rPr>
          <w:szCs w:val="20"/>
        </w:rPr>
        <w:t>0 L/d•人计，经计算，职工生活用水量为</w:t>
      </w:r>
      <w:r>
        <w:rPr>
          <w:rFonts w:hint="eastAsia"/>
          <w:szCs w:val="20"/>
        </w:rPr>
        <w:t>0.3</w:t>
      </w:r>
      <w:r>
        <w:rPr>
          <w:szCs w:val="20"/>
        </w:rPr>
        <w:t>m</w:t>
      </w:r>
      <w:r>
        <w:rPr>
          <w:szCs w:val="20"/>
          <w:vertAlign w:val="superscript"/>
        </w:rPr>
        <w:t>3</w:t>
      </w:r>
      <w:r>
        <w:rPr>
          <w:szCs w:val="20"/>
        </w:rPr>
        <w:t>/d</w:t>
      </w:r>
      <w:r>
        <w:rPr>
          <w:rFonts w:hint="eastAsia"/>
          <w:bCs/>
          <w:szCs w:val="20"/>
        </w:rPr>
        <w:t>（63</w:t>
      </w:r>
      <w:r>
        <w:rPr>
          <w:bCs/>
          <w:szCs w:val="20"/>
        </w:rPr>
        <w:t>m</w:t>
      </w:r>
      <w:r>
        <w:rPr>
          <w:bCs/>
          <w:szCs w:val="20"/>
          <w:vertAlign w:val="superscript"/>
        </w:rPr>
        <w:t>3</w:t>
      </w:r>
      <w:r>
        <w:rPr>
          <w:bCs/>
          <w:szCs w:val="20"/>
        </w:rPr>
        <w:t>/a</w:t>
      </w:r>
      <w:r>
        <w:rPr>
          <w:rFonts w:hint="eastAsia"/>
          <w:bCs/>
          <w:szCs w:val="20"/>
        </w:rPr>
        <w:t>）</w:t>
      </w:r>
      <w:r>
        <w:rPr>
          <w:bCs/>
          <w:szCs w:val="20"/>
        </w:rPr>
        <w:t>。</w:t>
      </w:r>
    </w:p>
    <w:p>
      <w:pPr>
        <w:spacing w:line="440" w:lineRule="exact"/>
        <w:ind w:firstLine="480" w:firstLineChars="200"/>
        <w:jc w:val="both"/>
        <w:rPr>
          <w:iCs/>
          <w:szCs w:val="18"/>
        </w:rPr>
      </w:pPr>
      <w:r>
        <w:rPr>
          <w:rFonts w:hint="eastAsia"/>
          <w:iCs/>
          <w:szCs w:val="18"/>
        </w:rPr>
        <w:t>（3）绿化用水</w:t>
      </w:r>
    </w:p>
    <w:p>
      <w:pPr>
        <w:spacing w:line="440" w:lineRule="exact"/>
        <w:ind w:firstLine="480" w:firstLineChars="200"/>
        <w:jc w:val="both"/>
        <w:rPr>
          <w:iCs/>
          <w:szCs w:val="18"/>
        </w:rPr>
      </w:pPr>
      <w:r>
        <w:rPr>
          <w:rFonts w:hint="eastAsia"/>
          <w:iCs/>
          <w:szCs w:val="18"/>
        </w:rPr>
        <w:t>本项目绿化面积500m</w:t>
      </w:r>
      <w:r>
        <w:rPr>
          <w:rFonts w:hint="eastAsia"/>
          <w:iCs/>
          <w:szCs w:val="18"/>
          <w:vertAlign w:val="superscript"/>
        </w:rPr>
        <w:t>2</w:t>
      </w:r>
      <w:r>
        <w:rPr>
          <w:rFonts w:hint="eastAsia"/>
          <w:iCs/>
          <w:szCs w:val="18"/>
        </w:rPr>
        <w:t>，绿化用水量按</w:t>
      </w:r>
      <w:r>
        <w:rPr>
          <w:rFonts w:hint="eastAsia"/>
        </w:rPr>
        <w:t>2L/m</w:t>
      </w:r>
      <w:r>
        <w:rPr>
          <w:rFonts w:hint="eastAsia"/>
          <w:vertAlign w:val="superscript"/>
        </w:rPr>
        <w:t>2</w:t>
      </w:r>
      <w:r>
        <w:rPr>
          <w:rFonts w:hint="eastAsia"/>
        </w:rPr>
        <w:t>·d计，则本项目绿化用水量为1.0</w:t>
      </w:r>
      <w:r>
        <w:rPr>
          <w:szCs w:val="20"/>
        </w:rPr>
        <w:t>m</w:t>
      </w:r>
      <w:r>
        <w:rPr>
          <w:szCs w:val="20"/>
          <w:vertAlign w:val="superscript"/>
        </w:rPr>
        <w:t>3</w:t>
      </w:r>
      <w:r>
        <w:rPr>
          <w:szCs w:val="20"/>
        </w:rPr>
        <w:t>/d</w:t>
      </w:r>
      <w:r>
        <w:rPr>
          <w:rFonts w:hint="eastAsia"/>
          <w:bCs/>
          <w:szCs w:val="20"/>
        </w:rPr>
        <w:t>（210</w:t>
      </w:r>
      <w:r>
        <w:rPr>
          <w:bCs/>
          <w:szCs w:val="20"/>
        </w:rPr>
        <w:t>m</w:t>
      </w:r>
      <w:r>
        <w:rPr>
          <w:bCs/>
          <w:szCs w:val="20"/>
          <w:vertAlign w:val="superscript"/>
        </w:rPr>
        <w:t>3</w:t>
      </w:r>
      <w:r>
        <w:rPr>
          <w:bCs/>
          <w:szCs w:val="20"/>
        </w:rPr>
        <w:t>/a</w:t>
      </w:r>
      <w:r>
        <w:rPr>
          <w:rFonts w:hint="eastAsia"/>
          <w:bCs/>
          <w:szCs w:val="20"/>
        </w:rPr>
        <w:t>）</w:t>
      </w:r>
      <w:r>
        <w:rPr>
          <w:bCs/>
          <w:szCs w:val="20"/>
        </w:rPr>
        <w:t>。</w:t>
      </w:r>
    </w:p>
    <w:p>
      <w:pPr>
        <w:spacing w:line="440" w:lineRule="exact"/>
        <w:ind w:firstLine="480" w:firstLineChars="200"/>
        <w:jc w:val="both"/>
        <w:rPr>
          <w:iCs/>
          <w:szCs w:val="18"/>
        </w:rPr>
      </w:pPr>
      <w:r>
        <w:rPr>
          <w:rFonts w:hint="eastAsia"/>
          <w:iCs/>
          <w:szCs w:val="18"/>
        </w:rPr>
        <w:t>（4）道路洒水</w:t>
      </w:r>
    </w:p>
    <w:p>
      <w:pPr>
        <w:spacing w:line="440" w:lineRule="exact"/>
        <w:ind w:firstLine="480" w:firstLineChars="200"/>
        <w:jc w:val="both"/>
        <w:rPr>
          <w:iCs/>
          <w:szCs w:val="18"/>
        </w:rPr>
      </w:pPr>
      <w:r>
        <w:rPr>
          <w:rFonts w:hint="eastAsia"/>
          <w:iCs/>
          <w:szCs w:val="18"/>
        </w:rPr>
        <w:t>本项目道路和场地面积总计约1000m</w:t>
      </w:r>
      <w:r>
        <w:rPr>
          <w:rFonts w:hint="eastAsia"/>
          <w:iCs/>
          <w:szCs w:val="18"/>
          <w:vertAlign w:val="superscript"/>
        </w:rPr>
        <w:t>2</w:t>
      </w:r>
      <w:r>
        <w:rPr>
          <w:rFonts w:hint="eastAsia"/>
          <w:iCs/>
          <w:szCs w:val="18"/>
        </w:rPr>
        <w:t>，道路洒水量按0.5</w:t>
      </w:r>
      <w:r>
        <w:rPr>
          <w:rFonts w:hint="eastAsia"/>
        </w:rPr>
        <w:t>L/m</w:t>
      </w:r>
      <w:r>
        <w:rPr>
          <w:rFonts w:hint="eastAsia"/>
          <w:vertAlign w:val="superscript"/>
        </w:rPr>
        <w:t>2</w:t>
      </w:r>
      <w:r>
        <w:rPr>
          <w:rFonts w:hint="eastAsia"/>
        </w:rPr>
        <w:t>·d计，则本项目道路洒水用水量为0.5</w:t>
      </w:r>
      <w:r>
        <w:rPr>
          <w:szCs w:val="20"/>
        </w:rPr>
        <w:t>m</w:t>
      </w:r>
      <w:r>
        <w:rPr>
          <w:szCs w:val="20"/>
          <w:vertAlign w:val="superscript"/>
        </w:rPr>
        <w:t>3</w:t>
      </w:r>
      <w:r>
        <w:rPr>
          <w:szCs w:val="20"/>
        </w:rPr>
        <w:t>/d</w:t>
      </w:r>
      <w:r>
        <w:rPr>
          <w:rFonts w:hint="eastAsia"/>
          <w:bCs/>
          <w:szCs w:val="20"/>
        </w:rPr>
        <w:t>（105</w:t>
      </w:r>
      <w:r>
        <w:rPr>
          <w:bCs/>
          <w:szCs w:val="20"/>
        </w:rPr>
        <w:t>m</w:t>
      </w:r>
      <w:r>
        <w:rPr>
          <w:bCs/>
          <w:szCs w:val="20"/>
          <w:vertAlign w:val="superscript"/>
        </w:rPr>
        <w:t>3</w:t>
      </w:r>
      <w:r>
        <w:rPr>
          <w:bCs/>
          <w:szCs w:val="20"/>
        </w:rPr>
        <w:t>/a</w:t>
      </w:r>
      <w:r>
        <w:rPr>
          <w:rFonts w:hint="eastAsia"/>
          <w:bCs/>
          <w:szCs w:val="20"/>
        </w:rPr>
        <w:t>）</w:t>
      </w:r>
      <w:r>
        <w:rPr>
          <w:bCs/>
          <w:szCs w:val="20"/>
        </w:rPr>
        <w:t>。</w:t>
      </w:r>
    </w:p>
    <w:p>
      <w:pPr>
        <w:spacing w:line="440" w:lineRule="exact"/>
        <w:ind w:firstLine="480" w:firstLineChars="200"/>
        <w:jc w:val="both"/>
        <w:rPr>
          <w:iCs/>
          <w:szCs w:val="18"/>
        </w:rPr>
      </w:pPr>
      <w:r>
        <w:rPr>
          <w:rFonts w:hint="eastAsia"/>
          <w:iCs/>
          <w:szCs w:val="18"/>
        </w:rPr>
        <w:t>（5）洗车用水</w:t>
      </w:r>
    </w:p>
    <w:p>
      <w:pPr>
        <w:spacing w:line="440" w:lineRule="exact"/>
        <w:ind w:firstLine="480" w:firstLineChars="200"/>
        <w:jc w:val="both"/>
        <w:rPr>
          <w:bCs/>
        </w:rPr>
      </w:pPr>
      <w:r>
        <w:rPr>
          <w:rFonts w:hint="eastAsia"/>
          <w:iCs/>
          <w:szCs w:val="18"/>
        </w:rPr>
        <w:t>本项目年运输量约为27000t，年工作210d，汽车运输量按20t/辆计，则日运输车次为7</w:t>
      </w:r>
      <w:r>
        <w:rPr>
          <w:rFonts w:hint="eastAsia"/>
          <w:bCs/>
        </w:rPr>
        <w:t>辆</w:t>
      </w:r>
      <w:r>
        <w:rPr>
          <w:bCs/>
        </w:rPr>
        <w:t>·次</w:t>
      </w:r>
      <w:r>
        <w:rPr>
          <w:rFonts w:hint="eastAsia"/>
          <w:iCs/>
          <w:szCs w:val="18"/>
        </w:rPr>
        <w:t>，</w:t>
      </w:r>
      <w:r>
        <w:rPr>
          <w:rFonts w:hint="eastAsia"/>
          <w:bCs/>
        </w:rPr>
        <w:t>车辆</w:t>
      </w:r>
      <w:r>
        <w:rPr>
          <w:bCs/>
        </w:rPr>
        <w:t>冲洗用水</w:t>
      </w:r>
      <w:r>
        <w:rPr>
          <w:rFonts w:hint="eastAsia"/>
          <w:bCs/>
        </w:rPr>
        <w:t>量</w:t>
      </w:r>
      <w:r>
        <w:rPr>
          <w:bCs/>
        </w:rPr>
        <w:t>为</w:t>
      </w:r>
      <w:r>
        <w:rPr>
          <w:rFonts w:hint="eastAsia"/>
          <w:bCs/>
        </w:rPr>
        <w:t>0.05m</w:t>
      </w:r>
      <w:r>
        <w:rPr>
          <w:rFonts w:hint="eastAsia"/>
          <w:bCs/>
          <w:vertAlign w:val="superscript"/>
        </w:rPr>
        <w:t>3</w:t>
      </w:r>
      <w:r>
        <w:rPr>
          <w:bCs/>
        </w:rPr>
        <w:t>/</w:t>
      </w:r>
      <w:r>
        <w:rPr>
          <w:rFonts w:hint="eastAsia"/>
          <w:bCs/>
        </w:rPr>
        <w:t>辆</w:t>
      </w:r>
      <w:r>
        <w:rPr>
          <w:bCs/>
        </w:rPr>
        <w:t>·次</w:t>
      </w:r>
      <w:r>
        <w:rPr>
          <w:rFonts w:hint="eastAsia"/>
          <w:bCs/>
        </w:rPr>
        <w:t>，则本项目车辆冲洗用水量为0.35</w:t>
      </w:r>
      <w:r>
        <w:rPr>
          <w:szCs w:val="20"/>
        </w:rPr>
        <w:t>m</w:t>
      </w:r>
      <w:r>
        <w:rPr>
          <w:szCs w:val="20"/>
          <w:vertAlign w:val="superscript"/>
        </w:rPr>
        <w:t>3</w:t>
      </w:r>
      <w:r>
        <w:rPr>
          <w:szCs w:val="20"/>
        </w:rPr>
        <w:t>/d</w:t>
      </w:r>
      <w:r>
        <w:rPr>
          <w:rFonts w:hint="eastAsia"/>
          <w:szCs w:val="20"/>
        </w:rPr>
        <w:t>（73.5</w:t>
      </w:r>
      <w:r>
        <w:rPr>
          <w:bCs/>
          <w:szCs w:val="20"/>
        </w:rPr>
        <w:t>m</w:t>
      </w:r>
      <w:r>
        <w:rPr>
          <w:bCs/>
          <w:szCs w:val="20"/>
          <w:vertAlign w:val="superscript"/>
        </w:rPr>
        <w:t>3</w:t>
      </w:r>
      <w:r>
        <w:rPr>
          <w:bCs/>
          <w:szCs w:val="20"/>
        </w:rPr>
        <w:t>/a</w:t>
      </w:r>
      <w:r>
        <w:rPr>
          <w:rFonts w:hint="eastAsia"/>
          <w:szCs w:val="20"/>
        </w:rPr>
        <w:t>）。</w:t>
      </w:r>
    </w:p>
    <w:p>
      <w:pPr>
        <w:spacing w:line="440" w:lineRule="exact"/>
        <w:ind w:firstLine="480" w:firstLineChars="200"/>
        <w:jc w:val="both"/>
        <w:rPr>
          <w:iCs/>
          <w:szCs w:val="18"/>
        </w:rPr>
      </w:pPr>
      <w:r>
        <w:rPr>
          <w:rFonts w:hint="eastAsia"/>
          <w:iCs/>
          <w:szCs w:val="18"/>
        </w:rPr>
        <w:t>2、排水</w:t>
      </w:r>
    </w:p>
    <w:p>
      <w:pPr>
        <w:spacing w:line="440" w:lineRule="exact"/>
        <w:ind w:firstLine="480" w:firstLineChars="200"/>
        <w:jc w:val="both"/>
        <w:rPr>
          <w:iCs/>
          <w:szCs w:val="18"/>
        </w:rPr>
      </w:pPr>
      <w:r>
        <w:rPr>
          <w:rFonts w:hint="eastAsia"/>
          <w:iCs/>
          <w:szCs w:val="18"/>
        </w:rPr>
        <w:t>本项目排水主要为职工生活污水和车辆冲洗废水。</w:t>
      </w:r>
    </w:p>
    <w:p>
      <w:pPr>
        <w:spacing w:line="440" w:lineRule="exact"/>
        <w:ind w:firstLine="480" w:firstLineChars="200"/>
        <w:jc w:val="both"/>
        <w:rPr>
          <w:iCs/>
          <w:szCs w:val="18"/>
        </w:rPr>
      </w:pPr>
      <w:r>
        <w:rPr>
          <w:rFonts w:hint="eastAsia"/>
          <w:iCs/>
          <w:szCs w:val="18"/>
        </w:rPr>
        <w:t>（1）生活污水</w:t>
      </w:r>
    </w:p>
    <w:p>
      <w:pPr>
        <w:spacing w:line="440" w:lineRule="exact"/>
        <w:ind w:firstLine="480" w:firstLineChars="200"/>
        <w:jc w:val="both"/>
        <w:rPr>
          <w:iCs/>
          <w:szCs w:val="18"/>
        </w:rPr>
      </w:pPr>
      <w:r>
        <w:rPr>
          <w:rFonts w:hint="eastAsia"/>
          <w:iCs/>
          <w:szCs w:val="18"/>
        </w:rPr>
        <w:t>生活污水产生量按用水量的80%计，则本项目生活污水产生量为</w:t>
      </w:r>
      <w:r>
        <w:rPr>
          <w:rFonts w:hint="eastAsia"/>
          <w:szCs w:val="20"/>
        </w:rPr>
        <w:t>0.24</w:t>
      </w:r>
      <w:r>
        <w:rPr>
          <w:szCs w:val="20"/>
        </w:rPr>
        <w:t>m</w:t>
      </w:r>
      <w:r>
        <w:rPr>
          <w:szCs w:val="20"/>
          <w:vertAlign w:val="superscript"/>
        </w:rPr>
        <w:t>3</w:t>
      </w:r>
      <w:r>
        <w:rPr>
          <w:szCs w:val="20"/>
        </w:rPr>
        <w:t>/d</w:t>
      </w:r>
      <w:r>
        <w:rPr>
          <w:rFonts w:hint="eastAsia"/>
          <w:bCs/>
          <w:szCs w:val="20"/>
        </w:rPr>
        <w:t>（50.4</w:t>
      </w:r>
      <w:r>
        <w:rPr>
          <w:bCs/>
          <w:szCs w:val="20"/>
        </w:rPr>
        <w:t>m</w:t>
      </w:r>
      <w:r>
        <w:rPr>
          <w:bCs/>
          <w:szCs w:val="20"/>
          <w:vertAlign w:val="superscript"/>
        </w:rPr>
        <w:t>3</w:t>
      </w:r>
      <w:r>
        <w:rPr>
          <w:bCs/>
          <w:szCs w:val="20"/>
        </w:rPr>
        <w:t>/a</w:t>
      </w:r>
      <w:r>
        <w:rPr>
          <w:rFonts w:hint="eastAsia"/>
          <w:bCs/>
          <w:szCs w:val="20"/>
        </w:rPr>
        <w:t>）</w:t>
      </w:r>
      <w:r>
        <w:rPr>
          <w:bCs/>
          <w:szCs w:val="20"/>
        </w:rPr>
        <w:t>。</w:t>
      </w:r>
      <w:r>
        <w:rPr>
          <w:rFonts w:hint="eastAsia"/>
          <w:iCs/>
          <w:szCs w:val="18"/>
        </w:rPr>
        <w:t>生活污水沉淀后用于道路洒水，不外排。</w:t>
      </w:r>
    </w:p>
    <w:p>
      <w:pPr>
        <w:spacing w:line="440" w:lineRule="exact"/>
        <w:ind w:firstLine="480" w:firstLineChars="200"/>
        <w:jc w:val="both"/>
        <w:rPr>
          <w:iCs/>
          <w:szCs w:val="18"/>
        </w:rPr>
      </w:pPr>
      <w:r>
        <w:rPr>
          <w:rFonts w:hint="eastAsia"/>
          <w:iCs/>
          <w:szCs w:val="18"/>
        </w:rPr>
        <w:t>（2）洗车废水</w:t>
      </w:r>
    </w:p>
    <w:p>
      <w:pPr>
        <w:spacing w:line="440" w:lineRule="exact"/>
        <w:ind w:firstLine="480" w:firstLineChars="200"/>
        <w:jc w:val="both"/>
        <w:rPr>
          <w:iCs/>
          <w:szCs w:val="18"/>
        </w:rPr>
      </w:pPr>
      <w:r>
        <w:rPr>
          <w:rFonts w:hint="eastAsia"/>
          <w:iCs/>
          <w:szCs w:val="18"/>
        </w:rPr>
        <w:t>洗车废水产生量为使用量的80%，则本项目洗车废水产生量为</w:t>
      </w:r>
      <w:r>
        <w:rPr>
          <w:rFonts w:hint="eastAsia"/>
          <w:szCs w:val="20"/>
        </w:rPr>
        <w:t>0.28</w:t>
      </w:r>
      <w:r>
        <w:rPr>
          <w:szCs w:val="20"/>
        </w:rPr>
        <w:t>m</w:t>
      </w:r>
      <w:r>
        <w:rPr>
          <w:szCs w:val="20"/>
          <w:vertAlign w:val="superscript"/>
        </w:rPr>
        <w:t>3</w:t>
      </w:r>
      <w:r>
        <w:rPr>
          <w:szCs w:val="20"/>
        </w:rPr>
        <w:t>/d</w:t>
      </w:r>
      <w:r>
        <w:rPr>
          <w:rFonts w:hint="eastAsia"/>
          <w:bCs/>
          <w:szCs w:val="20"/>
        </w:rPr>
        <w:t>（58.8</w:t>
      </w:r>
      <w:r>
        <w:rPr>
          <w:bCs/>
          <w:szCs w:val="20"/>
        </w:rPr>
        <w:t>m</w:t>
      </w:r>
      <w:r>
        <w:rPr>
          <w:bCs/>
          <w:szCs w:val="20"/>
          <w:vertAlign w:val="superscript"/>
        </w:rPr>
        <w:t>3</w:t>
      </w:r>
      <w:r>
        <w:rPr>
          <w:bCs/>
          <w:szCs w:val="20"/>
        </w:rPr>
        <w:t>/a</w:t>
      </w:r>
      <w:r>
        <w:rPr>
          <w:rFonts w:hint="eastAsia"/>
          <w:bCs/>
          <w:szCs w:val="20"/>
        </w:rPr>
        <w:t>）</w:t>
      </w:r>
      <w:r>
        <w:rPr>
          <w:bCs/>
          <w:szCs w:val="20"/>
        </w:rPr>
        <w:t>。</w:t>
      </w:r>
      <w:r>
        <w:rPr>
          <w:rFonts w:hint="eastAsia"/>
          <w:iCs/>
          <w:szCs w:val="18"/>
        </w:rPr>
        <w:t>洗车废水经配套沉淀池沉淀后回用于洗车，不外排。</w:t>
      </w:r>
    </w:p>
    <w:p>
      <w:pPr>
        <w:spacing w:line="440" w:lineRule="exact"/>
        <w:ind w:firstLine="480" w:firstLineChars="200"/>
        <w:jc w:val="both"/>
        <w:rPr>
          <w:iCs/>
          <w:szCs w:val="18"/>
        </w:rPr>
      </w:pPr>
      <w:r>
        <w:rPr>
          <w:rFonts w:hint="eastAsia"/>
          <w:iCs/>
          <w:szCs w:val="18"/>
        </w:rPr>
        <w:t>本项目水平衡情况见表2.2-2，水平衡图见图2-2-3。</w:t>
      </w:r>
    </w:p>
    <w:p>
      <w:pPr>
        <w:pStyle w:val="362"/>
        <w:spacing w:before="120"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 xml:space="preserve">2.2-2 </w:t>
      </w:r>
      <w:r>
        <w:rPr>
          <w:rFonts w:hint="eastAsia" w:ascii="黑体" w:hAnsi="黑体" w:eastAsia="黑体" w:cs="黑体"/>
          <w:sz w:val="21"/>
          <w:szCs w:val="21"/>
        </w:rPr>
        <w:t xml:space="preserve"> 项目水平衡情况表</w:t>
      </w:r>
    </w:p>
    <w:tbl>
      <w:tblPr>
        <w:tblStyle w:val="88"/>
        <w:tblW w:w="5041"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26"/>
        <w:gridCol w:w="1499"/>
        <w:gridCol w:w="1100"/>
        <w:gridCol w:w="1443"/>
        <w:gridCol w:w="1039"/>
        <w:gridCol w:w="1159"/>
        <w:gridCol w:w="1159"/>
        <w:gridCol w:w="11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exact"/>
          <w:jc w:val="center"/>
        </w:trPr>
        <w:tc>
          <w:tcPr>
            <w:tcW w:w="3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rPr>
            </w:pPr>
            <w:bookmarkStart w:id="207" w:name="OLE_LINK2"/>
            <w:r>
              <w:rPr>
                <w:sz w:val="21"/>
                <w:szCs w:val="21"/>
              </w:rPr>
              <w:t>序号</w:t>
            </w:r>
          </w:p>
        </w:tc>
        <w:tc>
          <w:tcPr>
            <w:tcW w:w="81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rPr>
            </w:pPr>
            <w:r>
              <w:rPr>
                <w:sz w:val="21"/>
                <w:szCs w:val="21"/>
              </w:rPr>
              <w:t>名称</w:t>
            </w:r>
          </w:p>
        </w:tc>
        <w:tc>
          <w:tcPr>
            <w:tcW w:w="6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规模</w:t>
            </w:r>
          </w:p>
        </w:tc>
        <w:tc>
          <w:tcPr>
            <w:tcW w:w="785" w:type="pct"/>
            <w:vAlign w:val="center"/>
          </w:tcPr>
          <w:p>
            <w:pPr>
              <w:keepNext w:val="0"/>
              <w:keepLines w:val="0"/>
              <w:pageBreakBefore w:val="0"/>
              <w:widowControl/>
              <w:tabs>
                <w:tab w:val="left" w:pos="1050"/>
              </w:tabs>
              <w:kinsoku/>
              <w:wordWrap/>
              <w:overflowPunct/>
              <w:topLinePunct w:val="0"/>
              <w:autoSpaceDE/>
              <w:autoSpaceDN/>
              <w:bidi w:val="0"/>
              <w:adjustRightInd/>
              <w:snapToGrid/>
              <w:spacing w:line="240" w:lineRule="auto"/>
              <w:jc w:val="center"/>
              <w:textAlignment w:val="auto"/>
              <w:rPr>
                <w:sz w:val="21"/>
                <w:szCs w:val="21"/>
              </w:rPr>
            </w:pPr>
            <w:r>
              <w:rPr>
                <w:sz w:val="21"/>
                <w:szCs w:val="21"/>
              </w:rPr>
              <w:t>用水指标</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rPr>
            </w:pPr>
            <w:r>
              <w:rPr>
                <w:sz w:val="21"/>
                <w:szCs w:val="21"/>
              </w:rPr>
              <w:t>参考</w:t>
            </w:r>
          </w:p>
        </w:tc>
        <w:tc>
          <w:tcPr>
            <w:tcW w:w="56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rPr>
            </w:pPr>
            <w:r>
              <w:rPr>
                <w:sz w:val="21"/>
                <w:szCs w:val="21"/>
              </w:rPr>
              <w:t>日用水量</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rPr>
            </w:pPr>
            <w:r>
              <w:rPr>
                <w:sz w:val="21"/>
                <w:szCs w:val="21"/>
              </w:rPr>
              <w:t>（m</w:t>
            </w:r>
            <w:r>
              <w:rPr>
                <w:sz w:val="21"/>
                <w:szCs w:val="21"/>
                <w:vertAlign w:val="superscript"/>
              </w:rPr>
              <w:t>3</w:t>
            </w:r>
            <w:r>
              <w:rPr>
                <w:sz w:val="21"/>
                <w:szCs w:val="21"/>
              </w:rPr>
              <w:t>/d）</w:t>
            </w:r>
          </w:p>
        </w:tc>
        <w:tc>
          <w:tcPr>
            <w:tcW w:w="632" w:type="pct"/>
            <w:vAlign w:val="center"/>
          </w:tcPr>
          <w:p>
            <w:pPr>
              <w:keepNext w:val="0"/>
              <w:keepLines w:val="0"/>
              <w:pageBreakBefore w:val="0"/>
              <w:widowControl/>
              <w:tabs>
                <w:tab w:val="left" w:pos="1050"/>
              </w:tabs>
              <w:kinsoku/>
              <w:wordWrap/>
              <w:overflowPunct/>
              <w:topLinePunct w:val="0"/>
              <w:autoSpaceDE/>
              <w:autoSpaceDN/>
              <w:bidi w:val="0"/>
              <w:adjustRightInd/>
              <w:snapToGrid/>
              <w:spacing w:line="240" w:lineRule="auto"/>
              <w:jc w:val="center"/>
              <w:textAlignment w:val="auto"/>
              <w:rPr>
                <w:sz w:val="21"/>
                <w:szCs w:val="21"/>
              </w:rPr>
            </w:pPr>
            <w:r>
              <w:rPr>
                <w:sz w:val="21"/>
                <w:szCs w:val="21"/>
              </w:rPr>
              <w:t>消耗量</w:t>
            </w:r>
          </w:p>
          <w:p>
            <w:pPr>
              <w:keepNext w:val="0"/>
              <w:keepLines w:val="0"/>
              <w:pageBreakBefore w:val="0"/>
              <w:widowControl/>
              <w:tabs>
                <w:tab w:val="left" w:pos="1050"/>
              </w:tabs>
              <w:kinsoku/>
              <w:wordWrap/>
              <w:overflowPunct/>
              <w:topLinePunct w:val="0"/>
              <w:autoSpaceDE/>
              <w:autoSpaceDN/>
              <w:bidi w:val="0"/>
              <w:adjustRightInd/>
              <w:snapToGrid/>
              <w:spacing w:line="240" w:lineRule="auto"/>
              <w:jc w:val="center"/>
              <w:textAlignment w:val="auto"/>
              <w:rPr>
                <w:sz w:val="21"/>
                <w:szCs w:val="21"/>
              </w:rPr>
            </w:pPr>
            <w:r>
              <w:rPr>
                <w:sz w:val="21"/>
                <w:szCs w:val="21"/>
              </w:rPr>
              <w:t>（m</w:t>
            </w:r>
            <w:r>
              <w:rPr>
                <w:sz w:val="21"/>
                <w:szCs w:val="21"/>
                <w:vertAlign w:val="superscript"/>
              </w:rPr>
              <w:t>3</w:t>
            </w:r>
            <w:r>
              <w:rPr>
                <w:sz w:val="21"/>
                <w:szCs w:val="21"/>
              </w:rPr>
              <w:t>/d）</w:t>
            </w:r>
          </w:p>
        </w:tc>
        <w:tc>
          <w:tcPr>
            <w:tcW w:w="632" w:type="pct"/>
            <w:vAlign w:val="center"/>
          </w:tcPr>
          <w:p>
            <w:pPr>
              <w:keepNext w:val="0"/>
              <w:keepLines w:val="0"/>
              <w:pageBreakBefore w:val="0"/>
              <w:widowControl/>
              <w:tabs>
                <w:tab w:val="left" w:pos="1050"/>
              </w:tabs>
              <w:kinsoku/>
              <w:wordWrap/>
              <w:overflowPunct/>
              <w:topLinePunct w:val="0"/>
              <w:autoSpaceDE/>
              <w:autoSpaceDN/>
              <w:bidi w:val="0"/>
              <w:adjustRightInd/>
              <w:snapToGrid/>
              <w:spacing w:line="240" w:lineRule="auto"/>
              <w:jc w:val="center"/>
              <w:textAlignment w:val="auto"/>
              <w:rPr>
                <w:sz w:val="21"/>
                <w:szCs w:val="21"/>
              </w:rPr>
            </w:pPr>
            <w:r>
              <w:rPr>
                <w:sz w:val="21"/>
                <w:szCs w:val="21"/>
              </w:rPr>
              <w:t>排水量</w:t>
            </w:r>
          </w:p>
          <w:p>
            <w:pPr>
              <w:keepNext w:val="0"/>
              <w:keepLines w:val="0"/>
              <w:pageBreakBefore w:val="0"/>
              <w:widowControl/>
              <w:tabs>
                <w:tab w:val="left" w:pos="1050"/>
              </w:tabs>
              <w:kinsoku/>
              <w:wordWrap/>
              <w:overflowPunct/>
              <w:topLinePunct w:val="0"/>
              <w:autoSpaceDE/>
              <w:autoSpaceDN/>
              <w:bidi w:val="0"/>
              <w:adjustRightInd/>
              <w:snapToGrid/>
              <w:spacing w:line="240" w:lineRule="auto"/>
              <w:jc w:val="center"/>
              <w:textAlignment w:val="auto"/>
              <w:rPr>
                <w:sz w:val="21"/>
                <w:szCs w:val="21"/>
              </w:rPr>
            </w:pPr>
            <w:r>
              <w:rPr>
                <w:sz w:val="21"/>
                <w:szCs w:val="21"/>
              </w:rPr>
              <w:t>（m</w:t>
            </w:r>
            <w:r>
              <w:rPr>
                <w:sz w:val="21"/>
                <w:szCs w:val="21"/>
                <w:vertAlign w:val="superscript"/>
              </w:rPr>
              <w:t>3</w:t>
            </w:r>
            <w:r>
              <w:rPr>
                <w:sz w:val="21"/>
                <w:szCs w:val="21"/>
              </w:rPr>
              <w:t>/d）</w:t>
            </w:r>
          </w:p>
        </w:tc>
        <w:tc>
          <w:tcPr>
            <w:tcW w:w="62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rPr>
            </w:pPr>
            <w:r>
              <w:rPr>
                <w:sz w:val="21"/>
                <w:szCs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342" w:type="pct"/>
            <w:vAlign w:val="center"/>
          </w:tcPr>
          <w:p>
            <w:pPr>
              <w:spacing w:line="360" w:lineRule="exact"/>
              <w:jc w:val="center"/>
              <w:rPr>
                <w:sz w:val="21"/>
                <w:szCs w:val="21"/>
              </w:rPr>
            </w:pPr>
            <w:r>
              <w:rPr>
                <w:sz w:val="21"/>
                <w:szCs w:val="21"/>
              </w:rPr>
              <w:t>1</w:t>
            </w:r>
          </w:p>
        </w:tc>
        <w:tc>
          <w:tcPr>
            <w:tcW w:w="818" w:type="pct"/>
            <w:vAlign w:val="center"/>
          </w:tcPr>
          <w:p>
            <w:pPr>
              <w:spacing w:line="360" w:lineRule="exact"/>
              <w:jc w:val="center"/>
              <w:rPr>
                <w:sz w:val="21"/>
                <w:szCs w:val="21"/>
              </w:rPr>
            </w:pPr>
            <w:r>
              <w:rPr>
                <w:rFonts w:hint="eastAsia"/>
                <w:sz w:val="21"/>
                <w:szCs w:val="21"/>
              </w:rPr>
              <w:t>雾炮机用水</w:t>
            </w:r>
          </w:p>
        </w:tc>
        <w:tc>
          <w:tcPr>
            <w:tcW w:w="600" w:type="pct"/>
            <w:vAlign w:val="center"/>
          </w:tcPr>
          <w:p>
            <w:pPr>
              <w:spacing w:line="360" w:lineRule="exact"/>
              <w:jc w:val="center"/>
              <w:rPr>
                <w:sz w:val="21"/>
                <w:szCs w:val="21"/>
              </w:rPr>
            </w:pPr>
            <w:r>
              <w:rPr>
                <w:rFonts w:hint="eastAsia"/>
                <w:sz w:val="21"/>
                <w:szCs w:val="21"/>
              </w:rPr>
              <w:t>3台</w:t>
            </w:r>
          </w:p>
        </w:tc>
        <w:tc>
          <w:tcPr>
            <w:tcW w:w="785" w:type="pct"/>
            <w:vAlign w:val="center"/>
          </w:tcPr>
          <w:p>
            <w:pPr>
              <w:spacing w:line="360" w:lineRule="exact"/>
              <w:jc w:val="center"/>
              <w:rPr>
                <w:sz w:val="21"/>
                <w:szCs w:val="21"/>
              </w:rPr>
            </w:pPr>
            <w:r>
              <w:rPr>
                <w:rFonts w:hint="eastAsia"/>
                <w:sz w:val="21"/>
                <w:szCs w:val="21"/>
              </w:rPr>
              <w:t>1m</w:t>
            </w:r>
            <w:r>
              <w:rPr>
                <w:rFonts w:hint="eastAsia"/>
                <w:sz w:val="21"/>
                <w:szCs w:val="21"/>
                <w:vertAlign w:val="superscript"/>
              </w:rPr>
              <w:t>3</w:t>
            </w:r>
            <w:r>
              <w:rPr>
                <w:sz w:val="21"/>
                <w:szCs w:val="21"/>
              </w:rPr>
              <w:t>/</w:t>
            </w:r>
            <w:r>
              <w:rPr>
                <w:rFonts w:hint="eastAsia"/>
                <w:sz w:val="21"/>
                <w:szCs w:val="21"/>
              </w:rPr>
              <w:t>台</w:t>
            </w:r>
            <w:r>
              <w:rPr>
                <w:sz w:val="21"/>
                <w:szCs w:val="21"/>
              </w:rPr>
              <w:t>·d</w:t>
            </w:r>
          </w:p>
        </w:tc>
        <w:tc>
          <w:tcPr>
            <w:tcW w:w="567" w:type="pct"/>
            <w:vAlign w:val="center"/>
          </w:tcPr>
          <w:p>
            <w:pPr>
              <w:spacing w:line="360" w:lineRule="exact"/>
              <w:jc w:val="center"/>
              <w:rPr>
                <w:sz w:val="21"/>
                <w:szCs w:val="21"/>
              </w:rPr>
            </w:pPr>
            <w:r>
              <w:rPr>
                <w:rFonts w:hint="eastAsia"/>
                <w:sz w:val="21"/>
                <w:szCs w:val="21"/>
              </w:rPr>
              <w:t>3</w:t>
            </w:r>
          </w:p>
        </w:tc>
        <w:tc>
          <w:tcPr>
            <w:tcW w:w="632" w:type="pct"/>
            <w:vAlign w:val="center"/>
          </w:tcPr>
          <w:p>
            <w:pPr>
              <w:spacing w:line="360" w:lineRule="exact"/>
              <w:jc w:val="center"/>
              <w:rPr>
                <w:sz w:val="21"/>
                <w:szCs w:val="21"/>
              </w:rPr>
            </w:pPr>
            <w:r>
              <w:rPr>
                <w:rFonts w:hint="eastAsia"/>
                <w:sz w:val="21"/>
                <w:szCs w:val="21"/>
              </w:rPr>
              <w:t>3</w:t>
            </w:r>
          </w:p>
        </w:tc>
        <w:tc>
          <w:tcPr>
            <w:tcW w:w="632" w:type="pct"/>
            <w:vAlign w:val="center"/>
          </w:tcPr>
          <w:p>
            <w:pPr>
              <w:spacing w:line="360" w:lineRule="exact"/>
              <w:jc w:val="center"/>
              <w:rPr>
                <w:sz w:val="21"/>
                <w:szCs w:val="21"/>
              </w:rPr>
            </w:pPr>
            <w:r>
              <w:rPr>
                <w:rFonts w:hint="eastAsia"/>
                <w:sz w:val="21"/>
                <w:szCs w:val="21"/>
              </w:rPr>
              <w:t>0</w:t>
            </w:r>
          </w:p>
        </w:tc>
        <w:tc>
          <w:tcPr>
            <w:tcW w:w="620" w:type="pct"/>
            <w:vMerge w:val="restart"/>
            <w:vAlign w:val="center"/>
          </w:tcPr>
          <w:p>
            <w:pPr>
              <w:spacing w:line="360" w:lineRule="exact"/>
              <w:jc w:val="center"/>
              <w:rPr>
                <w:sz w:val="21"/>
                <w:szCs w:val="21"/>
              </w:rPr>
            </w:pPr>
          </w:p>
          <w:p>
            <w:pPr>
              <w:spacing w:line="360" w:lineRule="exact"/>
              <w:jc w:val="center"/>
              <w:rPr>
                <w:sz w:val="21"/>
                <w:szCs w:val="21"/>
              </w:rPr>
            </w:pPr>
            <w:r>
              <w:rPr>
                <w:rFonts w:hint="eastAsia"/>
                <w:sz w:val="21"/>
                <w:szCs w:val="21"/>
              </w:rPr>
              <w:t>210d/a</w:t>
            </w:r>
          </w:p>
          <w:p>
            <w:pPr>
              <w:spacing w:line="360" w:lineRule="exact"/>
              <w:jc w:val="center"/>
              <w:rPr>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342" w:type="pct"/>
            <w:vAlign w:val="center"/>
          </w:tcPr>
          <w:p>
            <w:pPr>
              <w:spacing w:line="360" w:lineRule="exact"/>
              <w:jc w:val="center"/>
              <w:rPr>
                <w:sz w:val="21"/>
                <w:szCs w:val="21"/>
              </w:rPr>
            </w:pPr>
            <w:r>
              <w:rPr>
                <w:sz w:val="21"/>
                <w:szCs w:val="21"/>
              </w:rPr>
              <w:t>2</w:t>
            </w:r>
          </w:p>
        </w:tc>
        <w:tc>
          <w:tcPr>
            <w:tcW w:w="818" w:type="pct"/>
            <w:vAlign w:val="center"/>
          </w:tcPr>
          <w:p>
            <w:pPr>
              <w:spacing w:line="360" w:lineRule="exact"/>
              <w:jc w:val="center"/>
              <w:rPr>
                <w:sz w:val="21"/>
                <w:szCs w:val="21"/>
              </w:rPr>
            </w:pPr>
            <w:r>
              <w:rPr>
                <w:rFonts w:hint="eastAsia"/>
                <w:sz w:val="21"/>
                <w:szCs w:val="21"/>
              </w:rPr>
              <w:t>生活用水</w:t>
            </w:r>
          </w:p>
        </w:tc>
        <w:tc>
          <w:tcPr>
            <w:tcW w:w="600" w:type="pct"/>
            <w:vAlign w:val="center"/>
          </w:tcPr>
          <w:p>
            <w:pPr>
              <w:spacing w:line="360" w:lineRule="exact"/>
              <w:jc w:val="center"/>
              <w:rPr>
                <w:sz w:val="21"/>
                <w:szCs w:val="21"/>
              </w:rPr>
            </w:pPr>
            <w:r>
              <w:rPr>
                <w:rFonts w:hint="eastAsia"/>
                <w:sz w:val="21"/>
                <w:szCs w:val="21"/>
              </w:rPr>
              <w:t>10</w:t>
            </w:r>
            <w:r>
              <w:rPr>
                <w:sz w:val="21"/>
                <w:szCs w:val="21"/>
              </w:rPr>
              <w:t>人</w:t>
            </w:r>
          </w:p>
        </w:tc>
        <w:tc>
          <w:tcPr>
            <w:tcW w:w="785" w:type="pct"/>
            <w:vAlign w:val="center"/>
          </w:tcPr>
          <w:p>
            <w:pPr>
              <w:spacing w:line="360" w:lineRule="exact"/>
              <w:jc w:val="center"/>
              <w:rPr>
                <w:sz w:val="21"/>
                <w:szCs w:val="21"/>
              </w:rPr>
            </w:pPr>
            <w:r>
              <w:rPr>
                <w:rFonts w:hint="eastAsia"/>
                <w:sz w:val="21"/>
                <w:szCs w:val="21"/>
              </w:rPr>
              <w:t>3</w:t>
            </w:r>
            <w:r>
              <w:rPr>
                <w:sz w:val="21"/>
                <w:szCs w:val="21"/>
              </w:rPr>
              <w:t>0L/人·d</w:t>
            </w:r>
          </w:p>
        </w:tc>
        <w:tc>
          <w:tcPr>
            <w:tcW w:w="567" w:type="pct"/>
            <w:vAlign w:val="center"/>
          </w:tcPr>
          <w:p>
            <w:pPr>
              <w:spacing w:line="360" w:lineRule="exact"/>
              <w:jc w:val="center"/>
              <w:rPr>
                <w:sz w:val="21"/>
                <w:szCs w:val="21"/>
              </w:rPr>
            </w:pPr>
            <w:r>
              <w:rPr>
                <w:rFonts w:hint="eastAsia"/>
                <w:sz w:val="21"/>
                <w:szCs w:val="21"/>
              </w:rPr>
              <w:t>0.3</w:t>
            </w:r>
          </w:p>
        </w:tc>
        <w:tc>
          <w:tcPr>
            <w:tcW w:w="632" w:type="pct"/>
            <w:vAlign w:val="center"/>
          </w:tcPr>
          <w:p>
            <w:pPr>
              <w:spacing w:line="360" w:lineRule="exact"/>
              <w:jc w:val="center"/>
              <w:rPr>
                <w:sz w:val="21"/>
                <w:szCs w:val="21"/>
              </w:rPr>
            </w:pPr>
            <w:r>
              <w:rPr>
                <w:rFonts w:hint="eastAsia"/>
                <w:sz w:val="21"/>
                <w:szCs w:val="21"/>
              </w:rPr>
              <w:t>0.06</w:t>
            </w:r>
          </w:p>
        </w:tc>
        <w:tc>
          <w:tcPr>
            <w:tcW w:w="632" w:type="pct"/>
            <w:vAlign w:val="center"/>
          </w:tcPr>
          <w:p>
            <w:pPr>
              <w:spacing w:line="360" w:lineRule="exact"/>
              <w:jc w:val="center"/>
              <w:rPr>
                <w:sz w:val="21"/>
                <w:szCs w:val="21"/>
              </w:rPr>
            </w:pPr>
            <w:r>
              <w:rPr>
                <w:rFonts w:hint="eastAsia"/>
                <w:sz w:val="21"/>
                <w:szCs w:val="21"/>
              </w:rPr>
              <w:t>0.24</w:t>
            </w:r>
          </w:p>
        </w:tc>
        <w:tc>
          <w:tcPr>
            <w:tcW w:w="620" w:type="pct"/>
            <w:vMerge w:val="continue"/>
            <w:vAlign w:val="center"/>
          </w:tcPr>
          <w:p>
            <w:pPr>
              <w:spacing w:line="360" w:lineRule="exact"/>
              <w:jc w:val="center"/>
              <w:rPr>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342" w:type="pct"/>
            <w:vAlign w:val="center"/>
          </w:tcPr>
          <w:p>
            <w:pPr>
              <w:spacing w:line="360" w:lineRule="exact"/>
              <w:jc w:val="center"/>
              <w:rPr>
                <w:sz w:val="21"/>
                <w:szCs w:val="21"/>
              </w:rPr>
            </w:pPr>
            <w:r>
              <w:rPr>
                <w:rFonts w:hint="eastAsia"/>
                <w:sz w:val="21"/>
                <w:szCs w:val="21"/>
              </w:rPr>
              <w:t>3</w:t>
            </w:r>
          </w:p>
        </w:tc>
        <w:tc>
          <w:tcPr>
            <w:tcW w:w="818" w:type="pct"/>
            <w:vAlign w:val="center"/>
          </w:tcPr>
          <w:p>
            <w:pPr>
              <w:spacing w:line="360" w:lineRule="exact"/>
              <w:jc w:val="center"/>
              <w:rPr>
                <w:sz w:val="21"/>
                <w:szCs w:val="21"/>
              </w:rPr>
            </w:pPr>
            <w:r>
              <w:rPr>
                <w:rFonts w:hint="eastAsia"/>
                <w:sz w:val="21"/>
                <w:szCs w:val="21"/>
              </w:rPr>
              <w:t>绿化用水</w:t>
            </w:r>
          </w:p>
        </w:tc>
        <w:tc>
          <w:tcPr>
            <w:tcW w:w="600" w:type="pct"/>
            <w:vAlign w:val="center"/>
          </w:tcPr>
          <w:p>
            <w:pPr>
              <w:spacing w:line="360" w:lineRule="exact"/>
              <w:jc w:val="center"/>
              <w:rPr>
                <w:sz w:val="21"/>
                <w:szCs w:val="21"/>
              </w:rPr>
            </w:pPr>
            <w:r>
              <w:rPr>
                <w:rFonts w:hint="eastAsia"/>
                <w:sz w:val="21"/>
                <w:szCs w:val="21"/>
              </w:rPr>
              <w:t>500m</w:t>
            </w:r>
            <w:r>
              <w:rPr>
                <w:rFonts w:hint="eastAsia"/>
                <w:sz w:val="21"/>
                <w:szCs w:val="21"/>
                <w:vertAlign w:val="superscript"/>
              </w:rPr>
              <w:t>2</w:t>
            </w:r>
          </w:p>
        </w:tc>
        <w:tc>
          <w:tcPr>
            <w:tcW w:w="785" w:type="pct"/>
            <w:vAlign w:val="center"/>
          </w:tcPr>
          <w:p>
            <w:pPr>
              <w:spacing w:line="360" w:lineRule="exact"/>
              <w:jc w:val="center"/>
              <w:rPr>
                <w:sz w:val="21"/>
                <w:szCs w:val="21"/>
              </w:rPr>
            </w:pPr>
            <w:r>
              <w:rPr>
                <w:rFonts w:hint="eastAsia"/>
                <w:sz w:val="21"/>
                <w:szCs w:val="21"/>
              </w:rPr>
              <w:t>2L/m</w:t>
            </w:r>
            <w:r>
              <w:rPr>
                <w:rFonts w:hint="eastAsia"/>
                <w:sz w:val="21"/>
                <w:szCs w:val="21"/>
                <w:vertAlign w:val="superscript"/>
              </w:rPr>
              <w:t>2</w:t>
            </w:r>
            <w:r>
              <w:rPr>
                <w:rFonts w:hint="eastAsia"/>
                <w:sz w:val="21"/>
                <w:szCs w:val="21"/>
              </w:rPr>
              <w:t>·d</w:t>
            </w:r>
          </w:p>
        </w:tc>
        <w:tc>
          <w:tcPr>
            <w:tcW w:w="567" w:type="pct"/>
            <w:vAlign w:val="center"/>
          </w:tcPr>
          <w:p>
            <w:pPr>
              <w:spacing w:line="360" w:lineRule="exact"/>
              <w:jc w:val="center"/>
              <w:rPr>
                <w:sz w:val="21"/>
                <w:szCs w:val="21"/>
              </w:rPr>
            </w:pPr>
            <w:r>
              <w:rPr>
                <w:rFonts w:hint="eastAsia"/>
                <w:sz w:val="21"/>
                <w:szCs w:val="21"/>
              </w:rPr>
              <w:t>1.0</w:t>
            </w:r>
          </w:p>
        </w:tc>
        <w:tc>
          <w:tcPr>
            <w:tcW w:w="632" w:type="pct"/>
            <w:vAlign w:val="center"/>
          </w:tcPr>
          <w:p>
            <w:pPr>
              <w:spacing w:line="360" w:lineRule="exact"/>
              <w:jc w:val="center"/>
              <w:rPr>
                <w:sz w:val="21"/>
                <w:szCs w:val="21"/>
              </w:rPr>
            </w:pPr>
            <w:r>
              <w:rPr>
                <w:rFonts w:hint="eastAsia"/>
                <w:sz w:val="21"/>
                <w:szCs w:val="21"/>
              </w:rPr>
              <w:t>1.0</w:t>
            </w:r>
          </w:p>
        </w:tc>
        <w:tc>
          <w:tcPr>
            <w:tcW w:w="632" w:type="pct"/>
            <w:vAlign w:val="center"/>
          </w:tcPr>
          <w:p>
            <w:pPr>
              <w:spacing w:line="360" w:lineRule="exact"/>
              <w:jc w:val="center"/>
              <w:rPr>
                <w:sz w:val="21"/>
                <w:szCs w:val="21"/>
              </w:rPr>
            </w:pPr>
            <w:r>
              <w:rPr>
                <w:rFonts w:hint="eastAsia"/>
                <w:sz w:val="21"/>
                <w:szCs w:val="21"/>
              </w:rPr>
              <w:t>0</w:t>
            </w:r>
          </w:p>
        </w:tc>
        <w:tc>
          <w:tcPr>
            <w:tcW w:w="620" w:type="pct"/>
            <w:vMerge w:val="continue"/>
            <w:vAlign w:val="center"/>
          </w:tcPr>
          <w:p>
            <w:pPr>
              <w:spacing w:line="360" w:lineRule="exact"/>
              <w:jc w:val="center"/>
              <w:rPr>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exact"/>
          <w:jc w:val="center"/>
        </w:trPr>
        <w:tc>
          <w:tcPr>
            <w:tcW w:w="342" w:type="pct"/>
            <w:vAlign w:val="center"/>
          </w:tcPr>
          <w:p>
            <w:pPr>
              <w:spacing w:line="360" w:lineRule="exact"/>
              <w:jc w:val="center"/>
              <w:rPr>
                <w:sz w:val="21"/>
                <w:szCs w:val="21"/>
              </w:rPr>
            </w:pPr>
            <w:r>
              <w:rPr>
                <w:rFonts w:hint="eastAsia"/>
                <w:sz w:val="21"/>
                <w:szCs w:val="21"/>
              </w:rPr>
              <w:t>4</w:t>
            </w:r>
          </w:p>
        </w:tc>
        <w:tc>
          <w:tcPr>
            <w:tcW w:w="818" w:type="pct"/>
            <w:vAlign w:val="center"/>
          </w:tcPr>
          <w:p>
            <w:pPr>
              <w:spacing w:line="360" w:lineRule="exact"/>
              <w:jc w:val="center"/>
              <w:rPr>
                <w:sz w:val="21"/>
                <w:szCs w:val="21"/>
              </w:rPr>
            </w:pPr>
            <w:r>
              <w:rPr>
                <w:rFonts w:hint="eastAsia"/>
                <w:sz w:val="21"/>
                <w:szCs w:val="21"/>
              </w:rPr>
              <w:t>道路洒水</w:t>
            </w:r>
          </w:p>
        </w:tc>
        <w:tc>
          <w:tcPr>
            <w:tcW w:w="600" w:type="pct"/>
            <w:vAlign w:val="center"/>
          </w:tcPr>
          <w:p>
            <w:pPr>
              <w:spacing w:line="360" w:lineRule="exact"/>
              <w:jc w:val="center"/>
              <w:rPr>
                <w:sz w:val="21"/>
                <w:szCs w:val="21"/>
              </w:rPr>
            </w:pPr>
            <w:r>
              <w:rPr>
                <w:rFonts w:hint="eastAsia"/>
                <w:sz w:val="21"/>
                <w:szCs w:val="21"/>
              </w:rPr>
              <w:t>1000m</w:t>
            </w:r>
            <w:r>
              <w:rPr>
                <w:rFonts w:hint="eastAsia"/>
                <w:sz w:val="21"/>
                <w:szCs w:val="21"/>
                <w:vertAlign w:val="superscript"/>
              </w:rPr>
              <w:t>2</w:t>
            </w:r>
          </w:p>
        </w:tc>
        <w:tc>
          <w:tcPr>
            <w:tcW w:w="785" w:type="pct"/>
            <w:vAlign w:val="center"/>
          </w:tcPr>
          <w:p>
            <w:pPr>
              <w:spacing w:line="360" w:lineRule="exact"/>
              <w:jc w:val="center"/>
              <w:rPr>
                <w:sz w:val="21"/>
                <w:szCs w:val="21"/>
              </w:rPr>
            </w:pPr>
            <w:r>
              <w:rPr>
                <w:rFonts w:hint="eastAsia"/>
                <w:iCs/>
                <w:sz w:val="21"/>
                <w:szCs w:val="15"/>
              </w:rPr>
              <w:t>0.5</w:t>
            </w:r>
            <w:r>
              <w:rPr>
                <w:rFonts w:hint="eastAsia"/>
                <w:sz w:val="21"/>
                <w:szCs w:val="21"/>
              </w:rPr>
              <w:t>L/m</w:t>
            </w:r>
            <w:r>
              <w:rPr>
                <w:rFonts w:hint="eastAsia"/>
                <w:sz w:val="21"/>
                <w:szCs w:val="21"/>
                <w:vertAlign w:val="superscript"/>
              </w:rPr>
              <w:t>2</w:t>
            </w:r>
            <w:r>
              <w:rPr>
                <w:rFonts w:hint="eastAsia"/>
                <w:sz w:val="21"/>
                <w:szCs w:val="21"/>
              </w:rPr>
              <w:t>·d</w:t>
            </w:r>
          </w:p>
        </w:tc>
        <w:tc>
          <w:tcPr>
            <w:tcW w:w="567" w:type="pct"/>
            <w:vAlign w:val="center"/>
          </w:tcPr>
          <w:p>
            <w:pPr>
              <w:snapToGrid w:val="0"/>
              <w:spacing w:line="360" w:lineRule="exact"/>
              <w:jc w:val="center"/>
              <w:rPr>
                <w:sz w:val="21"/>
                <w:szCs w:val="20"/>
              </w:rPr>
            </w:pPr>
            <w:r>
              <w:rPr>
                <w:rFonts w:hint="eastAsia"/>
                <w:sz w:val="21"/>
                <w:szCs w:val="20"/>
              </w:rPr>
              <w:t>0.5</w:t>
            </w:r>
          </w:p>
        </w:tc>
        <w:tc>
          <w:tcPr>
            <w:tcW w:w="632" w:type="pct"/>
            <w:vAlign w:val="center"/>
          </w:tcPr>
          <w:p>
            <w:pPr>
              <w:snapToGrid w:val="0"/>
              <w:spacing w:line="360" w:lineRule="exact"/>
              <w:jc w:val="center"/>
              <w:rPr>
                <w:sz w:val="21"/>
                <w:szCs w:val="20"/>
              </w:rPr>
            </w:pPr>
            <w:r>
              <w:rPr>
                <w:rFonts w:hint="eastAsia"/>
                <w:sz w:val="21"/>
                <w:szCs w:val="20"/>
              </w:rPr>
              <w:t>0.5</w:t>
            </w:r>
          </w:p>
        </w:tc>
        <w:tc>
          <w:tcPr>
            <w:tcW w:w="632" w:type="pct"/>
            <w:vAlign w:val="center"/>
          </w:tcPr>
          <w:p>
            <w:pPr>
              <w:snapToGrid w:val="0"/>
              <w:spacing w:line="360" w:lineRule="exact"/>
              <w:jc w:val="center"/>
              <w:rPr>
                <w:sz w:val="21"/>
                <w:szCs w:val="20"/>
              </w:rPr>
            </w:pPr>
            <w:r>
              <w:rPr>
                <w:rFonts w:hint="eastAsia"/>
                <w:sz w:val="21"/>
                <w:szCs w:val="20"/>
              </w:rPr>
              <w:t>0</w:t>
            </w:r>
          </w:p>
        </w:tc>
        <w:tc>
          <w:tcPr>
            <w:tcW w:w="620" w:type="pct"/>
            <w:vMerge w:val="continue"/>
            <w:vAlign w:val="center"/>
          </w:tcPr>
          <w:p>
            <w:pPr>
              <w:spacing w:line="360" w:lineRule="exact"/>
              <w:jc w:val="center"/>
              <w:rPr>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exact"/>
          <w:jc w:val="center"/>
        </w:trPr>
        <w:tc>
          <w:tcPr>
            <w:tcW w:w="342" w:type="pct"/>
            <w:vAlign w:val="center"/>
          </w:tcPr>
          <w:p>
            <w:pPr>
              <w:spacing w:line="360" w:lineRule="exact"/>
              <w:jc w:val="center"/>
              <w:rPr>
                <w:sz w:val="21"/>
                <w:szCs w:val="21"/>
              </w:rPr>
            </w:pPr>
            <w:r>
              <w:rPr>
                <w:rFonts w:hint="eastAsia"/>
                <w:sz w:val="21"/>
                <w:szCs w:val="21"/>
              </w:rPr>
              <w:t>5</w:t>
            </w:r>
          </w:p>
        </w:tc>
        <w:tc>
          <w:tcPr>
            <w:tcW w:w="818" w:type="pct"/>
            <w:vAlign w:val="center"/>
          </w:tcPr>
          <w:p>
            <w:pPr>
              <w:spacing w:line="360" w:lineRule="exact"/>
              <w:jc w:val="center"/>
              <w:rPr>
                <w:sz w:val="21"/>
                <w:szCs w:val="21"/>
              </w:rPr>
            </w:pPr>
            <w:r>
              <w:rPr>
                <w:rFonts w:hint="eastAsia"/>
                <w:sz w:val="21"/>
                <w:szCs w:val="21"/>
              </w:rPr>
              <w:t>洗车用水</w:t>
            </w:r>
          </w:p>
        </w:tc>
        <w:tc>
          <w:tcPr>
            <w:tcW w:w="600" w:type="pct"/>
            <w:vAlign w:val="center"/>
          </w:tcPr>
          <w:p>
            <w:pPr>
              <w:spacing w:line="360" w:lineRule="exact"/>
              <w:jc w:val="center"/>
              <w:rPr>
                <w:sz w:val="21"/>
                <w:szCs w:val="21"/>
              </w:rPr>
            </w:pPr>
            <w:r>
              <w:rPr>
                <w:rFonts w:hint="eastAsia"/>
                <w:sz w:val="21"/>
                <w:szCs w:val="21"/>
              </w:rPr>
              <w:t>7</w:t>
            </w:r>
            <w:r>
              <w:rPr>
                <w:rFonts w:hint="eastAsia"/>
                <w:bCs/>
                <w:sz w:val="21"/>
                <w:szCs w:val="21"/>
              </w:rPr>
              <w:t>辆</w:t>
            </w:r>
            <w:r>
              <w:rPr>
                <w:bCs/>
                <w:sz w:val="21"/>
                <w:szCs w:val="21"/>
              </w:rPr>
              <w:t>·次</w:t>
            </w:r>
          </w:p>
        </w:tc>
        <w:tc>
          <w:tcPr>
            <w:tcW w:w="785" w:type="pct"/>
            <w:vAlign w:val="center"/>
          </w:tcPr>
          <w:p>
            <w:pPr>
              <w:spacing w:line="360" w:lineRule="exact"/>
              <w:jc w:val="center"/>
              <w:rPr>
                <w:sz w:val="21"/>
                <w:szCs w:val="21"/>
              </w:rPr>
            </w:pPr>
            <w:r>
              <w:rPr>
                <w:rFonts w:hint="eastAsia"/>
                <w:bCs/>
                <w:sz w:val="21"/>
                <w:szCs w:val="21"/>
              </w:rPr>
              <w:t>0.05m</w:t>
            </w:r>
            <w:r>
              <w:rPr>
                <w:rFonts w:hint="eastAsia"/>
                <w:bCs/>
                <w:sz w:val="21"/>
                <w:szCs w:val="21"/>
                <w:vertAlign w:val="superscript"/>
              </w:rPr>
              <w:t>3</w:t>
            </w:r>
            <w:r>
              <w:rPr>
                <w:bCs/>
                <w:sz w:val="21"/>
                <w:szCs w:val="21"/>
              </w:rPr>
              <w:t>/</w:t>
            </w:r>
            <w:r>
              <w:rPr>
                <w:rFonts w:hint="eastAsia"/>
                <w:bCs/>
                <w:sz w:val="21"/>
                <w:szCs w:val="21"/>
              </w:rPr>
              <w:t>辆</w:t>
            </w:r>
            <w:r>
              <w:rPr>
                <w:bCs/>
                <w:sz w:val="21"/>
                <w:szCs w:val="21"/>
              </w:rPr>
              <w:t>·次</w:t>
            </w:r>
          </w:p>
        </w:tc>
        <w:tc>
          <w:tcPr>
            <w:tcW w:w="567" w:type="pct"/>
            <w:vAlign w:val="center"/>
          </w:tcPr>
          <w:p>
            <w:pPr>
              <w:spacing w:line="360" w:lineRule="exact"/>
              <w:jc w:val="center"/>
              <w:rPr>
                <w:sz w:val="21"/>
                <w:szCs w:val="21"/>
              </w:rPr>
            </w:pPr>
            <w:r>
              <w:rPr>
                <w:rFonts w:hint="eastAsia"/>
                <w:sz w:val="21"/>
                <w:szCs w:val="21"/>
              </w:rPr>
              <w:t>0.35</w:t>
            </w:r>
          </w:p>
        </w:tc>
        <w:tc>
          <w:tcPr>
            <w:tcW w:w="632" w:type="pct"/>
            <w:vAlign w:val="center"/>
          </w:tcPr>
          <w:p>
            <w:pPr>
              <w:spacing w:line="360" w:lineRule="exact"/>
              <w:jc w:val="center"/>
              <w:rPr>
                <w:sz w:val="21"/>
                <w:szCs w:val="21"/>
              </w:rPr>
            </w:pPr>
            <w:r>
              <w:rPr>
                <w:rFonts w:hint="eastAsia"/>
                <w:sz w:val="21"/>
                <w:szCs w:val="21"/>
              </w:rPr>
              <w:t>0.07</w:t>
            </w:r>
          </w:p>
          <w:p>
            <w:pPr>
              <w:pStyle w:val="87"/>
              <w:spacing w:line="360" w:lineRule="exact"/>
              <w:ind w:left="480"/>
              <w:jc w:val="center"/>
            </w:pPr>
            <w:r>
              <w:rPr>
                <w:rFonts w:hint="eastAsia"/>
                <w:szCs w:val="21"/>
              </w:rPr>
              <w:t>7</w:t>
            </w:r>
          </w:p>
        </w:tc>
        <w:tc>
          <w:tcPr>
            <w:tcW w:w="632" w:type="pct"/>
            <w:vAlign w:val="center"/>
          </w:tcPr>
          <w:p>
            <w:pPr>
              <w:spacing w:line="360" w:lineRule="exact"/>
              <w:jc w:val="center"/>
              <w:rPr>
                <w:sz w:val="21"/>
                <w:szCs w:val="21"/>
              </w:rPr>
            </w:pPr>
            <w:r>
              <w:rPr>
                <w:rFonts w:hint="eastAsia"/>
                <w:sz w:val="21"/>
                <w:szCs w:val="21"/>
              </w:rPr>
              <w:t>0.28</w:t>
            </w:r>
          </w:p>
        </w:tc>
        <w:tc>
          <w:tcPr>
            <w:tcW w:w="620" w:type="pct"/>
            <w:vMerge w:val="continue"/>
            <w:vAlign w:val="center"/>
          </w:tcPr>
          <w:p>
            <w:pPr>
              <w:spacing w:line="360" w:lineRule="exact"/>
              <w:jc w:val="center"/>
              <w:rPr>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2547" w:type="pct"/>
            <w:gridSpan w:val="4"/>
            <w:vAlign w:val="center"/>
          </w:tcPr>
          <w:p>
            <w:pPr>
              <w:spacing w:line="360" w:lineRule="exact"/>
              <w:jc w:val="center"/>
              <w:rPr>
                <w:sz w:val="21"/>
                <w:szCs w:val="21"/>
              </w:rPr>
            </w:pPr>
            <w:r>
              <w:rPr>
                <w:sz w:val="21"/>
                <w:szCs w:val="21"/>
              </w:rPr>
              <w:t>小计</w:t>
            </w:r>
          </w:p>
        </w:tc>
        <w:tc>
          <w:tcPr>
            <w:tcW w:w="567" w:type="pct"/>
            <w:vAlign w:val="center"/>
          </w:tcPr>
          <w:p>
            <w:pPr>
              <w:spacing w:line="360" w:lineRule="exact"/>
              <w:jc w:val="center"/>
              <w:rPr>
                <w:sz w:val="21"/>
                <w:szCs w:val="21"/>
              </w:rPr>
            </w:pPr>
            <w:r>
              <w:rPr>
                <w:rFonts w:hint="eastAsia"/>
                <w:sz w:val="21"/>
                <w:szCs w:val="21"/>
              </w:rPr>
              <w:t>5.15</w:t>
            </w:r>
          </w:p>
        </w:tc>
        <w:tc>
          <w:tcPr>
            <w:tcW w:w="632" w:type="pct"/>
            <w:vAlign w:val="center"/>
          </w:tcPr>
          <w:p>
            <w:pPr>
              <w:spacing w:line="360" w:lineRule="exact"/>
              <w:jc w:val="center"/>
              <w:rPr>
                <w:sz w:val="21"/>
                <w:szCs w:val="21"/>
              </w:rPr>
            </w:pPr>
            <w:r>
              <w:rPr>
                <w:rFonts w:hint="eastAsia"/>
                <w:sz w:val="21"/>
                <w:szCs w:val="21"/>
              </w:rPr>
              <w:t>4.63</w:t>
            </w:r>
          </w:p>
        </w:tc>
        <w:tc>
          <w:tcPr>
            <w:tcW w:w="632" w:type="pct"/>
            <w:vAlign w:val="center"/>
          </w:tcPr>
          <w:p>
            <w:pPr>
              <w:spacing w:line="360" w:lineRule="exact"/>
              <w:jc w:val="center"/>
              <w:rPr>
                <w:sz w:val="21"/>
                <w:szCs w:val="21"/>
              </w:rPr>
            </w:pPr>
            <w:r>
              <w:rPr>
                <w:rFonts w:hint="eastAsia"/>
                <w:sz w:val="21"/>
                <w:szCs w:val="21"/>
              </w:rPr>
              <w:t>0.52</w:t>
            </w:r>
          </w:p>
        </w:tc>
        <w:tc>
          <w:tcPr>
            <w:tcW w:w="620" w:type="pct"/>
            <w:vAlign w:val="center"/>
          </w:tcPr>
          <w:p>
            <w:pPr>
              <w:spacing w:line="360" w:lineRule="exact"/>
              <w:jc w:val="center"/>
              <w:rPr>
                <w:sz w:val="21"/>
                <w:szCs w:val="21"/>
              </w:rPr>
            </w:pPr>
            <w:r>
              <w:rPr>
                <w:sz w:val="21"/>
                <w:szCs w:val="21"/>
              </w:rPr>
              <w:t>--</w:t>
            </w:r>
          </w:p>
        </w:tc>
      </w:tr>
      <w:bookmarkEnd w:id="207"/>
    </w:tbl>
    <w:p>
      <w:pPr>
        <w:jc w:val="center"/>
      </w:pPr>
    </w:p>
    <w:p>
      <w:pPr>
        <w:jc w:val="center"/>
        <w:rPr>
          <w:iCs/>
          <w:szCs w:val="18"/>
        </w:rPr>
      </w:pPr>
      <w:r>
        <w:drawing>
          <wp:inline distT="0" distB="0" distL="114300" distR="114300">
            <wp:extent cx="5756275" cy="5189855"/>
            <wp:effectExtent l="0" t="0" r="15875" b="1079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32"/>
                    <a:stretch>
                      <a:fillRect/>
                    </a:stretch>
                  </pic:blipFill>
                  <pic:spPr>
                    <a:xfrm>
                      <a:off x="0" y="0"/>
                      <a:ext cx="5756275" cy="5189855"/>
                    </a:xfrm>
                    <a:prstGeom prst="rect">
                      <a:avLst/>
                    </a:prstGeom>
                    <a:noFill/>
                    <a:ln>
                      <a:noFill/>
                    </a:ln>
                  </pic:spPr>
                </pic:pic>
              </a:graphicData>
            </a:graphic>
          </wp:inline>
        </w:drawing>
      </w:r>
    </w:p>
    <w:p>
      <w:pPr>
        <w:spacing w:line="440" w:lineRule="exact"/>
        <w:ind w:firstLine="480" w:firstLineChars="200"/>
        <w:jc w:val="center"/>
        <w:rPr>
          <w:iCs/>
          <w:szCs w:val="18"/>
        </w:rPr>
      </w:pPr>
      <w:r>
        <w:rPr>
          <w:rFonts w:hint="eastAsia"/>
          <w:iCs/>
          <w:szCs w:val="18"/>
        </w:rPr>
        <w:t>图2-2-3 项目水平衡图</w:t>
      </w:r>
    </w:p>
    <w:p>
      <w:pPr>
        <w:pStyle w:val="87"/>
        <w:ind w:left="480"/>
      </w:pPr>
    </w:p>
    <w:p>
      <w:pPr>
        <w:spacing w:line="440" w:lineRule="exact"/>
        <w:jc w:val="both"/>
        <w:rPr>
          <w:rFonts w:eastAsiaTheme="minorEastAsia"/>
          <w:b/>
          <w:lang w:val="zh-CN"/>
        </w:rPr>
      </w:pPr>
      <w:r>
        <w:rPr>
          <w:rFonts w:eastAsiaTheme="minorEastAsia"/>
          <w:b/>
          <w:lang w:val="zh-CN"/>
        </w:rPr>
        <w:t>2</w:t>
      </w:r>
      <w:r>
        <w:rPr>
          <w:rFonts w:hint="eastAsia" w:eastAsiaTheme="minorEastAsia"/>
          <w:b/>
          <w:lang w:val="zh-CN"/>
        </w:rPr>
        <w:t>.2.</w:t>
      </w:r>
      <w:r>
        <w:rPr>
          <w:rFonts w:hint="eastAsia" w:eastAsiaTheme="minorEastAsia"/>
          <w:b/>
        </w:rPr>
        <w:t>8</w:t>
      </w:r>
      <w:r>
        <w:rPr>
          <w:rFonts w:hint="eastAsia" w:eastAsiaTheme="minorEastAsia"/>
          <w:b/>
          <w:lang w:val="zh-CN"/>
        </w:rPr>
        <w:t>.</w:t>
      </w:r>
      <w:r>
        <w:rPr>
          <w:rFonts w:hint="eastAsia" w:eastAsiaTheme="minorEastAsia"/>
          <w:b/>
        </w:rPr>
        <w:t>3供暖</w:t>
      </w:r>
    </w:p>
    <w:p>
      <w:pPr>
        <w:spacing w:line="440" w:lineRule="exact"/>
        <w:ind w:firstLine="480" w:firstLineChars="200"/>
        <w:jc w:val="both"/>
        <w:rPr>
          <w:iCs/>
          <w:szCs w:val="18"/>
        </w:rPr>
      </w:pPr>
      <w:r>
        <w:rPr>
          <w:rFonts w:hint="eastAsia"/>
          <w:iCs/>
          <w:szCs w:val="18"/>
        </w:rPr>
        <w:t>本项目冬季不生产，值班人员用电采暖。</w:t>
      </w:r>
    </w:p>
    <w:p>
      <w:pPr>
        <w:widowControl w:val="0"/>
        <w:adjustRightInd w:val="0"/>
        <w:snapToGrid w:val="0"/>
        <w:spacing w:before="120" w:beforeLines="50" w:line="360" w:lineRule="auto"/>
        <w:jc w:val="both"/>
        <w:outlineLvl w:val="2"/>
        <w:rPr>
          <w:b/>
          <w:kern w:val="2"/>
        </w:rPr>
      </w:pPr>
      <w:r>
        <w:rPr>
          <w:b/>
          <w:kern w:val="2"/>
        </w:rPr>
        <w:t>2.2.</w:t>
      </w:r>
      <w:r>
        <w:rPr>
          <w:rFonts w:hint="eastAsia"/>
          <w:b/>
          <w:kern w:val="2"/>
        </w:rPr>
        <w:t>9主要经济技术指标</w:t>
      </w:r>
    </w:p>
    <w:p>
      <w:pPr>
        <w:pStyle w:val="361"/>
        <w:rPr>
          <w:rFonts w:eastAsia="宋体"/>
        </w:rPr>
      </w:pPr>
      <w:r>
        <w:rPr>
          <w:rFonts w:eastAsia="宋体"/>
        </w:rPr>
        <w:t>本项目主要经济技术指标见表</w:t>
      </w:r>
      <w:r>
        <w:rPr>
          <w:rFonts w:hint="eastAsia" w:eastAsia="宋体"/>
        </w:rPr>
        <w:t>2.2</w:t>
      </w:r>
      <w:r>
        <w:rPr>
          <w:rFonts w:eastAsia="宋体"/>
        </w:rPr>
        <w:t>-</w:t>
      </w:r>
      <w:r>
        <w:rPr>
          <w:rFonts w:hint="eastAsia" w:eastAsia="宋体"/>
        </w:rPr>
        <w:t>3。</w:t>
      </w:r>
    </w:p>
    <w:p>
      <w:pPr>
        <w:pStyle w:val="362"/>
        <w:spacing w:before="120"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 xml:space="preserve">2.2-3 </w:t>
      </w:r>
      <w:r>
        <w:rPr>
          <w:rFonts w:hint="eastAsia" w:ascii="黑体" w:hAnsi="黑体" w:eastAsia="黑体" w:cs="黑体"/>
          <w:sz w:val="21"/>
          <w:szCs w:val="21"/>
        </w:rPr>
        <w:t xml:space="preserve"> 项目主要经济技术指标一览表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2682"/>
        <w:gridCol w:w="1374"/>
        <w:gridCol w:w="1762"/>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sz w:val="21"/>
                <w:szCs w:val="20"/>
              </w:rPr>
              <w:t>序号</w:t>
            </w:r>
          </w:p>
        </w:tc>
        <w:tc>
          <w:tcPr>
            <w:tcW w:w="1443" w:type="pct"/>
            <w:vAlign w:val="center"/>
          </w:tcPr>
          <w:p>
            <w:pPr>
              <w:snapToGrid w:val="0"/>
              <w:spacing w:line="360" w:lineRule="exact"/>
              <w:jc w:val="center"/>
              <w:rPr>
                <w:sz w:val="21"/>
                <w:szCs w:val="20"/>
              </w:rPr>
            </w:pPr>
            <w:r>
              <w:rPr>
                <w:sz w:val="21"/>
                <w:szCs w:val="20"/>
              </w:rPr>
              <w:t>项目</w:t>
            </w:r>
          </w:p>
        </w:tc>
        <w:tc>
          <w:tcPr>
            <w:tcW w:w="739" w:type="pct"/>
            <w:vAlign w:val="center"/>
          </w:tcPr>
          <w:p>
            <w:pPr>
              <w:snapToGrid w:val="0"/>
              <w:spacing w:line="360" w:lineRule="exact"/>
              <w:jc w:val="center"/>
              <w:rPr>
                <w:sz w:val="21"/>
                <w:szCs w:val="20"/>
              </w:rPr>
            </w:pPr>
            <w:r>
              <w:rPr>
                <w:sz w:val="21"/>
                <w:szCs w:val="20"/>
              </w:rPr>
              <w:t>单位</w:t>
            </w:r>
          </w:p>
        </w:tc>
        <w:tc>
          <w:tcPr>
            <w:tcW w:w="948" w:type="pct"/>
            <w:vAlign w:val="center"/>
          </w:tcPr>
          <w:p>
            <w:pPr>
              <w:snapToGrid w:val="0"/>
              <w:spacing w:line="360" w:lineRule="exact"/>
              <w:jc w:val="center"/>
              <w:rPr>
                <w:sz w:val="21"/>
                <w:szCs w:val="20"/>
              </w:rPr>
            </w:pPr>
            <w:r>
              <w:rPr>
                <w:sz w:val="21"/>
                <w:szCs w:val="20"/>
              </w:rPr>
              <w:t>数量</w:t>
            </w:r>
          </w:p>
        </w:tc>
        <w:tc>
          <w:tcPr>
            <w:tcW w:w="1148" w:type="pct"/>
            <w:vAlign w:val="center"/>
          </w:tcPr>
          <w:p>
            <w:pPr>
              <w:snapToGrid w:val="0"/>
              <w:spacing w:line="360" w:lineRule="exact"/>
              <w:jc w:val="center"/>
              <w:rPr>
                <w:sz w:val="21"/>
                <w:szCs w:val="20"/>
              </w:rPr>
            </w:pPr>
            <w:r>
              <w:rPr>
                <w:sz w:val="21"/>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sz w:val="21"/>
                <w:szCs w:val="20"/>
              </w:rPr>
              <w:t>1</w:t>
            </w:r>
          </w:p>
        </w:tc>
        <w:tc>
          <w:tcPr>
            <w:tcW w:w="1443" w:type="pct"/>
            <w:vAlign w:val="center"/>
          </w:tcPr>
          <w:p>
            <w:pPr>
              <w:snapToGrid w:val="0"/>
              <w:spacing w:line="360" w:lineRule="exact"/>
              <w:jc w:val="center"/>
              <w:rPr>
                <w:sz w:val="21"/>
                <w:szCs w:val="20"/>
              </w:rPr>
            </w:pPr>
            <w:r>
              <w:rPr>
                <w:rFonts w:hint="eastAsia"/>
                <w:sz w:val="21"/>
                <w:szCs w:val="20"/>
              </w:rPr>
              <w:t>矿山生产规模</w:t>
            </w:r>
          </w:p>
        </w:tc>
        <w:tc>
          <w:tcPr>
            <w:tcW w:w="739" w:type="pct"/>
            <w:vAlign w:val="center"/>
          </w:tcPr>
          <w:p>
            <w:pPr>
              <w:snapToGrid w:val="0"/>
              <w:spacing w:line="360" w:lineRule="exact"/>
              <w:jc w:val="center"/>
              <w:rPr>
                <w:sz w:val="21"/>
                <w:szCs w:val="20"/>
              </w:rPr>
            </w:pPr>
            <w:r>
              <w:rPr>
                <w:rFonts w:hint="eastAsia"/>
                <w:sz w:val="21"/>
                <w:szCs w:val="20"/>
              </w:rPr>
              <w:t>万m</w:t>
            </w:r>
            <w:r>
              <w:rPr>
                <w:rFonts w:hint="eastAsia"/>
                <w:sz w:val="21"/>
                <w:szCs w:val="20"/>
                <w:vertAlign w:val="superscript"/>
              </w:rPr>
              <w:t>3</w:t>
            </w:r>
            <w:r>
              <w:rPr>
                <w:rFonts w:hint="eastAsia"/>
                <w:sz w:val="21"/>
                <w:szCs w:val="20"/>
              </w:rPr>
              <w:t>/a</w:t>
            </w:r>
          </w:p>
        </w:tc>
        <w:tc>
          <w:tcPr>
            <w:tcW w:w="948" w:type="pct"/>
            <w:vAlign w:val="center"/>
          </w:tcPr>
          <w:p>
            <w:pPr>
              <w:snapToGrid w:val="0"/>
              <w:spacing w:line="360" w:lineRule="exact"/>
              <w:jc w:val="center"/>
              <w:rPr>
                <w:sz w:val="21"/>
                <w:szCs w:val="20"/>
              </w:rPr>
            </w:pPr>
            <w:r>
              <w:rPr>
                <w:rFonts w:hint="eastAsia"/>
                <w:sz w:val="21"/>
                <w:szCs w:val="20"/>
              </w:rPr>
              <w:t>1.5</w:t>
            </w:r>
          </w:p>
        </w:tc>
        <w:tc>
          <w:tcPr>
            <w:tcW w:w="1148" w:type="pct"/>
            <w:vAlign w:val="center"/>
          </w:tcPr>
          <w:p>
            <w:pPr>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sz w:val="21"/>
                <w:szCs w:val="20"/>
              </w:rPr>
              <w:t>2</w:t>
            </w:r>
          </w:p>
        </w:tc>
        <w:tc>
          <w:tcPr>
            <w:tcW w:w="1443" w:type="pct"/>
            <w:vAlign w:val="center"/>
          </w:tcPr>
          <w:p>
            <w:pPr>
              <w:snapToGrid w:val="0"/>
              <w:spacing w:line="360" w:lineRule="exact"/>
              <w:jc w:val="center"/>
              <w:rPr>
                <w:sz w:val="21"/>
                <w:szCs w:val="20"/>
              </w:rPr>
            </w:pPr>
            <w:r>
              <w:rPr>
                <w:rFonts w:hint="eastAsia"/>
                <w:sz w:val="21"/>
                <w:szCs w:val="20"/>
              </w:rPr>
              <w:t>服务年限</w:t>
            </w:r>
          </w:p>
        </w:tc>
        <w:tc>
          <w:tcPr>
            <w:tcW w:w="739" w:type="pct"/>
            <w:vAlign w:val="center"/>
          </w:tcPr>
          <w:p>
            <w:pPr>
              <w:snapToGrid w:val="0"/>
              <w:spacing w:line="360" w:lineRule="exact"/>
              <w:jc w:val="center"/>
              <w:rPr>
                <w:sz w:val="21"/>
                <w:szCs w:val="20"/>
              </w:rPr>
            </w:pPr>
            <w:r>
              <w:rPr>
                <w:rFonts w:hint="eastAsia"/>
                <w:sz w:val="21"/>
                <w:szCs w:val="20"/>
              </w:rPr>
              <w:t>年</w:t>
            </w:r>
          </w:p>
        </w:tc>
        <w:tc>
          <w:tcPr>
            <w:tcW w:w="948" w:type="pct"/>
            <w:vAlign w:val="center"/>
          </w:tcPr>
          <w:p>
            <w:pPr>
              <w:snapToGrid w:val="0"/>
              <w:spacing w:line="360" w:lineRule="exact"/>
              <w:jc w:val="center"/>
              <w:rPr>
                <w:sz w:val="21"/>
                <w:szCs w:val="20"/>
              </w:rPr>
            </w:pPr>
            <w:r>
              <w:rPr>
                <w:rFonts w:hint="eastAsia"/>
                <w:sz w:val="21"/>
                <w:szCs w:val="20"/>
              </w:rPr>
              <w:t>3</w:t>
            </w:r>
          </w:p>
        </w:tc>
        <w:tc>
          <w:tcPr>
            <w:tcW w:w="1148" w:type="pct"/>
            <w:vAlign w:val="center"/>
          </w:tcPr>
          <w:p>
            <w:pPr>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rFonts w:hint="eastAsia"/>
                <w:sz w:val="21"/>
                <w:szCs w:val="20"/>
              </w:rPr>
              <w:t>3</w:t>
            </w:r>
          </w:p>
        </w:tc>
        <w:tc>
          <w:tcPr>
            <w:tcW w:w="1443" w:type="pct"/>
            <w:vAlign w:val="center"/>
          </w:tcPr>
          <w:p>
            <w:pPr>
              <w:snapToGrid w:val="0"/>
              <w:spacing w:line="360" w:lineRule="exact"/>
              <w:jc w:val="center"/>
              <w:rPr>
                <w:sz w:val="21"/>
                <w:szCs w:val="20"/>
              </w:rPr>
            </w:pPr>
            <w:r>
              <w:rPr>
                <w:rFonts w:hint="eastAsia"/>
                <w:sz w:val="21"/>
                <w:szCs w:val="20"/>
              </w:rPr>
              <w:t>可采储量</w:t>
            </w:r>
          </w:p>
        </w:tc>
        <w:tc>
          <w:tcPr>
            <w:tcW w:w="739" w:type="pct"/>
            <w:vAlign w:val="center"/>
          </w:tcPr>
          <w:p>
            <w:pPr>
              <w:snapToGrid w:val="0"/>
              <w:spacing w:line="360" w:lineRule="exact"/>
              <w:jc w:val="center"/>
              <w:rPr>
                <w:sz w:val="21"/>
                <w:szCs w:val="20"/>
              </w:rPr>
            </w:pPr>
            <w:r>
              <w:rPr>
                <w:rFonts w:hint="eastAsia"/>
                <w:sz w:val="21"/>
                <w:szCs w:val="20"/>
              </w:rPr>
              <w:t>万m</w:t>
            </w:r>
            <w:r>
              <w:rPr>
                <w:rFonts w:hint="eastAsia"/>
                <w:sz w:val="21"/>
                <w:szCs w:val="20"/>
                <w:vertAlign w:val="superscript"/>
              </w:rPr>
              <w:t>3</w:t>
            </w:r>
          </w:p>
        </w:tc>
        <w:tc>
          <w:tcPr>
            <w:tcW w:w="948" w:type="pct"/>
            <w:vAlign w:val="center"/>
          </w:tcPr>
          <w:p>
            <w:pPr>
              <w:snapToGrid w:val="0"/>
              <w:spacing w:line="360" w:lineRule="exact"/>
              <w:jc w:val="center"/>
              <w:rPr>
                <w:sz w:val="21"/>
                <w:szCs w:val="20"/>
              </w:rPr>
            </w:pPr>
            <w:r>
              <w:rPr>
                <w:rFonts w:hint="eastAsia"/>
                <w:sz w:val="21"/>
                <w:szCs w:val="20"/>
              </w:rPr>
              <w:t>3.93</w:t>
            </w:r>
          </w:p>
        </w:tc>
        <w:tc>
          <w:tcPr>
            <w:tcW w:w="1148" w:type="pct"/>
            <w:vAlign w:val="center"/>
          </w:tcPr>
          <w:p>
            <w:pPr>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rFonts w:hint="eastAsia"/>
                <w:sz w:val="21"/>
                <w:szCs w:val="20"/>
              </w:rPr>
              <w:t>4</w:t>
            </w:r>
          </w:p>
        </w:tc>
        <w:tc>
          <w:tcPr>
            <w:tcW w:w="1443" w:type="pct"/>
            <w:vAlign w:val="center"/>
          </w:tcPr>
          <w:p>
            <w:pPr>
              <w:snapToGrid w:val="0"/>
              <w:spacing w:line="360" w:lineRule="exact"/>
              <w:jc w:val="center"/>
              <w:rPr>
                <w:sz w:val="21"/>
                <w:szCs w:val="20"/>
              </w:rPr>
            </w:pPr>
            <w:r>
              <w:rPr>
                <w:rFonts w:hint="eastAsia"/>
                <w:sz w:val="21"/>
                <w:szCs w:val="20"/>
              </w:rPr>
              <w:t>回采率</w:t>
            </w:r>
          </w:p>
        </w:tc>
        <w:tc>
          <w:tcPr>
            <w:tcW w:w="739" w:type="pct"/>
            <w:vAlign w:val="center"/>
          </w:tcPr>
          <w:p>
            <w:pPr>
              <w:snapToGrid w:val="0"/>
              <w:spacing w:line="360" w:lineRule="exact"/>
              <w:jc w:val="center"/>
              <w:rPr>
                <w:sz w:val="21"/>
                <w:szCs w:val="20"/>
              </w:rPr>
            </w:pPr>
            <w:r>
              <w:rPr>
                <w:rFonts w:hint="eastAsia"/>
                <w:sz w:val="21"/>
                <w:szCs w:val="20"/>
              </w:rPr>
              <w:t>%</w:t>
            </w:r>
          </w:p>
        </w:tc>
        <w:tc>
          <w:tcPr>
            <w:tcW w:w="948" w:type="pct"/>
            <w:vAlign w:val="center"/>
          </w:tcPr>
          <w:p>
            <w:pPr>
              <w:snapToGrid w:val="0"/>
              <w:spacing w:line="360" w:lineRule="exact"/>
              <w:jc w:val="center"/>
              <w:rPr>
                <w:sz w:val="21"/>
                <w:szCs w:val="20"/>
              </w:rPr>
            </w:pPr>
            <w:r>
              <w:rPr>
                <w:rFonts w:hint="eastAsia"/>
                <w:sz w:val="21"/>
                <w:szCs w:val="20"/>
              </w:rPr>
              <w:t>98</w:t>
            </w:r>
          </w:p>
        </w:tc>
        <w:tc>
          <w:tcPr>
            <w:tcW w:w="1148" w:type="pct"/>
            <w:vAlign w:val="center"/>
          </w:tcPr>
          <w:p>
            <w:pPr>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rFonts w:hint="eastAsia"/>
                <w:sz w:val="21"/>
                <w:szCs w:val="20"/>
              </w:rPr>
              <w:t>5</w:t>
            </w:r>
          </w:p>
        </w:tc>
        <w:tc>
          <w:tcPr>
            <w:tcW w:w="1443" w:type="pct"/>
            <w:vAlign w:val="center"/>
          </w:tcPr>
          <w:p>
            <w:pPr>
              <w:snapToGrid w:val="0"/>
              <w:spacing w:line="360" w:lineRule="exact"/>
              <w:jc w:val="center"/>
              <w:rPr>
                <w:sz w:val="21"/>
                <w:szCs w:val="20"/>
              </w:rPr>
            </w:pPr>
            <w:r>
              <w:rPr>
                <w:rFonts w:hint="eastAsia"/>
                <w:sz w:val="21"/>
                <w:szCs w:val="20"/>
              </w:rPr>
              <w:t>平均剥采比</w:t>
            </w:r>
          </w:p>
        </w:tc>
        <w:tc>
          <w:tcPr>
            <w:tcW w:w="739" w:type="pct"/>
            <w:vAlign w:val="center"/>
          </w:tcPr>
          <w:p>
            <w:pPr>
              <w:snapToGrid w:val="0"/>
              <w:spacing w:line="360" w:lineRule="exact"/>
              <w:jc w:val="center"/>
              <w:rPr>
                <w:sz w:val="21"/>
                <w:szCs w:val="20"/>
              </w:rPr>
            </w:pPr>
            <w:r>
              <w:rPr>
                <w:rFonts w:hint="eastAsia"/>
                <w:sz w:val="21"/>
                <w:szCs w:val="20"/>
              </w:rPr>
              <w:t>m</w:t>
            </w:r>
            <w:r>
              <w:rPr>
                <w:rFonts w:hint="eastAsia"/>
                <w:sz w:val="21"/>
                <w:szCs w:val="20"/>
                <w:vertAlign w:val="superscript"/>
              </w:rPr>
              <w:t>3</w:t>
            </w:r>
            <w:r>
              <w:rPr>
                <w:rFonts w:hint="eastAsia"/>
                <w:sz w:val="21"/>
                <w:szCs w:val="20"/>
              </w:rPr>
              <w:t>/m</w:t>
            </w:r>
            <w:r>
              <w:rPr>
                <w:rFonts w:hint="eastAsia"/>
                <w:sz w:val="21"/>
                <w:szCs w:val="20"/>
                <w:vertAlign w:val="superscript"/>
              </w:rPr>
              <w:t>3</w:t>
            </w:r>
          </w:p>
        </w:tc>
        <w:tc>
          <w:tcPr>
            <w:tcW w:w="948" w:type="pct"/>
            <w:vAlign w:val="center"/>
          </w:tcPr>
          <w:p>
            <w:pPr>
              <w:snapToGrid w:val="0"/>
              <w:spacing w:line="360" w:lineRule="exact"/>
              <w:jc w:val="center"/>
              <w:rPr>
                <w:sz w:val="21"/>
                <w:szCs w:val="20"/>
              </w:rPr>
            </w:pPr>
            <w:r>
              <w:rPr>
                <w:rFonts w:hint="eastAsia"/>
                <w:sz w:val="21"/>
                <w:szCs w:val="20"/>
              </w:rPr>
              <w:t>0.1</w:t>
            </w:r>
          </w:p>
        </w:tc>
        <w:tc>
          <w:tcPr>
            <w:tcW w:w="1148" w:type="pct"/>
            <w:vAlign w:val="center"/>
          </w:tcPr>
          <w:p>
            <w:pPr>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rFonts w:hint="eastAsia"/>
                <w:sz w:val="21"/>
                <w:szCs w:val="20"/>
              </w:rPr>
              <w:t>6</w:t>
            </w:r>
          </w:p>
        </w:tc>
        <w:tc>
          <w:tcPr>
            <w:tcW w:w="1443" w:type="pct"/>
            <w:vAlign w:val="center"/>
          </w:tcPr>
          <w:p>
            <w:pPr>
              <w:snapToGrid w:val="0"/>
              <w:spacing w:line="360" w:lineRule="exact"/>
              <w:jc w:val="center"/>
              <w:rPr>
                <w:sz w:val="21"/>
                <w:szCs w:val="20"/>
              </w:rPr>
            </w:pPr>
            <w:r>
              <w:rPr>
                <w:rFonts w:hint="eastAsia"/>
                <w:sz w:val="21"/>
                <w:szCs w:val="20"/>
              </w:rPr>
              <w:t>矿山体重</w:t>
            </w:r>
          </w:p>
        </w:tc>
        <w:tc>
          <w:tcPr>
            <w:tcW w:w="739" w:type="pct"/>
            <w:vAlign w:val="center"/>
          </w:tcPr>
          <w:p>
            <w:pPr>
              <w:snapToGrid w:val="0"/>
              <w:spacing w:line="360" w:lineRule="exact"/>
              <w:jc w:val="center"/>
              <w:rPr>
                <w:sz w:val="21"/>
                <w:szCs w:val="20"/>
              </w:rPr>
            </w:pPr>
            <w:r>
              <w:rPr>
                <w:rFonts w:hint="eastAsia"/>
                <w:sz w:val="21"/>
                <w:szCs w:val="20"/>
              </w:rPr>
              <w:t>t/m</w:t>
            </w:r>
            <w:r>
              <w:rPr>
                <w:rFonts w:hint="eastAsia"/>
                <w:sz w:val="21"/>
                <w:szCs w:val="20"/>
                <w:vertAlign w:val="superscript"/>
              </w:rPr>
              <w:t>3</w:t>
            </w:r>
          </w:p>
        </w:tc>
        <w:tc>
          <w:tcPr>
            <w:tcW w:w="948" w:type="pct"/>
            <w:vAlign w:val="center"/>
          </w:tcPr>
          <w:p>
            <w:pPr>
              <w:snapToGrid w:val="0"/>
              <w:spacing w:line="360" w:lineRule="exact"/>
              <w:jc w:val="center"/>
              <w:rPr>
                <w:sz w:val="21"/>
                <w:szCs w:val="20"/>
              </w:rPr>
            </w:pPr>
            <w:r>
              <w:rPr>
                <w:rFonts w:hint="eastAsia"/>
                <w:sz w:val="21"/>
                <w:szCs w:val="20"/>
              </w:rPr>
              <w:t>1.8</w:t>
            </w:r>
          </w:p>
        </w:tc>
        <w:tc>
          <w:tcPr>
            <w:tcW w:w="1148" w:type="pct"/>
            <w:vAlign w:val="center"/>
          </w:tcPr>
          <w:p>
            <w:pPr>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rFonts w:hint="eastAsia"/>
                <w:sz w:val="21"/>
                <w:szCs w:val="20"/>
              </w:rPr>
              <w:t>7</w:t>
            </w:r>
          </w:p>
        </w:tc>
        <w:tc>
          <w:tcPr>
            <w:tcW w:w="1443" w:type="pct"/>
            <w:vAlign w:val="center"/>
          </w:tcPr>
          <w:p>
            <w:pPr>
              <w:snapToGrid w:val="0"/>
              <w:spacing w:line="360" w:lineRule="exact"/>
              <w:jc w:val="center"/>
              <w:rPr>
                <w:sz w:val="21"/>
                <w:szCs w:val="20"/>
              </w:rPr>
            </w:pPr>
            <w:r>
              <w:rPr>
                <w:rFonts w:hint="eastAsia"/>
                <w:sz w:val="21"/>
                <w:szCs w:val="20"/>
              </w:rPr>
              <w:t>矿区面积</w:t>
            </w:r>
          </w:p>
        </w:tc>
        <w:tc>
          <w:tcPr>
            <w:tcW w:w="739" w:type="pct"/>
            <w:vAlign w:val="center"/>
          </w:tcPr>
          <w:p>
            <w:pPr>
              <w:snapToGrid w:val="0"/>
              <w:spacing w:line="360" w:lineRule="exact"/>
              <w:jc w:val="center"/>
              <w:rPr>
                <w:sz w:val="21"/>
                <w:szCs w:val="20"/>
              </w:rPr>
            </w:pPr>
            <w:r>
              <w:rPr>
                <w:rFonts w:hint="eastAsia"/>
                <w:sz w:val="21"/>
                <w:szCs w:val="20"/>
              </w:rPr>
              <w:t>k</w:t>
            </w:r>
            <w:r>
              <w:rPr>
                <w:sz w:val="21"/>
                <w:szCs w:val="20"/>
              </w:rPr>
              <w:t>m</w:t>
            </w:r>
            <w:r>
              <w:rPr>
                <w:rFonts w:hint="eastAsia"/>
                <w:sz w:val="21"/>
                <w:szCs w:val="20"/>
                <w:vertAlign w:val="superscript"/>
              </w:rPr>
              <w:t>2</w:t>
            </w:r>
          </w:p>
        </w:tc>
        <w:tc>
          <w:tcPr>
            <w:tcW w:w="948" w:type="pct"/>
            <w:vAlign w:val="center"/>
          </w:tcPr>
          <w:p>
            <w:pPr>
              <w:snapToGrid w:val="0"/>
              <w:spacing w:line="360" w:lineRule="exact"/>
              <w:jc w:val="center"/>
              <w:rPr>
                <w:sz w:val="21"/>
                <w:szCs w:val="20"/>
              </w:rPr>
            </w:pPr>
            <w:r>
              <w:rPr>
                <w:rFonts w:hint="eastAsia"/>
                <w:sz w:val="21"/>
                <w:szCs w:val="20"/>
              </w:rPr>
              <w:t>0.0508</w:t>
            </w:r>
          </w:p>
        </w:tc>
        <w:tc>
          <w:tcPr>
            <w:tcW w:w="1148" w:type="pct"/>
            <w:vAlign w:val="center"/>
          </w:tcPr>
          <w:p>
            <w:pPr>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rFonts w:hint="eastAsia"/>
                <w:sz w:val="21"/>
                <w:szCs w:val="20"/>
              </w:rPr>
              <w:t>8</w:t>
            </w:r>
          </w:p>
        </w:tc>
        <w:tc>
          <w:tcPr>
            <w:tcW w:w="1443" w:type="pct"/>
            <w:vAlign w:val="center"/>
          </w:tcPr>
          <w:p>
            <w:pPr>
              <w:snapToGrid w:val="0"/>
              <w:spacing w:line="360" w:lineRule="exact"/>
              <w:jc w:val="center"/>
              <w:rPr>
                <w:sz w:val="21"/>
                <w:szCs w:val="20"/>
              </w:rPr>
            </w:pPr>
            <w:r>
              <w:rPr>
                <w:rFonts w:hint="eastAsia"/>
                <w:sz w:val="21"/>
                <w:szCs w:val="20"/>
              </w:rPr>
              <w:t>绿化面积</w:t>
            </w:r>
          </w:p>
        </w:tc>
        <w:tc>
          <w:tcPr>
            <w:tcW w:w="739" w:type="pct"/>
            <w:vAlign w:val="center"/>
          </w:tcPr>
          <w:p>
            <w:pPr>
              <w:snapToGrid w:val="0"/>
              <w:spacing w:line="360" w:lineRule="exact"/>
              <w:jc w:val="center"/>
              <w:rPr>
                <w:sz w:val="21"/>
                <w:szCs w:val="20"/>
              </w:rPr>
            </w:pPr>
            <w:r>
              <w:rPr>
                <w:rFonts w:hint="eastAsia"/>
                <w:sz w:val="21"/>
                <w:szCs w:val="20"/>
              </w:rPr>
              <w:t>m</w:t>
            </w:r>
            <w:r>
              <w:rPr>
                <w:rFonts w:hint="eastAsia"/>
                <w:sz w:val="21"/>
                <w:szCs w:val="20"/>
                <w:vertAlign w:val="superscript"/>
              </w:rPr>
              <w:t>2</w:t>
            </w:r>
          </w:p>
        </w:tc>
        <w:tc>
          <w:tcPr>
            <w:tcW w:w="948" w:type="pct"/>
            <w:vAlign w:val="center"/>
          </w:tcPr>
          <w:p>
            <w:pPr>
              <w:snapToGrid w:val="0"/>
              <w:spacing w:line="360" w:lineRule="exact"/>
              <w:jc w:val="center"/>
              <w:rPr>
                <w:sz w:val="21"/>
                <w:szCs w:val="20"/>
              </w:rPr>
            </w:pPr>
            <w:r>
              <w:rPr>
                <w:rFonts w:hint="eastAsia"/>
                <w:sz w:val="21"/>
                <w:szCs w:val="20"/>
              </w:rPr>
              <w:t>500</w:t>
            </w:r>
          </w:p>
        </w:tc>
        <w:tc>
          <w:tcPr>
            <w:tcW w:w="1148" w:type="pct"/>
            <w:vAlign w:val="center"/>
          </w:tcPr>
          <w:p>
            <w:pPr>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rFonts w:hint="eastAsia"/>
                <w:sz w:val="21"/>
                <w:szCs w:val="20"/>
              </w:rPr>
              <w:t>9</w:t>
            </w:r>
          </w:p>
        </w:tc>
        <w:tc>
          <w:tcPr>
            <w:tcW w:w="1443" w:type="pct"/>
            <w:vAlign w:val="center"/>
          </w:tcPr>
          <w:p>
            <w:pPr>
              <w:snapToGrid w:val="0"/>
              <w:spacing w:line="360" w:lineRule="exact"/>
              <w:jc w:val="center"/>
              <w:rPr>
                <w:sz w:val="21"/>
                <w:szCs w:val="20"/>
              </w:rPr>
            </w:pPr>
            <w:r>
              <w:rPr>
                <w:rFonts w:hint="eastAsia"/>
                <w:sz w:val="21"/>
                <w:szCs w:val="20"/>
              </w:rPr>
              <w:t>劳动定员</w:t>
            </w:r>
          </w:p>
        </w:tc>
        <w:tc>
          <w:tcPr>
            <w:tcW w:w="739" w:type="pct"/>
            <w:vAlign w:val="center"/>
          </w:tcPr>
          <w:p>
            <w:pPr>
              <w:snapToGrid w:val="0"/>
              <w:spacing w:line="360" w:lineRule="exact"/>
              <w:jc w:val="center"/>
              <w:rPr>
                <w:sz w:val="21"/>
                <w:szCs w:val="20"/>
              </w:rPr>
            </w:pPr>
            <w:r>
              <w:rPr>
                <w:rFonts w:hint="eastAsia"/>
                <w:sz w:val="21"/>
                <w:szCs w:val="20"/>
              </w:rPr>
              <w:t>人</w:t>
            </w:r>
          </w:p>
        </w:tc>
        <w:tc>
          <w:tcPr>
            <w:tcW w:w="948" w:type="pct"/>
            <w:vAlign w:val="center"/>
          </w:tcPr>
          <w:p>
            <w:pPr>
              <w:snapToGrid w:val="0"/>
              <w:spacing w:line="360" w:lineRule="exact"/>
              <w:jc w:val="center"/>
              <w:rPr>
                <w:sz w:val="21"/>
                <w:szCs w:val="20"/>
              </w:rPr>
            </w:pPr>
            <w:r>
              <w:rPr>
                <w:rFonts w:hint="eastAsia"/>
                <w:sz w:val="21"/>
                <w:szCs w:val="20"/>
              </w:rPr>
              <w:t>10</w:t>
            </w:r>
          </w:p>
        </w:tc>
        <w:tc>
          <w:tcPr>
            <w:tcW w:w="1148" w:type="pct"/>
            <w:vAlign w:val="center"/>
          </w:tcPr>
          <w:p>
            <w:pPr>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rFonts w:hint="eastAsia"/>
                <w:sz w:val="21"/>
                <w:szCs w:val="20"/>
              </w:rPr>
              <w:t>10</w:t>
            </w:r>
          </w:p>
        </w:tc>
        <w:tc>
          <w:tcPr>
            <w:tcW w:w="1443" w:type="pct"/>
            <w:vAlign w:val="center"/>
          </w:tcPr>
          <w:p>
            <w:pPr>
              <w:snapToGrid w:val="0"/>
              <w:spacing w:line="360" w:lineRule="exact"/>
              <w:jc w:val="center"/>
              <w:rPr>
                <w:sz w:val="21"/>
                <w:szCs w:val="20"/>
              </w:rPr>
            </w:pPr>
            <w:r>
              <w:rPr>
                <w:rFonts w:hint="eastAsia"/>
                <w:sz w:val="21"/>
                <w:szCs w:val="20"/>
              </w:rPr>
              <w:t>工作制度</w:t>
            </w:r>
          </w:p>
        </w:tc>
        <w:tc>
          <w:tcPr>
            <w:tcW w:w="739" w:type="pct"/>
            <w:vAlign w:val="center"/>
          </w:tcPr>
          <w:p>
            <w:pPr>
              <w:snapToGrid w:val="0"/>
              <w:spacing w:line="360" w:lineRule="exact"/>
              <w:jc w:val="center"/>
              <w:rPr>
                <w:sz w:val="21"/>
                <w:szCs w:val="20"/>
              </w:rPr>
            </w:pPr>
            <w:r>
              <w:rPr>
                <w:rFonts w:hint="eastAsia"/>
                <w:sz w:val="21"/>
                <w:szCs w:val="20"/>
              </w:rPr>
              <w:t>天</w:t>
            </w:r>
          </w:p>
        </w:tc>
        <w:tc>
          <w:tcPr>
            <w:tcW w:w="948" w:type="pct"/>
            <w:vAlign w:val="center"/>
          </w:tcPr>
          <w:p>
            <w:pPr>
              <w:snapToGrid w:val="0"/>
              <w:spacing w:line="360" w:lineRule="exact"/>
              <w:jc w:val="center"/>
              <w:rPr>
                <w:sz w:val="21"/>
                <w:szCs w:val="20"/>
              </w:rPr>
            </w:pPr>
            <w:r>
              <w:rPr>
                <w:rFonts w:hint="eastAsia"/>
                <w:sz w:val="21"/>
                <w:szCs w:val="20"/>
              </w:rPr>
              <w:t>210</w:t>
            </w:r>
          </w:p>
        </w:tc>
        <w:tc>
          <w:tcPr>
            <w:tcW w:w="1148" w:type="pct"/>
            <w:vAlign w:val="center"/>
          </w:tcPr>
          <w:p>
            <w:pPr>
              <w:snapToGrid w:val="0"/>
              <w:spacing w:line="360" w:lineRule="exact"/>
              <w:jc w:val="center"/>
              <w:rPr>
                <w:sz w:val="21"/>
                <w:szCs w:val="20"/>
              </w:rPr>
            </w:pPr>
            <w:r>
              <w:rPr>
                <w:rFonts w:hint="eastAsia"/>
                <w:sz w:val="21"/>
                <w:szCs w:val="20"/>
              </w:rPr>
              <w:t>每天8h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rFonts w:hint="eastAsia"/>
                <w:sz w:val="21"/>
                <w:szCs w:val="20"/>
              </w:rPr>
              <w:t>11</w:t>
            </w:r>
          </w:p>
        </w:tc>
        <w:tc>
          <w:tcPr>
            <w:tcW w:w="1443" w:type="pct"/>
            <w:vAlign w:val="center"/>
          </w:tcPr>
          <w:p>
            <w:pPr>
              <w:snapToGrid w:val="0"/>
              <w:spacing w:line="360" w:lineRule="exact"/>
              <w:jc w:val="center"/>
              <w:rPr>
                <w:sz w:val="21"/>
                <w:szCs w:val="20"/>
              </w:rPr>
            </w:pPr>
            <w:r>
              <w:rPr>
                <w:rFonts w:hint="eastAsia"/>
                <w:spacing w:val="4"/>
                <w:sz w:val="21"/>
                <w:szCs w:val="21"/>
              </w:rPr>
              <w:t>项目总投资</w:t>
            </w:r>
          </w:p>
        </w:tc>
        <w:tc>
          <w:tcPr>
            <w:tcW w:w="739" w:type="pct"/>
            <w:vAlign w:val="center"/>
          </w:tcPr>
          <w:p>
            <w:pPr>
              <w:snapToGrid w:val="0"/>
              <w:spacing w:line="360" w:lineRule="exact"/>
              <w:jc w:val="center"/>
              <w:rPr>
                <w:sz w:val="21"/>
                <w:szCs w:val="20"/>
              </w:rPr>
            </w:pPr>
            <w:r>
              <w:rPr>
                <w:rFonts w:hint="eastAsia"/>
                <w:sz w:val="21"/>
                <w:szCs w:val="20"/>
              </w:rPr>
              <w:t>万元</w:t>
            </w:r>
          </w:p>
        </w:tc>
        <w:tc>
          <w:tcPr>
            <w:tcW w:w="948" w:type="pct"/>
            <w:vAlign w:val="center"/>
          </w:tcPr>
          <w:p>
            <w:pPr>
              <w:snapToGrid w:val="0"/>
              <w:spacing w:line="360" w:lineRule="exact"/>
              <w:jc w:val="center"/>
              <w:rPr>
                <w:spacing w:val="4"/>
                <w:sz w:val="21"/>
                <w:szCs w:val="21"/>
              </w:rPr>
            </w:pPr>
            <w:r>
              <w:rPr>
                <w:rFonts w:hint="eastAsia"/>
                <w:spacing w:val="4"/>
                <w:sz w:val="21"/>
                <w:szCs w:val="21"/>
                <w:lang w:val="en-US" w:eastAsia="zh-CN"/>
              </w:rPr>
              <w:t>1</w:t>
            </w:r>
            <w:r>
              <w:rPr>
                <w:rFonts w:hint="eastAsia"/>
                <w:spacing w:val="4"/>
                <w:sz w:val="21"/>
                <w:szCs w:val="21"/>
              </w:rPr>
              <w:t>00</w:t>
            </w:r>
          </w:p>
        </w:tc>
        <w:tc>
          <w:tcPr>
            <w:tcW w:w="1148" w:type="pct"/>
            <w:vAlign w:val="center"/>
          </w:tcPr>
          <w:p>
            <w:pPr>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8" w:type="pct"/>
            <w:vAlign w:val="center"/>
          </w:tcPr>
          <w:p>
            <w:pPr>
              <w:snapToGrid w:val="0"/>
              <w:spacing w:line="360" w:lineRule="exact"/>
              <w:jc w:val="center"/>
              <w:rPr>
                <w:sz w:val="21"/>
                <w:szCs w:val="20"/>
              </w:rPr>
            </w:pPr>
            <w:r>
              <w:rPr>
                <w:rFonts w:hint="eastAsia"/>
                <w:sz w:val="21"/>
                <w:szCs w:val="20"/>
              </w:rPr>
              <w:t>12</w:t>
            </w:r>
          </w:p>
        </w:tc>
        <w:tc>
          <w:tcPr>
            <w:tcW w:w="1443" w:type="pct"/>
            <w:vAlign w:val="center"/>
          </w:tcPr>
          <w:p>
            <w:pPr>
              <w:snapToGrid w:val="0"/>
              <w:spacing w:line="360" w:lineRule="exact"/>
              <w:jc w:val="center"/>
              <w:rPr>
                <w:sz w:val="21"/>
                <w:szCs w:val="20"/>
              </w:rPr>
            </w:pPr>
            <w:r>
              <w:rPr>
                <w:rFonts w:hint="eastAsia"/>
                <w:spacing w:val="4"/>
                <w:sz w:val="21"/>
                <w:szCs w:val="21"/>
              </w:rPr>
              <w:t>环保投资</w:t>
            </w:r>
          </w:p>
        </w:tc>
        <w:tc>
          <w:tcPr>
            <w:tcW w:w="739" w:type="pct"/>
            <w:vAlign w:val="center"/>
          </w:tcPr>
          <w:p>
            <w:pPr>
              <w:snapToGrid w:val="0"/>
              <w:spacing w:line="360" w:lineRule="exact"/>
              <w:jc w:val="center"/>
              <w:rPr>
                <w:sz w:val="21"/>
                <w:szCs w:val="20"/>
              </w:rPr>
            </w:pPr>
            <w:r>
              <w:rPr>
                <w:rFonts w:hint="eastAsia"/>
                <w:sz w:val="21"/>
                <w:szCs w:val="20"/>
              </w:rPr>
              <w:t>万元</w:t>
            </w:r>
          </w:p>
        </w:tc>
        <w:tc>
          <w:tcPr>
            <w:tcW w:w="948" w:type="pct"/>
            <w:vAlign w:val="center"/>
          </w:tcPr>
          <w:p>
            <w:pPr>
              <w:snapToGrid w:val="0"/>
              <w:spacing w:line="360" w:lineRule="exact"/>
              <w:jc w:val="center"/>
              <w:rPr>
                <w:spacing w:val="4"/>
                <w:sz w:val="21"/>
                <w:szCs w:val="21"/>
              </w:rPr>
            </w:pPr>
            <w:r>
              <w:rPr>
                <w:rFonts w:hint="eastAsia"/>
                <w:spacing w:val="4"/>
                <w:sz w:val="21"/>
                <w:szCs w:val="21"/>
                <w:lang w:val="en-US" w:eastAsia="zh-CN"/>
              </w:rPr>
              <w:t>2</w:t>
            </w:r>
            <w:r>
              <w:rPr>
                <w:rFonts w:hint="eastAsia"/>
                <w:spacing w:val="4"/>
                <w:sz w:val="21"/>
                <w:szCs w:val="21"/>
              </w:rPr>
              <w:t>0</w:t>
            </w:r>
          </w:p>
        </w:tc>
        <w:tc>
          <w:tcPr>
            <w:tcW w:w="1148" w:type="pct"/>
            <w:vAlign w:val="center"/>
          </w:tcPr>
          <w:p>
            <w:pPr>
              <w:snapToGrid w:val="0"/>
              <w:spacing w:line="360" w:lineRule="exact"/>
              <w:jc w:val="center"/>
              <w:rPr>
                <w:sz w:val="21"/>
                <w:szCs w:val="20"/>
              </w:rPr>
            </w:pPr>
          </w:p>
        </w:tc>
      </w:tr>
    </w:tbl>
    <w:p>
      <w:pPr>
        <w:widowControl w:val="0"/>
        <w:adjustRightInd w:val="0"/>
        <w:snapToGrid w:val="0"/>
        <w:spacing w:before="120" w:beforeLines="50" w:after="120" w:afterLines="50"/>
        <w:jc w:val="both"/>
        <w:outlineLvl w:val="1"/>
        <w:rPr>
          <w:b/>
          <w:kern w:val="2"/>
          <w:sz w:val="28"/>
          <w:szCs w:val="28"/>
        </w:rPr>
      </w:pPr>
      <w:bookmarkStart w:id="208" w:name="_Toc399150368"/>
      <w:bookmarkStart w:id="209" w:name="_Toc395801218"/>
      <w:bookmarkStart w:id="210" w:name="_Toc24213"/>
      <w:r>
        <w:rPr>
          <w:b/>
          <w:kern w:val="2"/>
          <w:sz w:val="28"/>
          <w:szCs w:val="28"/>
        </w:rPr>
        <w:t>2.</w:t>
      </w:r>
      <w:bookmarkEnd w:id="208"/>
      <w:bookmarkEnd w:id="209"/>
      <w:r>
        <w:rPr>
          <w:rFonts w:hint="eastAsia"/>
          <w:b/>
          <w:kern w:val="2"/>
          <w:sz w:val="28"/>
          <w:szCs w:val="28"/>
        </w:rPr>
        <w:t>3施工期影响因素分析</w:t>
      </w:r>
      <w:bookmarkEnd w:id="210"/>
    </w:p>
    <w:p>
      <w:pPr>
        <w:widowControl w:val="0"/>
        <w:adjustRightInd w:val="0"/>
        <w:snapToGrid w:val="0"/>
        <w:spacing w:before="120" w:beforeLines="50" w:after="120" w:afterLines="50"/>
        <w:jc w:val="both"/>
        <w:outlineLvl w:val="2"/>
        <w:rPr>
          <w:b/>
          <w:kern w:val="2"/>
        </w:rPr>
      </w:pPr>
      <w:bookmarkStart w:id="211" w:name="_Toc395801219"/>
      <w:r>
        <w:rPr>
          <w:b/>
          <w:kern w:val="2"/>
        </w:rPr>
        <w:t>2.</w:t>
      </w:r>
      <w:r>
        <w:rPr>
          <w:rFonts w:hint="eastAsia"/>
          <w:b/>
          <w:kern w:val="2"/>
        </w:rPr>
        <w:t>3</w:t>
      </w:r>
      <w:r>
        <w:rPr>
          <w:b/>
          <w:kern w:val="2"/>
        </w:rPr>
        <w:t>.1施工期</w:t>
      </w:r>
      <w:bookmarkEnd w:id="211"/>
      <w:r>
        <w:rPr>
          <w:rFonts w:hint="eastAsia"/>
          <w:b/>
          <w:kern w:val="2"/>
        </w:rPr>
        <w:t>主要产污环节分析</w:t>
      </w:r>
    </w:p>
    <w:p>
      <w:pPr>
        <w:pStyle w:val="361"/>
        <w:spacing w:line="440" w:lineRule="exact"/>
        <w:ind w:firstLineChars="200"/>
        <w:jc w:val="both"/>
        <w:rPr>
          <w:rFonts w:eastAsia="宋体"/>
        </w:rPr>
      </w:pPr>
      <w:r>
        <w:rPr>
          <w:rFonts w:hint="eastAsia" w:eastAsia="宋体"/>
        </w:rPr>
        <w:t>根据现场踏勘，本项目办公生活设施已建成，已开采区尚未进行土地复垦和生态恢复。本项目施工期施工内容</w:t>
      </w:r>
      <w:r>
        <w:rPr>
          <w:rFonts w:eastAsia="宋体"/>
        </w:rPr>
        <w:t>主要为</w:t>
      </w:r>
      <w:r>
        <w:rPr>
          <w:rFonts w:hint="eastAsia" w:eastAsia="宋体"/>
        </w:rPr>
        <w:t>全封闭原料库、排土场等设施的建设，以及对已开采区进行土地复垦和生态恢复。</w:t>
      </w:r>
      <w:r>
        <w:rPr>
          <w:rFonts w:eastAsia="宋体"/>
        </w:rPr>
        <w:t>项目施工影响范围主要集中在</w:t>
      </w:r>
      <w:r>
        <w:rPr>
          <w:rFonts w:hint="eastAsia" w:eastAsia="宋体"/>
        </w:rPr>
        <w:t>矿区范围内，</w:t>
      </w:r>
      <w:r>
        <w:rPr>
          <w:rFonts w:eastAsia="宋体"/>
        </w:rPr>
        <w:t>施工影响主要为废气、</w:t>
      </w:r>
      <w:r>
        <w:rPr>
          <w:rFonts w:hint="eastAsia" w:eastAsia="宋体"/>
        </w:rPr>
        <w:t>废水</w:t>
      </w:r>
      <w:r>
        <w:rPr>
          <w:rFonts w:eastAsia="宋体"/>
        </w:rPr>
        <w:t>、噪声</w:t>
      </w:r>
      <w:r>
        <w:rPr>
          <w:rFonts w:hint="eastAsia" w:eastAsia="宋体"/>
        </w:rPr>
        <w:t>、</w:t>
      </w:r>
      <w:r>
        <w:rPr>
          <w:rFonts w:eastAsia="宋体"/>
        </w:rPr>
        <w:t>固废</w:t>
      </w:r>
      <w:r>
        <w:rPr>
          <w:rFonts w:hint="eastAsia" w:eastAsia="宋体"/>
        </w:rPr>
        <w:t>和生态破坏</w:t>
      </w:r>
      <w:r>
        <w:rPr>
          <w:rFonts w:eastAsia="宋体"/>
        </w:rPr>
        <w:t>等</w:t>
      </w:r>
      <w:r>
        <w:rPr>
          <w:rFonts w:hint="eastAsia" w:eastAsia="宋体"/>
        </w:rPr>
        <w:t>造成</w:t>
      </w:r>
      <w:r>
        <w:rPr>
          <w:rFonts w:eastAsia="宋体"/>
        </w:rPr>
        <w:t>的影响</w:t>
      </w:r>
      <w:r>
        <w:rPr>
          <w:rFonts w:hint="eastAsia" w:eastAsia="宋体"/>
        </w:rPr>
        <w:t>。</w:t>
      </w:r>
    </w:p>
    <w:p>
      <w:pPr>
        <w:pStyle w:val="361"/>
        <w:spacing w:line="440" w:lineRule="exact"/>
        <w:ind w:firstLineChars="200"/>
        <w:jc w:val="both"/>
        <w:rPr>
          <w:rFonts w:eastAsia="宋体"/>
        </w:rPr>
      </w:pPr>
      <w:r>
        <w:rPr>
          <w:rFonts w:eastAsia="宋体"/>
        </w:rPr>
        <w:t>1.</w:t>
      </w:r>
      <w:r>
        <w:rPr>
          <w:rFonts w:hint="eastAsia" w:eastAsia="宋体"/>
        </w:rPr>
        <w:t>施工环境空气污染影响分析及防治措施</w:t>
      </w:r>
    </w:p>
    <w:p>
      <w:pPr>
        <w:pStyle w:val="361"/>
        <w:spacing w:line="440" w:lineRule="exact"/>
        <w:ind w:firstLineChars="200"/>
        <w:jc w:val="both"/>
        <w:rPr>
          <w:rFonts w:eastAsia="宋体"/>
        </w:rPr>
      </w:pPr>
      <w:r>
        <w:rPr>
          <w:rFonts w:eastAsia="宋体"/>
        </w:rPr>
        <w:t>1）施工期环境空气污染影响分析</w:t>
      </w:r>
    </w:p>
    <w:p>
      <w:pPr>
        <w:pStyle w:val="361"/>
        <w:spacing w:line="440" w:lineRule="exact"/>
        <w:ind w:firstLineChars="200"/>
        <w:jc w:val="both"/>
        <w:rPr>
          <w:rFonts w:eastAsia="宋体"/>
        </w:rPr>
      </w:pPr>
      <w:r>
        <w:rPr>
          <w:rFonts w:eastAsia="宋体"/>
        </w:rPr>
        <w:t>①施工扬尘</w:t>
      </w:r>
    </w:p>
    <w:p>
      <w:pPr>
        <w:pStyle w:val="361"/>
        <w:spacing w:line="440" w:lineRule="exact"/>
        <w:ind w:firstLineChars="200"/>
        <w:jc w:val="both"/>
        <w:rPr>
          <w:rFonts w:eastAsia="宋体"/>
        </w:rPr>
      </w:pPr>
      <w:r>
        <w:rPr>
          <w:rFonts w:eastAsia="宋体"/>
        </w:rPr>
        <w:t>施工期间对环境空气影响最大的是施工扬尘，来源于各种无组织排放源。施工场地清理、土石方工程、建筑材料运输和堆放等过程中都会产生扬尘。由于污染源为间歇性源并且扬尘点低，会在近距离内形成局部污染，造成局部地区环境空气中的TSP浓度增高。</w:t>
      </w:r>
    </w:p>
    <w:p>
      <w:pPr>
        <w:pStyle w:val="361"/>
        <w:spacing w:line="440" w:lineRule="exact"/>
        <w:ind w:firstLineChars="200"/>
        <w:jc w:val="both"/>
        <w:rPr>
          <w:rFonts w:eastAsia="宋体"/>
        </w:rPr>
      </w:pPr>
      <w:r>
        <w:rPr>
          <w:rFonts w:eastAsia="宋体"/>
        </w:rPr>
        <w:t>②其他废气</w:t>
      </w:r>
    </w:p>
    <w:p>
      <w:pPr>
        <w:pStyle w:val="361"/>
        <w:spacing w:line="440" w:lineRule="exact"/>
        <w:ind w:firstLineChars="200"/>
        <w:jc w:val="both"/>
        <w:rPr>
          <w:rFonts w:eastAsia="宋体"/>
        </w:rPr>
      </w:pPr>
      <w:r>
        <w:rPr>
          <w:rFonts w:eastAsia="宋体"/>
        </w:rPr>
        <w:t>施工期其他废气主要为施工机械及车辆排放的尾气，其污染物主要有SO</w:t>
      </w:r>
      <w:r>
        <w:rPr>
          <w:rFonts w:eastAsia="宋体"/>
          <w:vertAlign w:val="subscript"/>
        </w:rPr>
        <w:t>2</w:t>
      </w:r>
      <w:r>
        <w:rPr>
          <w:rFonts w:eastAsia="宋体"/>
        </w:rPr>
        <w:t>、CO、NO</w:t>
      </w:r>
      <w:r>
        <w:rPr>
          <w:rFonts w:hint="eastAsia" w:eastAsia="宋体"/>
        </w:rPr>
        <w:t>x</w:t>
      </w:r>
      <w:r>
        <w:rPr>
          <w:rFonts w:eastAsia="宋体"/>
        </w:rPr>
        <w:t>和CH</w:t>
      </w:r>
      <w:r>
        <w:rPr>
          <w:rFonts w:hint="eastAsia" w:eastAsia="宋体"/>
        </w:rPr>
        <w:t>x</w:t>
      </w:r>
      <w:r>
        <w:rPr>
          <w:rFonts w:eastAsia="宋体"/>
        </w:rPr>
        <w:t>。这些废气排放特点均为无环保措施、无组织低空排放，会造成局部地区环境空气的污染。</w:t>
      </w:r>
    </w:p>
    <w:p>
      <w:pPr>
        <w:pStyle w:val="361"/>
        <w:spacing w:line="440" w:lineRule="exact"/>
        <w:ind w:firstLineChars="200"/>
        <w:jc w:val="both"/>
        <w:rPr>
          <w:rFonts w:eastAsia="宋体"/>
        </w:rPr>
      </w:pPr>
      <w:r>
        <w:rPr>
          <w:rFonts w:eastAsia="宋体"/>
        </w:rPr>
        <w:t>2）施工期环境空气污染防治措施</w:t>
      </w:r>
    </w:p>
    <w:p>
      <w:pPr>
        <w:pStyle w:val="361"/>
        <w:spacing w:line="440" w:lineRule="exact"/>
        <w:ind w:firstLineChars="200"/>
        <w:jc w:val="both"/>
        <w:rPr>
          <w:rFonts w:eastAsia="宋体"/>
        </w:rPr>
      </w:pPr>
      <w:r>
        <w:rPr>
          <w:rFonts w:eastAsia="宋体"/>
        </w:rPr>
        <w:t>为减轻项目建设对周围环境空气的影响，根据《山西省大气污染防治2018年行动计划》、</w:t>
      </w:r>
      <w:r>
        <w:rPr>
          <w:rFonts w:hint="eastAsia" w:eastAsia="宋体"/>
        </w:rPr>
        <w:t>《山西省打赢蓝天保卫战2019年行动计划》</w:t>
      </w:r>
      <w:r>
        <w:rPr>
          <w:rFonts w:eastAsia="宋体"/>
        </w:rPr>
        <w:t>等相关要求，评价提出以下防治措施：</w:t>
      </w:r>
    </w:p>
    <w:p>
      <w:pPr>
        <w:pStyle w:val="361"/>
        <w:spacing w:line="440" w:lineRule="exact"/>
        <w:ind w:firstLineChars="200"/>
        <w:jc w:val="both"/>
        <w:rPr>
          <w:rFonts w:eastAsia="宋体"/>
        </w:rPr>
      </w:pPr>
      <w:r>
        <w:rPr>
          <w:rFonts w:eastAsia="宋体"/>
        </w:rPr>
        <w:t>①建设单位应当在施工工地公示扬尘污染防治措施、负责人、扬尘监督管理主管部门等信息，确保做到工地周边围挡、物料堆放覆盖、土方开挖湿法作业、路面硬化、出入车辆冲洗、渣土运输车辆密闭运输“六个百分百”；</w:t>
      </w:r>
    </w:p>
    <w:p>
      <w:pPr>
        <w:pStyle w:val="361"/>
        <w:spacing w:line="440" w:lineRule="exact"/>
        <w:ind w:firstLineChars="200"/>
        <w:jc w:val="both"/>
        <w:rPr>
          <w:rFonts w:eastAsia="宋体"/>
        </w:rPr>
      </w:pPr>
      <w:r>
        <w:rPr>
          <w:rFonts w:eastAsia="宋体"/>
        </w:rPr>
        <w:t>②从严控制渣土运输污染，渣土运输车辆全部采用“全密闭”、“全定位”、“全监控”的新型环保渣土车，并符合环保尾气排放标准；无主管部门核发渣土运输许可证和交警部门核发限行道路通行证的车辆一律不得进入工地，密闭不严、车轮带泥的车辆，一律不得驶出工地；</w:t>
      </w:r>
    </w:p>
    <w:p>
      <w:pPr>
        <w:pStyle w:val="361"/>
        <w:spacing w:line="440" w:lineRule="exact"/>
        <w:ind w:firstLineChars="200"/>
        <w:jc w:val="both"/>
        <w:rPr>
          <w:rFonts w:eastAsia="宋体"/>
        </w:rPr>
      </w:pPr>
      <w:r>
        <w:rPr>
          <w:rFonts w:eastAsia="宋体"/>
        </w:rPr>
        <w:t>③渣土运输必须按照规定线路、规定时间行驶，必须到指定场所倾倒；</w:t>
      </w:r>
    </w:p>
    <w:p>
      <w:pPr>
        <w:pStyle w:val="361"/>
        <w:spacing w:line="440" w:lineRule="exact"/>
        <w:ind w:firstLineChars="200"/>
        <w:jc w:val="both"/>
        <w:rPr>
          <w:rFonts w:eastAsia="宋体"/>
        </w:rPr>
      </w:pPr>
      <w:r>
        <w:rPr>
          <w:rFonts w:eastAsia="宋体"/>
        </w:rPr>
        <w:t>④土方及建筑垃圾及时清运，不能及时清运时必须采取苫盖措施；</w:t>
      </w:r>
    </w:p>
    <w:p>
      <w:pPr>
        <w:pStyle w:val="361"/>
        <w:spacing w:line="440" w:lineRule="exact"/>
        <w:ind w:firstLineChars="200"/>
        <w:jc w:val="both"/>
        <w:rPr>
          <w:rFonts w:eastAsia="宋体"/>
        </w:rPr>
      </w:pPr>
      <w:r>
        <w:rPr>
          <w:rFonts w:eastAsia="宋体"/>
        </w:rPr>
        <w:t>⑤运输道路及时清扫、定期洒水，保持路面清洁湿润；</w:t>
      </w:r>
    </w:p>
    <w:p>
      <w:pPr>
        <w:pStyle w:val="361"/>
        <w:spacing w:line="440" w:lineRule="exact"/>
        <w:ind w:firstLineChars="200"/>
        <w:jc w:val="both"/>
        <w:rPr>
          <w:rFonts w:eastAsia="宋体"/>
        </w:rPr>
      </w:pPr>
      <w:r>
        <w:rPr>
          <w:rFonts w:eastAsia="宋体"/>
        </w:rPr>
        <w:t>⑥施工现场配备洒水车辆，在晴天或气候干燥的情况下，应定期洒水，保持地面湿润；暂时不施工时对裸露地面进行覆盖；</w:t>
      </w:r>
    </w:p>
    <w:p>
      <w:pPr>
        <w:pStyle w:val="361"/>
        <w:spacing w:line="440" w:lineRule="exact"/>
        <w:ind w:firstLineChars="200"/>
        <w:jc w:val="both"/>
        <w:rPr>
          <w:rFonts w:eastAsia="宋体"/>
        </w:rPr>
      </w:pPr>
      <w:r>
        <w:rPr>
          <w:rFonts w:eastAsia="宋体"/>
        </w:rPr>
        <w:t>⑦合理安排施工时序，重污染天气预警和采暖季期间，不得进行土石方作业；</w:t>
      </w:r>
    </w:p>
    <w:p>
      <w:pPr>
        <w:pStyle w:val="361"/>
        <w:spacing w:line="440" w:lineRule="exact"/>
        <w:ind w:firstLineChars="200"/>
        <w:jc w:val="both"/>
        <w:rPr>
          <w:rFonts w:eastAsia="宋体"/>
        </w:rPr>
      </w:pPr>
      <w:r>
        <w:rPr>
          <w:rFonts w:eastAsia="宋体"/>
        </w:rPr>
        <w:t>⑧选用先进的施工设备，加强施工工地管理，保持施工设备正常运行，减少施工设备待机时间，降低施工车辆在场区内的停留时间，减少施工机械及运输车辆废气产生量；</w:t>
      </w:r>
    </w:p>
    <w:p>
      <w:pPr>
        <w:pStyle w:val="361"/>
        <w:spacing w:line="440" w:lineRule="exact"/>
        <w:ind w:firstLineChars="200"/>
        <w:jc w:val="both"/>
        <w:rPr>
          <w:rFonts w:eastAsia="宋体"/>
        </w:rPr>
      </w:pPr>
      <w:r>
        <w:rPr>
          <w:rFonts w:eastAsia="宋体"/>
        </w:rPr>
        <w:t>⑨施工场地冬季采暖采用电采暖，不得燃煤。</w:t>
      </w:r>
    </w:p>
    <w:p>
      <w:pPr>
        <w:pStyle w:val="361"/>
        <w:spacing w:line="440" w:lineRule="exact"/>
        <w:ind w:firstLineChars="200"/>
        <w:jc w:val="both"/>
        <w:rPr>
          <w:rFonts w:eastAsia="宋体"/>
        </w:rPr>
      </w:pPr>
      <w:r>
        <w:rPr>
          <w:rFonts w:eastAsia="宋体"/>
        </w:rPr>
        <w:t>采取以上措施后，能够有效降低项目施工时对周围环境空气的影响。</w:t>
      </w:r>
    </w:p>
    <w:p>
      <w:pPr>
        <w:pStyle w:val="361"/>
        <w:spacing w:line="440" w:lineRule="exact"/>
        <w:ind w:firstLineChars="200"/>
        <w:jc w:val="both"/>
        <w:rPr>
          <w:rFonts w:eastAsia="宋体"/>
        </w:rPr>
      </w:pPr>
      <w:r>
        <w:rPr>
          <w:rFonts w:eastAsia="宋体"/>
        </w:rPr>
        <w:t>2.</w:t>
      </w:r>
      <w:r>
        <w:rPr>
          <w:rFonts w:hint="eastAsia" w:eastAsia="宋体"/>
        </w:rPr>
        <w:t>施工水污染影响分析及防治措施</w:t>
      </w:r>
    </w:p>
    <w:p>
      <w:pPr>
        <w:pStyle w:val="361"/>
        <w:spacing w:line="440" w:lineRule="exact"/>
        <w:ind w:firstLineChars="200"/>
        <w:jc w:val="both"/>
        <w:rPr>
          <w:rFonts w:eastAsia="宋体"/>
        </w:rPr>
      </w:pPr>
      <w:r>
        <w:rPr>
          <w:rFonts w:eastAsia="宋体"/>
        </w:rPr>
        <w:t>施工期废水包括生产废水和生活污水两部分。</w:t>
      </w:r>
    </w:p>
    <w:p>
      <w:pPr>
        <w:pStyle w:val="361"/>
        <w:spacing w:line="440" w:lineRule="exact"/>
        <w:ind w:firstLineChars="200"/>
        <w:jc w:val="both"/>
        <w:rPr>
          <w:rFonts w:eastAsia="宋体"/>
        </w:rPr>
      </w:pPr>
      <w:r>
        <w:rPr>
          <w:rFonts w:eastAsia="宋体"/>
          <w:lang w:eastAsia="ja-JP"/>
        </w:rPr>
        <w:t>①</w:t>
      </w:r>
      <w:r>
        <w:rPr>
          <w:rFonts w:eastAsia="宋体"/>
        </w:rPr>
        <w:t>生产废水</w:t>
      </w:r>
    </w:p>
    <w:p>
      <w:pPr>
        <w:pStyle w:val="361"/>
        <w:spacing w:line="440" w:lineRule="exact"/>
        <w:ind w:firstLineChars="200"/>
        <w:jc w:val="both"/>
        <w:rPr>
          <w:rFonts w:eastAsia="宋体"/>
        </w:rPr>
      </w:pPr>
      <w:r>
        <w:rPr>
          <w:rFonts w:eastAsia="宋体"/>
        </w:rPr>
        <w:t>施工场地废水主要为各种施工机械设备运转的冷却、洗涤用水，以及运输车辆冲洗产生的洗涤废水。该类废水含SS大约在1000~3000mg/L左右，pH值呈弱酸性，并带有少量油污。评价要求施工场地内建设1座沉淀池，施工废水经沉淀处理后回用于运输车辆冲洗以及施工场地的洒水抑尘等，不得外排。</w:t>
      </w:r>
    </w:p>
    <w:p>
      <w:pPr>
        <w:pStyle w:val="361"/>
        <w:spacing w:line="440" w:lineRule="exact"/>
        <w:ind w:firstLineChars="200"/>
        <w:jc w:val="both"/>
        <w:rPr>
          <w:rFonts w:eastAsia="宋体"/>
        </w:rPr>
      </w:pPr>
      <w:r>
        <w:rPr>
          <w:rFonts w:eastAsia="宋体"/>
          <w:lang w:eastAsia="ja-JP"/>
        </w:rPr>
        <w:t>②</w:t>
      </w:r>
      <w:r>
        <w:rPr>
          <w:rFonts w:eastAsia="宋体"/>
        </w:rPr>
        <w:t>生活污水</w:t>
      </w:r>
    </w:p>
    <w:p>
      <w:pPr>
        <w:pStyle w:val="361"/>
        <w:spacing w:line="440" w:lineRule="exact"/>
        <w:ind w:firstLineChars="200"/>
        <w:jc w:val="both"/>
        <w:rPr>
          <w:rFonts w:eastAsia="宋体"/>
        </w:rPr>
      </w:pPr>
      <w:r>
        <w:rPr>
          <w:rFonts w:eastAsia="宋体"/>
        </w:rPr>
        <w:t>本项目施工场地内不设施工生活营地，施工人员不在施工场地内食宿，施工人员生活污水主要为职工日常盥洗废水，水量小、水质简单，直接用于施工场地洒水抑尘。</w:t>
      </w:r>
    </w:p>
    <w:p>
      <w:pPr>
        <w:pStyle w:val="361"/>
        <w:spacing w:line="440" w:lineRule="exact"/>
        <w:ind w:firstLineChars="200"/>
        <w:jc w:val="both"/>
        <w:rPr>
          <w:rFonts w:eastAsia="宋体"/>
        </w:rPr>
      </w:pPr>
      <w:r>
        <w:rPr>
          <w:rFonts w:eastAsia="宋体"/>
        </w:rPr>
        <w:t>3.</w:t>
      </w:r>
      <w:r>
        <w:rPr>
          <w:rFonts w:hint="eastAsia" w:eastAsia="宋体"/>
        </w:rPr>
        <w:t>施工期声环境污染影响分析及防治措施</w:t>
      </w:r>
    </w:p>
    <w:p>
      <w:pPr>
        <w:widowControl w:val="0"/>
        <w:adjustRightInd w:val="0"/>
        <w:spacing w:line="440" w:lineRule="exact"/>
        <w:ind w:firstLine="480" w:firstLineChars="200"/>
        <w:jc w:val="both"/>
        <w:rPr>
          <w:kern w:val="2"/>
        </w:rPr>
      </w:pPr>
      <w:r>
        <w:rPr>
          <w:kern w:val="2"/>
        </w:rPr>
        <w:t>1）施工期声环境污染影响分析</w:t>
      </w:r>
    </w:p>
    <w:p>
      <w:pPr>
        <w:widowControl w:val="0"/>
        <w:adjustRightInd w:val="0"/>
        <w:spacing w:line="440" w:lineRule="exact"/>
        <w:ind w:firstLine="480" w:firstLineChars="200"/>
        <w:jc w:val="both"/>
        <w:rPr>
          <w:kern w:val="2"/>
        </w:rPr>
      </w:pPr>
      <w:r>
        <w:rPr>
          <w:kern w:val="2"/>
        </w:rPr>
        <w:t>施工期的噪声主要可分为机械噪声、施工作业噪声和施工车辆噪声。</w:t>
      </w:r>
    </w:p>
    <w:p>
      <w:pPr>
        <w:widowControl w:val="0"/>
        <w:adjustRightInd w:val="0"/>
        <w:spacing w:line="440" w:lineRule="exact"/>
        <w:ind w:firstLine="480" w:firstLineChars="200"/>
        <w:jc w:val="both"/>
        <w:rPr>
          <w:kern w:val="2"/>
        </w:rPr>
      </w:pPr>
      <w:r>
        <w:rPr>
          <w:kern w:val="2"/>
        </w:rPr>
        <w:t>机械噪声源主要是挖掘机、推土机、打桩机、装载机等设备，声级一般在85～110dB(A)，此类噪声是对周围声环境影响最大的，尤其是在夜间。</w:t>
      </w:r>
    </w:p>
    <w:p>
      <w:pPr>
        <w:widowControl w:val="0"/>
        <w:adjustRightInd w:val="0"/>
        <w:spacing w:line="440" w:lineRule="exact"/>
        <w:ind w:firstLine="480" w:firstLineChars="200"/>
        <w:jc w:val="both"/>
        <w:rPr>
          <w:kern w:val="2"/>
        </w:rPr>
      </w:pPr>
      <w:r>
        <w:rPr>
          <w:kern w:val="2"/>
        </w:rPr>
        <w:t>施工作业噪声主要指一些零星的敲打声、装卸车辆的撞击声、吆喝声等，多为瞬间噪声。</w:t>
      </w:r>
    </w:p>
    <w:p>
      <w:pPr>
        <w:widowControl w:val="0"/>
        <w:adjustRightInd w:val="0"/>
        <w:spacing w:line="440" w:lineRule="exact"/>
        <w:ind w:firstLine="480" w:firstLineChars="200"/>
        <w:jc w:val="both"/>
        <w:rPr>
          <w:kern w:val="2"/>
        </w:rPr>
      </w:pPr>
      <w:r>
        <w:rPr>
          <w:kern w:val="2"/>
        </w:rPr>
        <w:t>施工期材料运输过程中产生的交通噪声会对沿途敏感点造成一定的影响。</w:t>
      </w:r>
    </w:p>
    <w:p>
      <w:pPr>
        <w:widowControl w:val="0"/>
        <w:adjustRightInd w:val="0"/>
        <w:spacing w:line="440" w:lineRule="exact"/>
        <w:ind w:firstLine="480" w:firstLineChars="200"/>
        <w:jc w:val="both"/>
        <w:rPr>
          <w:kern w:val="2"/>
        </w:rPr>
      </w:pPr>
      <w:r>
        <w:rPr>
          <w:kern w:val="2"/>
        </w:rPr>
        <w:t>2）施工期声环境污染防护措施</w:t>
      </w:r>
    </w:p>
    <w:p>
      <w:pPr>
        <w:widowControl w:val="0"/>
        <w:adjustRightInd w:val="0"/>
        <w:spacing w:line="440" w:lineRule="exact"/>
        <w:ind w:firstLine="480" w:firstLineChars="200"/>
        <w:jc w:val="both"/>
        <w:rPr>
          <w:kern w:val="2"/>
        </w:rPr>
      </w:pPr>
      <w:r>
        <w:rPr>
          <w:kern w:val="2"/>
        </w:rPr>
        <w:t>针对施工期噪声，环评要求施工期采取以下噪声防治措施，以最大限度地减少噪声对环境的影响。</w:t>
      </w:r>
    </w:p>
    <w:p>
      <w:pPr>
        <w:pStyle w:val="361"/>
        <w:spacing w:line="440" w:lineRule="exact"/>
        <w:ind w:firstLineChars="200"/>
        <w:jc w:val="both"/>
        <w:rPr>
          <w:rFonts w:eastAsia="宋体"/>
        </w:rPr>
      </w:pPr>
      <w:r>
        <w:rPr>
          <w:rFonts w:eastAsia="宋体"/>
        </w:rPr>
        <w:t>①合理安排施工时间：制定施工计划</w:t>
      </w:r>
      <w:r>
        <w:rPr>
          <w:rFonts w:hint="eastAsia" w:eastAsia="宋体"/>
        </w:rPr>
        <w:t>，</w:t>
      </w:r>
      <w:r>
        <w:rPr>
          <w:rFonts w:eastAsia="宋体"/>
        </w:rPr>
        <w:t>避免大量高噪声设备同时施工</w:t>
      </w:r>
      <w:r>
        <w:rPr>
          <w:rFonts w:hint="eastAsia" w:eastAsia="宋体"/>
        </w:rPr>
        <w:t>。</w:t>
      </w:r>
      <w:r>
        <w:rPr>
          <w:rFonts w:eastAsia="宋体"/>
        </w:rPr>
        <w:t>夜间不施工</w:t>
      </w:r>
      <w:r>
        <w:rPr>
          <w:rFonts w:hint="eastAsia" w:eastAsia="宋体"/>
        </w:rPr>
        <w:t>。</w:t>
      </w:r>
    </w:p>
    <w:p>
      <w:pPr>
        <w:pStyle w:val="361"/>
        <w:spacing w:line="440" w:lineRule="exact"/>
        <w:ind w:firstLineChars="200"/>
        <w:jc w:val="both"/>
        <w:rPr>
          <w:rFonts w:eastAsia="宋体"/>
        </w:rPr>
      </w:pPr>
      <w:r>
        <w:rPr>
          <w:rFonts w:eastAsia="宋体"/>
        </w:rPr>
        <w:t>②合理布局施工现场：避免在同一地点安排大量动力机械设备</w:t>
      </w:r>
      <w:r>
        <w:rPr>
          <w:rFonts w:hint="eastAsia" w:eastAsia="宋体"/>
        </w:rPr>
        <w:t>，</w:t>
      </w:r>
      <w:r>
        <w:rPr>
          <w:rFonts w:eastAsia="宋体"/>
        </w:rPr>
        <w:t>以避免局部声级过高</w:t>
      </w:r>
      <w:r>
        <w:rPr>
          <w:rFonts w:hint="eastAsia" w:eastAsia="宋体"/>
        </w:rPr>
        <w:t>。</w:t>
      </w:r>
    </w:p>
    <w:p>
      <w:pPr>
        <w:pStyle w:val="361"/>
        <w:spacing w:line="440" w:lineRule="exact"/>
        <w:ind w:firstLineChars="200"/>
        <w:jc w:val="both"/>
        <w:rPr>
          <w:rFonts w:eastAsia="宋体"/>
        </w:rPr>
      </w:pPr>
      <w:r>
        <w:rPr>
          <w:rFonts w:eastAsia="宋体"/>
        </w:rPr>
        <w:t>③降低设备声级：施工设备选型上应尽量采用低噪声设备</w:t>
      </w:r>
      <w:r>
        <w:rPr>
          <w:rFonts w:hint="eastAsia" w:eastAsia="宋体"/>
        </w:rPr>
        <w:t>，</w:t>
      </w:r>
      <w:r>
        <w:rPr>
          <w:rFonts w:eastAsia="宋体"/>
        </w:rPr>
        <w:t>并对机械设备进行定期的维护</w:t>
      </w:r>
      <w:r>
        <w:rPr>
          <w:rFonts w:hint="eastAsia" w:eastAsia="宋体"/>
        </w:rPr>
        <w:t>。</w:t>
      </w:r>
    </w:p>
    <w:p>
      <w:pPr>
        <w:pStyle w:val="361"/>
        <w:spacing w:line="440" w:lineRule="exact"/>
        <w:ind w:firstLineChars="200"/>
        <w:jc w:val="both"/>
        <w:rPr>
          <w:rFonts w:eastAsia="宋体"/>
        </w:rPr>
      </w:pPr>
      <w:r>
        <w:rPr>
          <w:rFonts w:eastAsia="宋体"/>
        </w:rPr>
        <w:t>④减少人为噪声：遵守作业规定</w:t>
      </w:r>
      <w:r>
        <w:rPr>
          <w:rFonts w:hint="eastAsia" w:eastAsia="宋体"/>
        </w:rPr>
        <w:t>，</w:t>
      </w:r>
      <w:r>
        <w:rPr>
          <w:rFonts w:eastAsia="宋体"/>
        </w:rPr>
        <w:t>减少碰撞噪声</w:t>
      </w:r>
      <w:r>
        <w:rPr>
          <w:rFonts w:hint="eastAsia" w:eastAsia="宋体"/>
        </w:rPr>
        <w:t>；</w:t>
      </w:r>
      <w:r>
        <w:rPr>
          <w:rFonts w:eastAsia="宋体"/>
        </w:rPr>
        <w:t>少用哨子、喇叭等指挥作业</w:t>
      </w:r>
      <w:r>
        <w:rPr>
          <w:rFonts w:hint="eastAsia" w:eastAsia="宋体"/>
        </w:rPr>
        <w:t>，</w:t>
      </w:r>
      <w:r>
        <w:rPr>
          <w:rFonts w:eastAsia="宋体"/>
        </w:rPr>
        <w:t>减少人为噪声</w:t>
      </w:r>
      <w:r>
        <w:rPr>
          <w:rFonts w:hint="eastAsia" w:eastAsia="宋体"/>
        </w:rPr>
        <w:t>。</w:t>
      </w:r>
    </w:p>
    <w:p>
      <w:pPr>
        <w:pStyle w:val="361"/>
        <w:spacing w:line="440" w:lineRule="exact"/>
        <w:ind w:firstLineChars="200"/>
        <w:jc w:val="both"/>
        <w:rPr>
          <w:rFonts w:eastAsia="宋体"/>
        </w:rPr>
      </w:pPr>
      <w:r>
        <w:rPr>
          <w:rFonts w:eastAsia="宋体"/>
        </w:rPr>
        <w:t>⑤个人防护措施：对高噪声设备附近工作的施工人员</w:t>
      </w:r>
      <w:r>
        <w:rPr>
          <w:rFonts w:hint="eastAsia" w:eastAsia="宋体"/>
        </w:rPr>
        <w:t>，</w:t>
      </w:r>
      <w:r>
        <w:rPr>
          <w:rFonts w:eastAsia="宋体"/>
        </w:rPr>
        <w:t>可配备使用耳塞、耳罩等</w:t>
      </w:r>
      <w:r>
        <w:rPr>
          <w:rFonts w:hint="eastAsia" w:eastAsia="宋体"/>
        </w:rPr>
        <w:t>。</w:t>
      </w:r>
    </w:p>
    <w:p>
      <w:pPr>
        <w:pStyle w:val="361"/>
        <w:spacing w:line="440" w:lineRule="exact"/>
        <w:ind w:firstLineChars="200"/>
        <w:jc w:val="both"/>
        <w:rPr>
          <w:rFonts w:eastAsia="宋体"/>
        </w:rPr>
      </w:pPr>
      <w:r>
        <w:rPr>
          <w:rFonts w:eastAsia="宋体"/>
        </w:rPr>
        <w:t>⑥减少施工交通噪声：车辆运输过程中要减少鸣笛</w:t>
      </w:r>
      <w:r>
        <w:rPr>
          <w:rFonts w:hint="eastAsia" w:eastAsia="宋体"/>
        </w:rPr>
        <w:t>，</w:t>
      </w:r>
      <w:r>
        <w:rPr>
          <w:rFonts w:eastAsia="宋体"/>
        </w:rPr>
        <w:t>特别是在经过居民区等敏感区时要限制车速</w:t>
      </w:r>
      <w:r>
        <w:rPr>
          <w:rFonts w:hint="eastAsia" w:eastAsia="宋体"/>
        </w:rPr>
        <w:t>，</w:t>
      </w:r>
      <w:r>
        <w:rPr>
          <w:rFonts w:eastAsia="宋体"/>
        </w:rPr>
        <w:t>杜绝鸣笛</w:t>
      </w:r>
      <w:r>
        <w:rPr>
          <w:rFonts w:hint="eastAsia" w:eastAsia="宋体"/>
        </w:rPr>
        <w:t>；</w:t>
      </w:r>
      <w:r>
        <w:rPr>
          <w:rFonts w:eastAsia="宋体"/>
        </w:rPr>
        <w:t>合理安排运输路线</w:t>
      </w:r>
      <w:r>
        <w:rPr>
          <w:rFonts w:hint="eastAsia" w:eastAsia="宋体"/>
        </w:rPr>
        <w:t>，</w:t>
      </w:r>
      <w:r>
        <w:rPr>
          <w:rFonts w:eastAsia="宋体"/>
        </w:rPr>
        <w:t>减少途经村庄等敏感点的次数</w:t>
      </w:r>
      <w:r>
        <w:rPr>
          <w:rFonts w:hint="eastAsia" w:eastAsia="宋体"/>
        </w:rPr>
        <w:t>。</w:t>
      </w:r>
    </w:p>
    <w:p>
      <w:pPr>
        <w:widowControl w:val="0"/>
        <w:adjustRightInd w:val="0"/>
        <w:spacing w:line="440" w:lineRule="exact"/>
        <w:ind w:firstLine="480" w:firstLineChars="200"/>
        <w:jc w:val="both"/>
      </w:pPr>
      <w:r>
        <w:rPr>
          <w:kern w:val="2"/>
        </w:rPr>
        <w:t>本项目施工场地距离最近的村庄</w:t>
      </w:r>
      <w:r>
        <w:rPr>
          <w:rFonts w:hint="eastAsia"/>
          <w:kern w:val="2"/>
        </w:rPr>
        <w:t>（前所村）约</w:t>
      </w:r>
      <w:r>
        <w:rPr>
          <w:kern w:val="2"/>
        </w:rPr>
        <w:t>9</w:t>
      </w:r>
      <w:r>
        <w:rPr>
          <w:rFonts w:hint="eastAsia"/>
          <w:kern w:val="2"/>
        </w:rPr>
        <w:t>3</w:t>
      </w:r>
      <w:r>
        <w:rPr>
          <w:kern w:val="2"/>
        </w:rPr>
        <w:t>0m，距离较远，经距离衰减后，项目施工不会对村庄声环境产生影响</w:t>
      </w:r>
      <w:r>
        <w:rPr>
          <w:rFonts w:hint="eastAsia"/>
          <w:kern w:val="2"/>
        </w:rPr>
        <w:t>，施工期</w:t>
      </w:r>
    </w:p>
    <w:p>
      <w:pPr>
        <w:pStyle w:val="361"/>
        <w:spacing w:line="440" w:lineRule="exact"/>
        <w:ind w:firstLineChars="200"/>
        <w:jc w:val="both"/>
        <w:rPr>
          <w:rFonts w:eastAsia="宋体"/>
        </w:rPr>
      </w:pPr>
      <w:r>
        <w:rPr>
          <w:rFonts w:eastAsia="宋体"/>
        </w:rPr>
        <w:t>4.固体废物环境污染影响分析及防治措施</w:t>
      </w:r>
    </w:p>
    <w:p>
      <w:pPr>
        <w:pStyle w:val="361"/>
        <w:spacing w:line="440" w:lineRule="exact"/>
        <w:ind w:firstLineChars="200"/>
        <w:jc w:val="both"/>
        <w:rPr>
          <w:rFonts w:eastAsia="宋体"/>
        </w:rPr>
      </w:pPr>
      <w:r>
        <w:rPr>
          <w:rFonts w:eastAsia="宋体"/>
        </w:rPr>
        <w:t>施工期固体废物主要为施工建筑垃圾、施工人员生活垃圾等。</w:t>
      </w:r>
    </w:p>
    <w:p>
      <w:pPr>
        <w:pStyle w:val="361"/>
        <w:spacing w:line="440" w:lineRule="exact"/>
        <w:ind w:firstLineChars="200"/>
        <w:jc w:val="both"/>
        <w:rPr>
          <w:rFonts w:eastAsia="宋体"/>
        </w:rPr>
      </w:pPr>
      <w:r>
        <w:rPr>
          <w:rFonts w:eastAsia="宋体"/>
        </w:rPr>
        <w:t>①施工建筑垃圾</w:t>
      </w:r>
    </w:p>
    <w:p>
      <w:pPr>
        <w:pStyle w:val="361"/>
        <w:spacing w:line="440" w:lineRule="exact"/>
        <w:ind w:firstLineChars="200"/>
        <w:jc w:val="both"/>
        <w:rPr>
          <w:rFonts w:eastAsia="宋体"/>
        </w:rPr>
      </w:pPr>
      <w:r>
        <w:rPr>
          <w:rFonts w:eastAsia="宋体"/>
        </w:rPr>
        <w:t>施工建筑垃圾主要为废弃的砖瓦石块等，本项目施工内容较少，施工建筑垃圾产生量不大，评价要求建设单位将建筑垃圾进行分类，能够回收利用的尽量回用，不能回收利用的及时进行清运，送环卫部门指定地点处置。</w:t>
      </w:r>
    </w:p>
    <w:p>
      <w:pPr>
        <w:pStyle w:val="361"/>
        <w:spacing w:line="440" w:lineRule="exact"/>
        <w:ind w:firstLineChars="200"/>
        <w:jc w:val="both"/>
        <w:rPr>
          <w:rFonts w:eastAsia="宋体"/>
        </w:rPr>
      </w:pPr>
      <w:r>
        <w:rPr>
          <w:rFonts w:eastAsia="宋体"/>
        </w:rPr>
        <w:t>②生活垃圾</w:t>
      </w:r>
    </w:p>
    <w:p>
      <w:pPr>
        <w:pStyle w:val="361"/>
        <w:spacing w:line="440" w:lineRule="exact"/>
        <w:ind w:firstLineChars="200"/>
        <w:jc w:val="both"/>
        <w:rPr>
          <w:rFonts w:eastAsia="宋体"/>
        </w:rPr>
      </w:pPr>
      <w:r>
        <w:rPr>
          <w:rFonts w:eastAsia="宋体"/>
        </w:rPr>
        <w:t>施工人员将产生一定量的生活垃圾，本项目施工量较少，生活垃圾产生量很小，集中收集后送环卫部门指定地点处置。</w:t>
      </w:r>
    </w:p>
    <w:p>
      <w:pPr>
        <w:pStyle w:val="361"/>
        <w:spacing w:line="440" w:lineRule="exact"/>
        <w:ind w:firstLineChars="200"/>
        <w:jc w:val="both"/>
        <w:rPr>
          <w:rFonts w:eastAsia="宋体"/>
        </w:rPr>
      </w:pPr>
      <w:r>
        <w:rPr>
          <w:rFonts w:eastAsia="宋体"/>
        </w:rPr>
        <w:t>5.生态环境影响分析及防治措施</w:t>
      </w:r>
    </w:p>
    <w:p>
      <w:pPr>
        <w:pStyle w:val="361"/>
        <w:spacing w:line="440" w:lineRule="exact"/>
        <w:ind w:firstLineChars="200"/>
        <w:jc w:val="both"/>
        <w:rPr>
          <w:rFonts w:eastAsia="宋体"/>
        </w:rPr>
      </w:pPr>
      <w:r>
        <w:rPr>
          <w:rFonts w:eastAsia="宋体"/>
        </w:rPr>
        <w:t>本项目</w:t>
      </w:r>
      <w:r>
        <w:rPr>
          <w:rFonts w:hint="eastAsia" w:eastAsia="宋体"/>
        </w:rPr>
        <w:t>建设过程中，</w:t>
      </w:r>
      <w:r>
        <w:rPr>
          <w:rFonts w:eastAsia="宋体"/>
        </w:rPr>
        <w:t>场地平整、土方开挖、碾压等施工活动及多余土石方的堆放，扰动表土结构，造成土壤抗蚀能力降低，同时建筑垃圾临时堆放时以及施工结束前后地表绿化工作尚未完成时，都将造成土壤裸露。遇雨时，尤其是暴雨时，将会造成水土流失。</w:t>
      </w:r>
    </w:p>
    <w:p>
      <w:pPr>
        <w:pStyle w:val="361"/>
        <w:rPr>
          <w:rFonts w:eastAsia="宋体"/>
        </w:rPr>
      </w:pPr>
      <w:r>
        <w:rPr>
          <w:rFonts w:hint="eastAsia" w:eastAsia="宋体"/>
        </w:rPr>
        <w:t>本项目施工期采取以下生态污染防治措施：</w:t>
      </w:r>
    </w:p>
    <w:p>
      <w:pPr>
        <w:pStyle w:val="361"/>
        <w:numPr>
          <w:ilvl w:val="0"/>
          <w:numId w:val="2"/>
        </w:numPr>
        <w:rPr>
          <w:rFonts w:eastAsia="宋体"/>
        </w:rPr>
      </w:pPr>
      <w:r>
        <w:rPr>
          <w:rFonts w:eastAsia="宋体"/>
        </w:rPr>
        <w:t>严格控制施工范围，施工活动严格控制在项目占地范围内</w:t>
      </w:r>
      <w:r>
        <w:rPr>
          <w:rFonts w:hint="eastAsia" w:eastAsia="宋体"/>
        </w:rPr>
        <w:t>；</w:t>
      </w:r>
    </w:p>
    <w:p>
      <w:pPr>
        <w:pStyle w:val="361"/>
        <w:numPr>
          <w:ilvl w:val="0"/>
          <w:numId w:val="2"/>
        </w:numPr>
        <w:rPr>
          <w:rFonts w:eastAsia="宋体"/>
        </w:rPr>
      </w:pPr>
      <w:r>
        <w:rPr>
          <w:rFonts w:eastAsia="宋体"/>
        </w:rPr>
        <w:t>合理安排施工时间</w:t>
      </w:r>
      <w:r>
        <w:rPr>
          <w:rFonts w:hint="eastAsia" w:eastAsia="宋体"/>
        </w:rPr>
        <w:t>，</w:t>
      </w:r>
      <w:r>
        <w:rPr>
          <w:rFonts w:eastAsia="宋体"/>
        </w:rPr>
        <w:t>尽量避开雨季和暴雨季节</w:t>
      </w:r>
      <w:r>
        <w:rPr>
          <w:rFonts w:hint="eastAsia" w:eastAsia="宋体"/>
        </w:rPr>
        <w:t>，</w:t>
      </w:r>
      <w:r>
        <w:rPr>
          <w:rFonts w:eastAsia="宋体"/>
        </w:rPr>
        <w:t>并尽量缩短施工时间</w:t>
      </w:r>
      <w:r>
        <w:rPr>
          <w:rFonts w:hint="eastAsia" w:eastAsia="宋体"/>
        </w:rPr>
        <w:t>；</w:t>
      </w:r>
    </w:p>
    <w:p>
      <w:pPr>
        <w:pStyle w:val="361"/>
        <w:numPr>
          <w:ilvl w:val="0"/>
          <w:numId w:val="2"/>
        </w:numPr>
        <w:rPr>
          <w:rFonts w:eastAsia="宋体"/>
        </w:rPr>
      </w:pPr>
      <w:r>
        <w:rPr>
          <w:rFonts w:hint="eastAsia" w:eastAsia="宋体"/>
        </w:rPr>
        <w:t>优先做好</w:t>
      </w:r>
      <w:r>
        <w:rPr>
          <w:rFonts w:eastAsia="宋体"/>
        </w:rPr>
        <w:t>排水导流工作</w:t>
      </w:r>
      <w:r>
        <w:rPr>
          <w:rFonts w:hint="eastAsia" w:eastAsia="宋体"/>
        </w:rPr>
        <w:t>，</w:t>
      </w:r>
      <w:r>
        <w:rPr>
          <w:rFonts w:eastAsia="宋体"/>
        </w:rPr>
        <w:t>减轻水流对裸露地表的冲刷</w:t>
      </w:r>
      <w:r>
        <w:rPr>
          <w:rFonts w:hint="eastAsia" w:eastAsia="宋体"/>
        </w:rPr>
        <w:t>，</w:t>
      </w:r>
      <w:r>
        <w:rPr>
          <w:rFonts w:eastAsia="宋体"/>
        </w:rPr>
        <w:t>同时</w:t>
      </w:r>
      <w:r>
        <w:rPr>
          <w:rFonts w:hint="eastAsia" w:eastAsia="宋体"/>
        </w:rPr>
        <w:t>，</w:t>
      </w:r>
      <w:r>
        <w:rPr>
          <w:rFonts w:eastAsia="宋体"/>
          <w:szCs w:val="21"/>
        </w:rPr>
        <w:t>裸露地表覆盖处理</w:t>
      </w:r>
      <w:r>
        <w:rPr>
          <w:rFonts w:hint="eastAsia" w:eastAsia="宋体"/>
          <w:szCs w:val="21"/>
        </w:rPr>
        <w:t>。</w:t>
      </w:r>
    </w:p>
    <w:p>
      <w:pPr>
        <w:pStyle w:val="361"/>
        <w:numPr>
          <w:ilvl w:val="0"/>
          <w:numId w:val="2"/>
        </w:numPr>
        <w:rPr>
          <w:rFonts w:eastAsia="宋体"/>
        </w:rPr>
      </w:pPr>
      <w:r>
        <w:rPr>
          <w:rFonts w:eastAsia="宋体"/>
        </w:rPr>
        <w:t>施工中应执行土方的开挖和堆存的操作规范，减少水土流失；</w:t>
      </w:r>
    </w:p>
    <w:p>
      <w:pPr>
        <w:pStyle w:val="361"/>
        <w:spacing w:line="440" w:lineRule="exact"/>
        <w:ind w:firstLineChars="200"/>
        <w:jc w:val="both"/>
        <w:rPr>
          <w:rFonts w:eastAsia="宋体"/>
        </w:rPr>
      </w:pPr>
      <w:r>
        <w:rPr>
          <w:rFonts w:hint="eastAsia" w:eastAsia="宋体"/>
        </w:rPr>
        <w:t>（5）</w:t>
      </w:r>
      <w:r>
        <w:rPr>
          <w:rFonts w:eastAsia="宋体"/>
        </w:rPr>
        <w:t>施工完成后及时进行绿化硬化，通过人工绿化措施使其生态环境得到恢复，减缓项目建设对周围生态环境的影响。</w:t>
      </w:r>
    </w:p>
    <w:p>
      <w:pPr>
        <w:pStyle w:val="361"/>
        <w:spacing w:line="440" w:lineRule="exact"/>
        <w:jc w:val="both"/>
        <w:rPr>
          <w:rFonts w:eastAsia="宋体"/>
        </w:rPr>
      </w:pPr>
      <w:r>
        <w:rPr>
          <w:rFonts w:eastAsia="宋体"/>
        </w:rPr>
        <w:t>施工期环境影响是暂时的，随施工期的结束而消失。</w:t>
      </w:r>
    </w:p>
    <w:p>
      <w:pPr>
        <w:widowControl w:val="0"/>
        <w:adjustRightInd w:val="0"/>
        <w:snapToGrid w:val="0"/>
        <w:spacing w:before="120" w:beforeLines="50" w:after="120" w:afterLines="50"/>
        <w:jc w:val="both"/>
        <w:outlineLvl w:val="2"/>
        <w:rPr>
          <w:b/>
          <w:kern w:val="2"/>
        </w:rPr>
      </w:pPr>
      <w:r>
        <w:rPr>
          <w:b/>
          <w:kern w:val="2"/>
        </w:rPr>
        <w:t>2.</w:t>
      </w:r>
      <w:r>
        <w:rPr>
          <w:rFonts w:hint="eastAsia"/>
          <w:b/>
          <w:kern w:val="2"/>
        </w:rPr>
        <w:t>3</w:t>
      </w:r>
      <w:r>
        <w:rPr>
          <w:b/>
          <w:kern w:val="2"/>
        </w:rPr>
        <w:t>.2施工期</w:t>
      </w:r>
      <w:r>
        <w:rPr>
          <w:rFonts w:hint="eastAsia"/>
          <w:b/>
          <w:kern w:val="2"/>
        </w:rPr>
        <w:t>污染源强核算</w:t>
      </w:r>
    </w:p>
    <w:p>
      <w:pPr>
        <w:pStyle w:val="361"/>
        <w:spacing w:line="440" w:lineRule="exact"/>
        <w:ind w:firstLineChars="200"/>
        <w:jc w:val="both"/>
        <w:rPr>
          <w:rFonts w:eastAsia="宋体"/>
        </w:rPr>
      </w:pPr>
      <w:r>
        <w:rPr>
          <w:rFonts w:hint="eastAsia" w:eastAsia="宋体"/>
        </w:rPr>
        <w:t>本项目</w:t>
      </w:r>
      <w:r>
        <w:rPr>
          <w:rFonts w:eastAsia="宋体"/>
        </w:rPr>
        <w:t>施工期工程量较少</w:t>
      </w:r>
      <w:r>
        <w:rPr>
          <w:rFonts w:hint="eastAsia" w:eastAsia="宋体"/>
        </w:rPr>
        <w:t>，施工期较短。</w:t>
      </w:r>
      <w:r>
        <w:rPr>
          <w:rFonts w:eastAsia="宋体"/>
        </w:rPr>
        <w:t>施工过程中产生的废气、废水、噪声、固废</w:t>
      </w:r>
      <w:r>
        <w:rPr>
          <w:rFonts w:hint="eastAsia" w:eastAsia="宋体"/>
        </w:rPr>
        <w:t>和生态破坏</w:t>
      </w:r>
      <w:r>
        <w:rPr>
          <w:rFonts w:eastAsia="宋体"/>
        </w:rPr>
        <w:t>等会对周围环境产生一定的影响</w:t>
      </w:r>
      <w:r>
        <w:rPr>
          <w:rFonts w:hint="eastAsia" w:eastAsia="宋体"/>
        </w:rPr>
        <w:t>，</w:t>
      </w:r>
      <w:r>
        <w:rPr>
          <w:rFonts w:eastAsia="宋体"/>
        </w:rPr>
        <w:t>但这些不利影响较为短暂</w:t>
      </w:r>
      <w:r>
        <w:rPr>
          <w:rFonts w:hint="eastAsia" w:eastAsia="宋体"/>
        </w:rPr>
        <w:t>，</w:t>
      </w:r>
      <w:r>
        <w:rPr>
          <w:rFonts w:eastAsia="宋体"/>
        </w:rPr>
        <w:t>会随着施工期的完成而结束</w:t>
      </w:r>
      <w:r>
        <w:rPr>
          <w:rFonts w:hint="eastAsia" w:eastAsia="宋体"/>
        </w:rPr>
        <w:t>。</w:t>
      </w:r>
      <w:r>
        <w:rPr>
          <w:rFonts w:eastAsia="宋体"/>
        </w:rPr>
        <w:t>因此</w:t>
      </w:r>
      <w:r>
        <w:rPr>
          <w:rFonts w:hint="eastAsia" w:eastAsia="宋体"/>
        </w:rPr>
        <w:t>，</w:t>
      </w:r>
      <w:r>
        <w:rPr>
          <w:rFonts w:eastAsia="宋体"/>
        </w:rPr>
        <w:t>评价不再对施工期产排污情况进行计算</w:t>
      </w:r>
      <w:r>
        <w:rPr>
          <w:rFonts w:hint="eastAsia" w:eastAsia="宋体"/>
        </w:rPr>
        <w:t>。</w:t>
      </w:r>
    </w:p>
    <w:p>
      <w:pPr>
        <w:widowControl w:val="0"/>
        <w:adjustRightInd w:val="0"/>
        <w:snapToGrid w:val="0"/>
        <w:spacing w:before="120" w:beforeLines="50" w:after="120" w:afterLines="50"/>
        <w:jc w:val="both"/>
        <w:outlineLvl w:val="1"/>
        <w:rPr>
          <w:b/>
          <w:kern w:val="2"/>
          <w:sz w:val="28"/>
          <w:szCs w:val="28"/>
        </w:rPr>
      </w:pPr>
      <w:bookmarkStart w:id="212" w:name="_Toc24326"/>
      <w:r>
        <w:rPr>
          <w:b/>
          <w:kern w:val="2"/>
          <w:sz w:val="28"/>
          <w:szCs w:val="28"/>
        </w:rPr>
        <w:t>2.</w:t>
      </w:r>
      <w:r>
        <w:rPr>
          <w:rFonts w:hint="eastAsia"/>
          <w:b/>
          <w:kern w:val="2"/>
          <w:sz w:val="28"/>
          <w:szCs w:val="28"/>
        </w:rPr>
        <w:t>4运营期</w:t>
      </w:r>
      <w:r>
        <w:rPr>
          <w:b/>
          <w:kern w:val="2"/>
          <w:sz w:val="28"/>
          <w:szCs w:val="28"/>
        </w:rPr>
        <w:t>影响因素分析</w:t>
      </w:r>
      <w:bookmarkEnd w:id="212"/>
    </w:p>
    <w:p>
      <w:pPr>
        <w:widowControl w:val="0"/>
        <w:adjustRightInd w:val="0"/>
        <w:snapToGrid w:val="0"/>
        <w:spacing w:before="120" w:beforeLines="50" w:after="120" w:afterLines="50"/>
        <w:jc w:val="both"/>
        <w:outlineLvl w:val="2"/>
        <w:rPr>
          <w:b/>
          <w:kern w:val="2"/>
        </w:rPr>
      </w:pPr>
      <w:r>
        <w:rPr>
          <w:b/>
          <w:kern w:val="2"/>
        </w:rPr>
        <w:t>2.</w:t>
      </w:r>
      <w:r>
        <w:rPr>
          <w:rFonts w:hint="eastAsia"/>
          <w:b/>
          <w:kern w:val="2"/>
        </w:rPr>
        <w:t>4</w:t>
      </w:r>
      <w:r>
        <w:rPr>
          <w:b/>
          <w:kern w:val="2"/>
        </w:rPr>
        <w:t>.1</w:t>
      </w:r>
      <w:r>
        <w:rPr>
          <w:rFonts w:hint="eastAsia"/>
          <w:b/>
          <w:kern w:val="2"/>
        </w:rPr>
        <w:t>运营期主要产污环节分析</w:t>
      </w:r>
    </w:p>
    <w:p>
      <w:pPr>
        <w:pStyle w:val="36"/>
        <w:ind w:firstLine="480"/>
        <w:rPr>
          <w:rFonts w:eastAsiaTheme="minorEastAsia"/>
          <w:sz w:val="24"/>
        </w:rPr>
      </w:pPr>
      <w:r>
        <w:rPr>
          <w:rFonts w:hint="eastAsia" w:eastAsiaTheme="minorEastAsia"/>
          <w:sz w:val="24"/>
        </w:rPr>
        <w:t>1、废气</w:t>
      </w:r>
    </w:p>
    <w:p>
      <w:pPr>
        <w:pStyle w:val="36"/>
        <w:ind w:firstLine="480"/>
        <w:rPr>
          <w:rFonts w:eastAsiaTheme="minorEastAsia"/>
          <w:sz w:val="24"/>
        </w:rPr>
      </w:pPr>
      <w:r>
        <w:rPr>
          <w:rFonts w:hint="eastAsia" w:eastAsiaTheme="minorEastAsia"/>
          <w:sz w:val="24"/>
        </w:rPr>
        <w:t>（1）采装作业粉尘</w:t>
      </w:r>
    </w:p>
    <w:p>
      <w:pPr>
        <w:pStyle w:val="36"/>
        <w:ind w:firstLine="480"/>
        <w:rPr>
          <w:rFonts w:eastAsiaTheme="minorEastAsia"/>
          <w:sz w:val="24"/>
        </w:rPr>
      </w:pPr>
      <w:r>
        <w:rPr>
          <w:rFonts w:hint="eastAsia" w:eastAsiaTheme="minorEastAsia"/>
          <w:sz w:val="24"/>
        </w:rPr>
        <w:t>（2）排土场粉尘</w:t>
      </w:r>
    </w:p>
    <w:p>
      <w:pPr>
        <w:pStyle w:val="36"/>
        <w:ind w:firstLine="480"/>
        <w:rPr>
          <w:rFonts w:eastAsiaTheme="minorEastAsia"/>
          <w:sz w:val="24"/>
        </w:rPr>
      </w:pPr>
      <w:r>
        <w:rPr>
          <w:rFonts w:hint="eastAsia" w:eastAsiaTheme="minorEastAsia"/>
          <w:sz w:val="24"/>
        </w:rPr>
        <w:t>（3）原料库粉尘</w:t>
      </w:r>
    </w:p>
    <w:p>
      <w:pPr>
        <w:pStyle w:val="36"/>
        <w:ind w:firstLine="480"/>
        <w:rPr>
          <w:rFonts w:eastAsiaTheme="minorEastAsia"/>
          <w:sz w:val="24"/>
        </w:rPr>
      </w:pPr>
      <w:r>
        <w:rPr>
          <w:rFonts w:hint="eastAsia" w:eastAsiaTheme="minorEastAsia"/>
          <w:sz w:val="24"/>
        </w:rPr>
        <w:t>（4）道路运输扬尘</w:t>
      </w:r>
    </w:p>
    <w:p>
      <w:pPr>
        <w:pStyle w:val="36"/>
        <w:ind w:firstLine="480"/>
        <w:rPr>
          <w:rFonts w:eastAsiaTheme="minorEastAsia"/>
          <w:sz w:val="24"/>
        </w:rPr>
      </w:pPr>
      <w:r>
        <w:rPr>
          <w:rFonts w:hint="eastAsia" w:eastAsiaTheme="minorEastAsia"/>
          <w:sz w:val="24"/>
        </w:rPr>
        <w:t>2、废水</w:t>
      </w:r>
    </w:p>
    <w:p>
      <w:pPr>
        <w:pStyle w:val="36"/>
        <w:ind w:firstLine="480"/>
        <w:rPr>
          <w:rFonts w:eastAsiaTheme="minorEastAsia"/>
          <w:sz w:val="24"/>
        </w:rPr>
      </w:pPr>
      <w:r>
        <w:rPr>
          <w:rFonts w:hint="eastAsia" w:eastAsiaTheme="minorEastAsia"/>
          <w:sz w:val="24"/>
        </w:rPr>
        <w:t>（1）职工生活污水</w:t>
      </w:r>
    </w:p>
    <w:p>
      <w:pPr>
        <w:pStyle w:val="36"/>
        <w:ind w:firstLine="480"/>
        <w:rPr>
          <w:rFonts w:eastAsiaTheme="minorEastAsia"/>
          <w:sz w:val="24"/>
        </w:rPr>
      </w:pPr>
      <w:r>
        <w:rPr>
          <w:rFonts w:hint="eastAsia" w:eastAsiaTheme="minorEastAsia"/>
          <w:sz w:val="24"/>
        </w:rPr>
        <w:t>（2）洗车废水</w:t>
      </w:r>
    </w:p>
    <w:p>
      <w:pPr>
        <w:pStyle w:val="36"/>
        <w:ind w:firstLine="480"/>
        <w:rPr>
          <w:rFonts w:eastAsiaTheme="minorEastAsia"/>
          <w:sz w:val="24"/>
        </w:rPr>
      </w:pPr>
      <w:r>
        <w:rPr>
          <w:rFonts w:hint="eastAsia" w:eastAsiaTheme="minorEastAsia"/>
          <w:sz w:val="24"/>
        </w:rPr>
        <w:t>3、噪声</w:t>
      </w:r>
    </w:p>
    <w:p>
      <w:pPr>
        <w:pStyle w:val="36"/>
        <w:ind w:firstLine="480"/>
        <w:rPr>
          <w:rFonts w:eastAsiaTheme="minorEastAsia"/>
          <w:sz w:val="24"/>
        </w:rPr>
      </w:pPr>
      <w:r>
        <w:rPr>
          <w:rFonts w:hint="eastAsia" w:eastAsiaTheme="minorEastAsia"/>
          <w:sz w:val="24"/>
        </w:rPr>
        <w:t>本项目运营期噪声主要来源于挖掘机、装载机、雾炮机、水泵等设备噪声和运输车辆噪声。</w:t>
      </w:r>
    </w:p>
    <w:p>
      <w:pPr>
        <w:pStyle w:val="36"/>
        <w:ind w:firstLine="480"/>
        <w:rPr>
          <w:rFonts w:eastAsiaTheme="minorEastAsia"/>
          <w:sz w:val="24"/>
        </w:rPr>
      </w:pPr>
      <w:r>
        <w:rPr>
          <w:rFonts w:hint="eastAsia" w:eastAsiaTheme="minorEastAsia"/>
          <w:sz w:val="24"/>
        </w:rPr>
        <w:t>4、固体废物</w:t>
      </w:r>
    </w:p>
    <w:p>
      <w:pPr>
        <w:pStyle w:val="36"/>
        <w:ind w:firstLine="480"/>
        <w:rPr>
          <w:rFonts w:ascii="宋体" w:hAnsi="宋体" w:eastAsia="宋体" w:cs="宋体"/>
          <w:sz w:val="24"/>
        </w:rPr>
      </w:pPr>
      <w:r>
        <w:rPr>
          <w:rFonts w:hint="eastAsia" w:ascii="宋体" w:hAnsi="宋体" w:eastAsia="宋体" w:cs="宋体"/>
          <w:sz w:val="24"/>
        </w:rPr>
        <w:t>（1）开采剥离土</w:t>
      </w:r>
    </w:p>
    <w:p>
      <w:pPr>
        <w:pStyle w:val="36"/>
        <w:ind w:firstLine="480"/>
        <w:rPr>
          <w:rFonts w:ascii="宋体" w:hAnsi="宋体" w:eastAsia="宋体" w:cs="宋体"/>
          <w:sz w:val="24"/>
        </w:rPr>
      </w:pPr>
      <w:r>
        <w:rPr>
          <w:rFonts w:hint="eastAsia" w:ascii="宋体" w:hAnsi="宋体" w:eastAsia="宋体" w:cs="宋体"/>
          <w:sz w:val="24"/>
        </w:rPr>
        <w:t>（2）职工生活产生的生活垃圾</w:t>
      </w:r>
    </w:p>
    <w:p>
      <w:pPr>
        <w:pStyle w:val="36"/>
        <w:ind w:firstLine="480"/>
        <w:rPr>
          <w:rFonts w:ascii="宋体" w:hAnsi="宋体" w:eastAsia="宋体" w:cs="宋体"/>
          <w:sz w:val="24"/>
        </w:rPr>
      </w:pPr>
      <w:r>
        <w:rPr>
          <w:rFonts w:hint="eastAsia" w:ascii="宋体" w:hAnsi="宋体" w:eastAsia="宋体" w:cs="宋体"/>
          <w:sz w:val="24"/>
        </w:rPr>
        <w:t>（3）设备维修产生的废机油</w:t>
      </w:r>
    </w:p>
    <w:p>
      <w:pPr>
        <w:pStyle w:val="36"/>
        <w:ind w:firstLine="480"/>
        <w:rPr>
          <w:rFonts w:eastAsia="宋体"/>
          <w:sz w:val="24"/>
        </w:rPr>
      </w:pPr>
      <w:r>
        <w:rPr>
          <w:rFonts w:eastAsia="宋体"/>
          <w:sz w:val="24"/>
        </w:rPr>
        <w:t>5、生态环境</w:t>
      </w:r>
    </w:p>
    <w:p>
      <w:pPr>
        <w:pStyle w:val="36"/>
        <w:ind w:firstLine="480"/>
        <w:rPr>
          <w:rFonts w:ascii="宋体" w:hAnsi="宋体" w:eastAsia="宋体" w:cs="宋体"/>
          <w:sz w:val="24"/>
        </w:rPr>
      </w:pPr>
      <w:r>
        <w:rPr>
          <w:rFonts w:hint="eastAsia" w:ascii="宋体" w:hAnsi="宋体" w:eastAsia="宋体" w:cs="宋体"/>
          <w:sz w:val="24"/>
        </w:rPr>
        <w:t>项目运营期生态影响主要体现在</w:t>
      </w:r>
    </w:p>
    <w:p>
      <w:pPr>
        <w:pStyle w:val="36"/>
        <w:numPr>
          <w:ilvl w:val="0"/>
          <w:numId w:val="3"/>
        </w:numPr>
        <w:ind w:firstLine="480"/>
        <w:rPr>
          <w:rFonts w:eastAsia="宋体"/>
          <w:sz w:val="24"/>
        </w:rPr>
      </w:pPr>
      <w:r>
        <w:rPr>
          <w:rFonts w:eastAsia="宋体"/>
          <w:sz w:val="24"/>
        </w:rPr>
        <w:t>粘土矿区挖损地表，破坏地表植被，加剧区域水土流失，改变了区域景观格局，造成区域生态系统稳定性下降。</w:t>
      </w:r>
    </w:p>
    <w:p>
      <w:pPr>
        <w:pStyle w:val="36"/>
        <w:numPr>
          <w:ilvl w:val="0"/>
          <w:numId w:val="3"/>
        </w:numPr>
        <w:ind w:firstLine="480"/>
        <w:rPr>
          <w:rFonts w:eastAsia="宋体"/>
          <w:sz w:val="24"/>
        </w:rPr>
      </w:pPr>
      <w:r>
        <w:rPr>
          <w:rFonts w:hint="eastAsia" w:eastAsia="宋体"/>
          <w:sz w:val="24"/>
        </w:rPr>
        <w:t>粘土开采、装卸、储存和运输等工序产生的无组织粉尘对周边生态环境产生影响。</w:t>
      </w:r>
    </w:p>
    <w:p>
      <w:pPr>
        <w:widowControl w:val="0"/>
        <w:adjustRightInd w:val="0"/>
        <w:snapToGrid w:val="0"/>
        <w:spacing w:before="120" w:beforeLines="50" w:after="120" w:afterLines="50"/>
        <w:jc w:val="both"/>
        <w:outlineLvl w:val="2"/>
        <w:rPr>
          <w:b/>
          <w:kern w:val="2"/>
        </w:rPr>
      </w:pPr>
      <w:r>
        <w:rPr>
          <w:b/>
          <w:kern w:val="2"/>
        </w:rPr>
        <w:t>2.</w:t>
      </w:r>
      <w:r>
        <w:rPr>
          <w:rFonts w:hint="eastAsia"/>
          <w:b/>
          <w:kern w:val="2"/>
        </w:rPr>
        <w:t>4</w:t>
      </w:r>
      <w:r>
        <w:rPr>
          <w:b/>
          <w:kern w:val="2"/>
        </w:rPr>
        <w:t>.</w:t>
      </w:r>
      <w:r>
        <w:rPr>
          <w:rFonts w:hint="eastAsia"/>
          <w:b/>
          <w:kern w:val="2"/>
        </w:rPr>
        <w:t>2运营期污染源强核算及生态影响分析</w:t>
      </w:r>
    </w:p>
    <w:p>
      <w:pPr>
        <w:pStyle w:val="36"/>
        <w:ind w:firstLine="480"/>
        <w:rPr>
          <w:rFonts w:ascii="宋体" w:hAnsi="宋体" w:eastAsia="宋体" w:cs="宋体"/>
          <w:sz w:val="24"/>
        </w:rPr>
      </w:pPr>
      <w:r>
        <w:rPr>
          <w:rFonts w:hint="eastAsia" w:ascii="宋体" w:hAnsi="宋体" w:eastAsia="宋体" w:cs="宋体"/>
          <w:sz w:val="24"/>
        </w:rPr>
        <w:t>1、废气污染源强核算</w:t>
      </w:r>
    </w:p>
    <w:p>
      <w:pPr>
        <w:pStyle w:val="36"/>
        <w:ind w:firstLine="480"/>
        <w:rPr>
          <w:rFonts w:ascii="宋体" w:hAnsi="宋体" w:eastAsia="宋体" w:cs="宋体"/>
          <w:sz w:val="24"/>
        </w:rPr>
      </w:pPr>
      <w:r>
        <w:rPr>
          <w:rFonts w:hint="eastAsia" w:ascii="宋体" w:hAnsi="宋体" w:eastAsia="宋体" w:cs="宋体"/>
          <w:sz w:val="24"/>
        </w:rPr>
        <w:t>（1）采装作业粉尘</w:t>
      </w:r>
    </w:p>
    <w:p>
      <w:pPr>
        <w:pStyle w:val="361"/>
        <w:spacing w:line="440" w:lineRule="exact"/>
        <w:ind w:firstLineChars="200"/>
        <w:jc w:val="both"/>
        <w:rPr>
          <w:rFonts w:eastAsia="宋体"/>
        </w:rPr>
      </w:pPr>
      <w:r>
        <w:rPr>
          <w:rFonts w:eastAsia="宋体"/>
        </w:rPr>
        <w:t>本项目粘土在采掘和铲装作业过程中会产生一定量的扬尘</w:t>
      </w:r>
      <w:r>
        <w:rPr>
          <w:rFonts w:hint="eastAsia" w:eastAsia="宋体"/>
        </w:rPr>
        <w:t>，</w:t>
      </w:r>
      <w:r>
        <w:rPr>
          <w:rFonts w:eastAsia="宋体"/>
        </w:rPr>
        <w:t>起尘量按</w:t>
      </w:r>
      <w:r>
        <w:rPr>
          <w:rFonts w:hint="eastAsia" w:eastAsia="宋体"/>
          <w:lang w:eastAsia="zh-CN"/>
        </w:rPr>
        <w:t>交通运输部</w:t>
      </w:r>
      <w:r>
        <w:rPr>
          <w:rFonts w:eastAsia="宋体"/>
        </w:rPr>
        <w:t>水运研究所和武汉水运工程学院提出的</w:t>
      </w:r>
      <w:r>
        <w:rPr>
          <w:rFonts w:hint="eastAsia" w:eastAsia="宋体"/>
        </w:rPr>
        <w:t>采装</w:t>
      </w:r>
      <w:r>
        <w:rPr>
          <w:rFonts w:eastAsia="宋体"/>
        </w:rPr>
        <w:t>起尘量的经验公式进行估算</w:t>
      </w:r>
      <w:r>
        <w:rPr>
          <w:rFonts w:hint="eastAsia" w:eastAsia="宋体"/>
        </w:rPr>
        <w:t>。</w:t>
      </w:r>
    </w:p>
    <w:p>
      <w:pPr>
        <w:pStyle w:val="361"/>
        <w:spacing w:line="440" w:lineRule="exact"/>
        <w:ind w:firstLineChars="200"/>
        <w:jc w:val="both"/>
        <w:rPr>
          <w:rFonts w:eastAsia="宋体"/>
          <w:szCs w:val="28"/>
        </w:rPr>
      </w:pPr>
      <w:r>
        <w:rPr>
          <w:rFonts w:eastAsia="宋体"/>
          <w:szCs w:val="20"/>
        </w:rPr>
        <w:t>采装扬尘量计算公式如下：</w:t>
      </w:r>
    </w:p>
    <w:p>
      <w:pPr>
        <w:pStyle w:val="361"/>
        <w:spacing w:line="240" w:lineRule="auto"/>
        <w:ind w:firstLineChars="200"/>
        <w:jc w:val="both"/>
        <w:rPr>
          <w:rFonts w:eastAsia="宋体"/>
        </w:rPr>
      </w:pPr>
      <w:r>
        <w:rPr>
          <w:rFonts w:hint="eastAsia" w:eastAsia="宋体"/>
          <w:position w:val="-14"/>
        </w:rPr>
        <w:object>
          <v:shape id="_x0000_i1026" o:spt="75" type="#_x0000_t75" style="height:22pt;width:123pt;" o:ole="t" filled="f" o:preferrelative="t" stroked="f" coordsize="21600,21600">
            <v:path/>
            <v:fill on="f" focussize="0,0"/>
            <v:stroke on="f" joinstyle="miter"/>
            <v:imagedata r:id="rId34" o:title=""/>
            <o:lock v:ext="edit" aspectratio="t"/>
            <w10:wrap type="none"/>
            <w10:anchorlock/>
          </v:shape>
          <o:OLEObject Type="Embed" ProgID="Equation.3" ShapeID="_x0000_i1026" DrawAspect="Content" ObjectID="_1468075726" r:id="rId33">
            <o:LockedField>false</o:LockedField>
          </o:OLEObject>
        </w:object>
      </w:r>
    </w:p>
    <w:p>
      <w:pPr>
        <w:pStyle w:val="361"/>
        <w:spacing w:line="440" w:lineRule="exact"/>
        <w:ind w:firstLineChars="200"/>
        <w:jc w:val="both"/>
        <w:rPr>
          <w:rFonts w:eastAsia="宋体"/>
          <w:b/>
        </w:rPr>
      </w:pPr>
      <w:r>
        <w:rPr>
          <w:rFonts w:eastAsia="宋体"/>
        </w:rPr>
        <w:t>式中：Q</w:t>
      </w:r>
      <w:r>
        <w:rPr>
          <w:rFonts w:eastAsia="宋体"/>
          <w:vertAlign w:val="subscript"/>
        </w:rPr>
        <w:t>1</w:t>
      </w:r>
      <w:r>
        <w:rPr>
          <w:rFonts w:eastAsia="宋体"/>
        </w:rPr>
        <w:t>——为</w:t>
      </w:r>
      <w:r>
        <w:rPr>
          <w:rFonts w:hint="eastAsia" w:eastAsia="宋体"/>
        </w:rPr>
        <w:t>采装扬尘</w:t>
      </w:r>
      <w:r>
        <w:rPr>
          <w:rFonts w:eastAsia="宋体"/>
        </w:rPr>
        <w:t>量</w:t>
      </w:r>
      <w:r>
        <w:rPr>
          <w:rFonts w:hint="eastAsia" w:eastAsia="宋体"/>
        </w:rPr>
        <w:t>，</w:t>
      </w:r>
      <w:r>
        <w:rPr>
          <w:rFonts w:eastAsia="宋体"/>
        </w:rPr>
        <w:t>kg/</w:t>
      </w:r>
      <w:r>
        <w:rPr>
          <w:rFonts w:hint="eastAsia" w:eastAsia="宋体"/>
        </w:rPr>
        <w:t>t；</w:t>
      </w:r>
    </w:p>
    <w:p>
      <w:pPr>
        <w:pStyle w:val="361"/>
        <w:spacing w:line="440" w:lineRule="exact"/>
        <w:ind w:firstLineChars="200"/>
        <w:jc w:val="both"/>
        <w:rPr>
          <w:rFonts w:eastAsia="宋体"/>
        </w:rPr>
      </w:pPr>
      <w:r>
        <w:rPr>
          <w:rFonts w:eastAsia="宋体"/>
        </w:rPr>
        <w:t>u——平均风速</w:t>
      </w:r>
      <w:r>
        <w:rPr>
          <w:rFonts w:hint="eastAsia" w:eastAsia="宋体"/>
        </w:rPr>
        <w:t>，</w:t>
      </w:r>
      <w:r>
        <w:rPr>
          <w:rFonts w:eastAsia="宋体"/>
        </w:rPr>
        <w:t>m/s</w:t>
      </w:r>
      <w:r>
        <w:rPr>
          <w:rFonts w:hint="eastAsia" w:eastAsia="宋体"/>
        </w:rPr>
        <w:t>；</w:t>
      </w:r>
      <w:r>
        <w:rPr>
          <w:rFonts w:eastAsia="宋体"/>
        </w:rPr>
        <w:t>取1.9</w:t>
      </w:r>
    </w:p>
    <w:p>
      <w:pPr>
        <w:pStyle w:val="361"/>
        <w:spacing w:line="440" w:lineRule="exact"/>
        <w:ind w:firstLineChars="200"/>
        <w:jc w:val="both"/>
        <w:rPr>
          <w:rFonts w:eastAsia="宋体"/>
        </w:rPr>
      </w:pPr>
      <w:r>
        <w:rPr>
          <w:rFonts w:eastAsia="宋体"/>
        </w:rPr>
        <w:t>H——物料落差</w:t>
      </w:r>
      <w:r>
        <w:rPr>
          <w:rFonts w:hint="eastAsia" w:eastAsia="宋体"/>
        </w:rPr>
        <w:t>，</w:t>
      </w:r>
      <w:r>
        <w:rPr>
          <w:rFonts w:eastAsia="宋体"/>
        </w:rPr>
        <w:t>m</w:t>
      </w:r>
      <w:r>
        <w:rPr>
          <w:rFonts w:hint="eastAsia" w:eastAsia="宋体"/>
        </w:rPr>
        <w:t>；</w:t>
      </w:r>
      <w:r>
        <w:rPr>
          <w:rFonts w:eastAsia="宋体"/>
        </w:rPr>
        <w:t>取1.</w:t>
      </w:r>
      <w:r>
        <w:rPr>
          <w:rFonts w:hint="eastAsia" w:eastAsia="宋体"/>
        </w:rPr>
        <w:t>0</w:t>
      </w:r>
    </w:p>
    <w:p>
      <w:pPr>
        <w:pStyle w:val="361"/>
        <w:spacing w:line="440" w:lineRule="exact"/>
        <w:ind w:firstLineChars="200"/>
        <w:jc w:val="both"/>
        <w:rPr>
          <w:rFonts w:eastAsia="宋体"/>
        </w:rPr>
      </w:pPr>
      <w:r>
        <w:rPr>
          <w:rFonts w:eastAsia="宋体"/>
        </w:rPr>
        <w:t>w——物料含水率</w:t>
      </w:r>
      <w:r>
        <w:rPr>
          <w:rFonts w:hint="eastAsia" w:eastAsia="宋体"/>
        </w:rPr>
        <w:t>，</w:t>
      </w:r>
      <w:r>
        <w:rPr>
          <w:rFonts w:eastAsia="宋体"/>
        </w:rPr>
        <w:t>10%</w:t>
      </w:r>
      <w:r>
        <w:rPr>
          <w:rFonts w:hint="eastAsia" w:eastAsia="宋体"/>
        </w:rPr>
        <w:t>。</w:t>
      </w:r>
    </w:p>
    <w:p>
      <w:pPr>
        <w:pStyle w:val="361"/>
        <w:spacing w:line="440" w:lineRule="exact"/>
        <w:ind w:firstLineChars="200"/>
        <w:jc w:val="both"/>
        <w:rPr>
          <w:rFonts w:eastAsia="宋体"/>
          <w:szCs w:val="20"/>
        </w:rPr>
      </w:pPr>
      <w:bookmarkStart w:id="213" w:name="_Hlk520021403"/>
      <w:r>
        <w:rPr>
          <w:rFonts w:eastAsia="宋体"/>
          <w:szCs w:val="20"/>
        </w:rPr>
        <w:t>由上述</w:t>
      </w:r>
      <w:r>
        <w:rPr>
          <w:rFonts w:eastAsia="宋体"/>
        </w:rPr>
        <w:t>公式</w:t>
      </w:r>
      <w:r>
        <w:rPr>
          <w:rFonts w:eastAsia="宋体"/>
          <w:szCs w:val="20"/>
        </w:rPr>
        <w:t>计算可知</w:t>
      </w:r>
      <w:r>
        <w:rPr>
          <w:rFonts w:hint="eastAsia" w:eastAsia="宋体"/>
          <w:szCs w:val="20"/>
        </w:rPr>
        <w:t>，</w:t>
      </w:r>
      <w:r>
        <w:rPr>
          <w:rFonts w:eastAsia="宋体"/>
        </w:rPr>
        <w:t>采装</w:t>
      </w:r>
      <w:r>
        <w:rPr>
          <w:rFonts w:hint="eastAsia" w:eastAsia="宋体"/>
        </w:rPr>
        <w:t>扬尘量为0.08kg/t，本项目采装量总计约29700t，则采装</w:t>
      </w:r>
      <w:r>
        <w:rPr>
          <w:rFonts w:eastAsia="宋体"/>
        </w:rPr>
        <w:t>作业</w:t>
      </w:r>
      <w:r>
        <w:rPr>
          <w:rFonts w:eastAsia="宋体"/>
          <w:szCs w:val="20"/>
        </w:rPr>
        <w:t>过程中</w:t>
      </w:r>
      <w:r>
        <w:rPr>
          <w:rFonts w:hint="eastAsia" w:eastAsia="宋体"/>
          <w:szCs w:val="20"/>
        </w:rPr>
        <w:t>粉</w:t>
      </w:r>
      <w:r>
        <w:rPr>
          <w:rFonts w:eastAsia="宋体"/>
          <w:szCs w:val="20"/>
        </w:rPr>
        <w:t>尘产生量为</w:t>
      </w:r>
      <w:r>
        <w:rPr>
          <w:rFonts w:hint="eastAsia" w:eastAsia="宋体"/>
          <w:szCs w:val="20"/>
        </w:rPr>
        <w:t>2.38</w:t>
      </w:r>
      <w:r>
        <w:rPr>
          <w:rFonts w:eastAsia="宋体"/>
          <w:szCs w:val="20"/>
        </w:rPr>
        <w:t>t/a</w:t>
      </w:r>
      <w:r>
        <w:rPr>
          <w:rFonts w:hint="eastAsia" w:eastAsia="宋体"/>
          <w:szCs w:val="20"/>
        </w:rPr>
        <w:t>。</w:t>
      </w:r>
      <w:r>
        <w:rPr>
          <w:rFonts w:eastAsia="宋体"/>
        </w:rPr>
        <w:t>评价要求</w:t>
      </w:r>
      <w:r>
        <w:rPr>
          <w:rFonts w:hint="eastAsia" w:eastAsia="宋体"/>
        </w:rPr>
        <w:t>采装作业区</w:t>
      </w:r>
      <w:r>
        <w:rPr>
          <w:rFonts w:eastAsia="宋体"/>
          <w:szCs w:val="21"/>
        </w:rPr>
        <w:t>设置移动雾炮机</w:t>
      </w:r>
      <w:r>
        <w:rPr>
          <w:rFonts w:hint="eastAsia" w:eastAsia="宋体"/>
          <w:szCs w:val="21"/>
        </w:rPr>
        <w:t>，</w:t>
      </w:r>
      <w:r>
        <w:rPr>
          <w:rFonts w:eastAsia="宋体"/>
        </w:rPr>
        <w:t>进行全覆盖喷雾抑尘</w:t>
      </w:r>
      <w:r>
        <w:rPr>
          <w:rFonts w:hint="eastAsia" w:eastAsia="宋体"/>
        </w:rPr>
        <w:t>，</w:t>
      </w:r>
      <w:r>
        <w:rPr>
          <w:rFonts w:eastAsia="宋体"/>
        </w:rPr>
        <w:t>抑尘效率</w:t>
      </w:r>
      <w:r>
        <w:rPr>
          <w:rFonts w:hint="eastAsia" w:eastAsia="宋体"/>
        </w:rPr>
        <w:t>约</w:t>
      </w:r>
      <w:r>
        <w:rPr>
          <w:rFonts w:eastAsia="宋体"/>
        </w:rPr>
        <w:t>为</w:t>
      </w:r>
      <w:r>
        <w:rPr>
          <w:rFonts w:hint="eastAsia" w:eastAsia="宋体"/>
        </w:rPr>
        <w:t>9</w:t>
      </w:r>
      <w:r>
        <w:rPr>
          <w:rFonts w:eastAsia="宋体"/>
        </w:rPr>
        <w:t>0%</w:t>
      </w:r>
      <w:r>
        <w:rPr>
          <w:rFonts w:hint="eastAsia" w:eastAsia="宋体"/>
        </w:rPr>
        <w:t>，</w:t>
      </w:r>
      <w:r>
        <w:rPr>
          <w:rFonts w:eastAsia="宋体"/>
        </w:rPr>
        <w:t>则本项目</w:t>
      </w:r>
      <w:r>
        <w:rPr>
          <w:rFonts w:hint="eastAsia" w:eastAsia="宋体"/>
        </w:rPr>
        <w:t>采</w:t>
      </w:r>
      <w:r>
        <w:rPr>
          <w:rFonts w:eastAsia="宋体"/>
        </w:rPr>
        <w:t>装作业粉尘排放量为0.</w:t>
      </w:r>
      <w:r>
        <w:rPr>
          <w:rFonts w:hint="eastAsia" w:eastAsia="宋体"/>
        </w:rPr>
        <w:t>238</w:t>
      </w:r>
      <w:r>
        <w:rPr>
          <w:rFonts w:eastAsia="宋体"/>
        </w:rPr>
        <w:t>t/a</w:t>
      </w:r>
      <w:r>
        <w:rPr>
          <w:rFonts w:hint="eastAsia" w:eastAsia="宋体"/>
        </w:rPr>
        <w:t>。</w:t>
      </w:r>
    </w:p>
    <w:bookmarkEnd w:id="213"/>
    <w:p>
      <w:pPr>
        <w:pStyle w:val="36"/>
        <w:ind w:firstLine="480"/>
        <w:rPr>
          <w:rFonts w:ascii="宋体" w:hAnsi="宋体" w:eastAsia="宋体" w:cs="宋体"/>
          <w:sz w:val="24"/>
        </w:rPr>
      </w:pPr>
      <w:r>
        <w:rPr>
          <w:rFonts w:hint="eastAsia" w:ascii="宋体" w:hAnsi="宋体" w:eastAsia="宋体" w:cs="宋体"/>
          <w:sz w:val="24"/>
        </w:rPr>
        <w:t>（2）排土场粉尘</w:t>
      </w:r>
    </w:p>
    <w:p>
      <w:pPr>
        <w:pStyle w:val="36"/>
        <w:ind w:firstLine="480"/>
        <w:rPr>
          <w:rFonts w:ascii="宋体" w:hAnsi="宋体" w:eastAsia="宋体" w:cs="宋体"/>
          <w:sz w:val="24"/>
        </w:rPr>
      </w:pPr>
      <w:r>
        <w:rPr>
          <w:rFonts w:hint="eastAsia" w:ascii="宋体" w:hAnsi="宋体" w:eastAsia="宋体" w:cs="宋体"/>
          <w:sz w:val="24"/>
        </w:rPr>
        <w:t>本项目矿区内设排土场，用于储存开采剥离土，后期用于土地复垦。其中，表土需在排土场内单独设置堆存区。本项目排土场内堆土全部使用防尘网进行遮挡覆盖，排土堆存过程产生粉尘可忽略不计，排土场粉尘主要来源于汽车卸料过程。</w:t>
      </w:r>
    </w:p>
    <w:p>
      <w:pPr>
        <w:pStyle w:val="36"/>
        <w:ind w:firstLine="480"/>
        <w:rPr>
          <w:rFonts w:eastAsia="宋体"/>
          <w:sz w:val="24"/>
        </w:rPr>
      </w:pPr>
      <w:r>
        <w:rPr>
          <w:rFonts w:eastAsia="宋体"/>
          <w:sz w:val="24"/>
        </w:rPr>
        <w:t>原料卸料起尘量采用以下公式计算：</w:t>
      </w:r>
    </w:p>
    <w:p>
      <w:pPr>
        <w:pStyle w:val="36"/>
        <w:ind w:firstLine="480"/>
        <w:rPr>
          <w:rFonts w:eastAsia="宋体"/>
          <w:sz w:val="24"/>
        </w:rPr>
      </w:pPr>
      <w:r>
        <w:rPr>
          <w:rFonts w:eastAsia="宋体"/>
          <w:sz w:val="24"/>
        </w:rPr>
        <w:t>Q=0.003M·U</w:t>
      </w:r>
      <w:r>
        <w:rPr>
          <w:rFonts w:eastAsia="宋体"/>
          <w:sz w:val="24"/>
          <w:vertAlign w:val="superscript"/>
        </w:rPr>
        <w:t>1.6</w:t>
      </w:r>
      <w:r>
        <w:rPr>
          <w:rFonts w:eastAsia="宋体"/>
          <w:sz w:val="24"/>
        </w:rPr>
        <w:t>·e</w:t>
      </w:r>
      <w:r>
        <w:rPr>
          <w:rFonts w:eastAsia="宋体"/>
          <w:sz w:val="24"/>
          <w:vertAlign w:val="superscript"/>
        </w:rPr>
        <w:t>-0.28w</w:t>
      </w:r>
      <w:r>
        <w:rPr>
          <w:rFonts w:eastAsia="宋体"/>
          <w:sz w:val="24"/>
        </w:rPr>
        <w:t>·H</w:t>
      </w:r>
      <w:r>
        <w:rPr>
          <w:rFonts w:eastAsia="宋体"/>
          <w:sz w:val="24"/>
          <w:vertAlign w:val="superscript"/>
        </w:rPr>
        <w:t xml:space="preserve">1.23 </w:t>
      </w:r>
    </w:p>
    <w:p>
      <w:pPr>
        <w:pStyle w:val="36"/>
        <w:ind w:firstLine="480"/>
        <w:rPr>
          <w:rFonts w:eastAsia="宋体"/>
          <w:sz w:val="24"/>
        </w:rPr>
      </w:pPr>
      <w:r>
        <w:rPr>
          <w:rFonts w:eastAsia="宋体"/>
          <w:sz w:val="24"/>
        </w:rPr>
        <w:t xml:space="preserve">式中：Q——装卸起尘（kg/次）； </w:t>
      </w:r>
    </w:p>
    <w:p>
      <w:pPr>
        <w:pStyle w:val="36"/>
        <w:ind w:firstLine="480"/>
        <w:rPr>
          <w:rFonts w:eastAsia="宋体"/>
          <w:sz w:val="24"/>
        </w:rPr>
      </w:pPr>
      <w:r>
        <w:rPr>
          <w:rFonts w:eastAsia="宋体"/>
          <w:sz w:val="24"/>
        </w:rPr>
        <w:t>U ——风速（m/s），取1.</w:t>
      </w:r>
      <w:r>
        <w:rPr>
          <w:rFonts w:hint="eastAsia" w:eastAsia="宋体"/>
          <w:sz w:val="24"/>
        </w:rPr>
        <w:t>9</w:t>
      </w:r>
      <w:r>
        <w:rPr>
          <w:rFonts w:eastAsia="宋体"/>
          <w:sz w:val="24"/>
        </w:rPr>
        <w:t>；</w:t>
      </w:r>
    </w:p>
    <w:p>
      <w:pPr>
        <w:pStyle w:val="36"/>
        <w:ind w:firstLine="480"/>
        <w:rPr>
          <w:rFonts w:eastAsia="宋体"/>
          <w:sz w:val="24"/>
        </w:rPr>
      </w:pPr>
      <w:r>
        <w:rPr>
          <w:rFonts w:eastAsia="宋体"/>
          <w:sz w:val="24"/>
        </w:rPr>
        <w:t>W ——</w:t>
      </w:r>
      <w:r>
        <w:rPr>
          <w:rFonts w:hint="eastAsia" w:eastAsia="宋体"/>
          <w:sz w:val="24"/>
        </w:rPr>
        <w:t>物料含水率</w:t>
      </w:r>
      <w:r>
        <w:rPr>
          <w:rFonts w:eastAsia="宋体"/>
          <w:sz w:val="24"/>
        </w:rPr>
        <w:t>，取10</w:t>
      </w:r>
      <w:r>
        <w:rPr>
          <w:rFonts w:hint="eastAsia" w:eastAsia="宋体"/>
          <w:sz w:val="24"/>
        </w:rPr>
        <w:t>%</w:t>
      </w:r>
      <w:r>
        <w:rPr>
          <w:rFonts w:eastAsia="宋体"/>
          <w:sz w:val="24"/>
        </w:rPr>
        <w:t>；</w:t>
      </w:r>
    </w:p>
    <w:p>
      <w:pPr>
        <w:pStyle w:val="36"/>
        <w:ind w:firstLine="480"/>
        <w:rPr>
          <w:rFonts w:eastAsia="宋体"/>
          <w:sz w:val="24"/>
        </w:rPr>
      </w:pPr>
      <w:r>
        <w:rPr>
          <w:rFonts w:eastAsia="宋体"/>
          <w:sz w:val="24"/>
        </w:rPr>
        <w:t xml:space="preserve">M—— 汽车吨位（t），取20； </w:t>
      </w:r>
    </w:p>
    <w:p>
      <w:pPr>
        <w:pStyle w:val="36"/>
        <w:ind w:firstLine="480"/>
        <w:rPr>
          <w:rFonts w:eastAsia="宋体"/>
          <w:sz w:val="24"/>
        </w:rPr>
      </w:pPr>
      <w:r>
        <w:rPr>
          <w:rFonts w:eastAsia="宋体"/>
          <w:sz w:val="24"/>
        </w:rPr>
        <w:t>H ——倾倒高度（m），取1.</w:t>
      </w:r>
      <w:r>
        <w:rPr>
          <w:rFonts w:hint="eastAsia" w:eastAsia="宋体"/>
          <w:sz w:val="24"/>
        </w:rPr>
        <w:t>0</w:t>
      </w:r>
      <w:r>
        <w:rPr>
          <w:rFonts w:eastAsia="宋体"/>
          <w:sz w:val="24"/>
        </w:rPr>
        <w:t xml:space="preserve">。 </w:t>
      </w:r>
    </w:p>
    <w:p>
      <w:pPr>
        <w:pStyle w:val="36"/>
        <w:ind w:firstLine="480"/>
        <w:rPr>
          <w:rFonts w:eastAsia="宋体"/>
          <w:sz w:val="24"/>
        </w:rPr>
      </w:pPr>
      <w:r>
        <w:rPr>
          <w:rFonts w:eastAsia="宋体"/>
          <w:sz w:val="24"/>
        </w:rPr>
        <w:t>根据以上公式计算可知在不采取任何措施的情况下Q=</w:t>
      </w:r>
      <w:r>
        <w:rPr>
          <w:rFonts w:hint="eastAsia" w:eastAsia="宋体"/>
          <w:sz w:val="24"/>
        </w:rPr>
        <w:t>0.163k</w:t>
      </w:r>
      <w:r>
        <w:rPr>
          <w:rFonts w:eastAsia="宋体"/>
          <w:sz w:val="24"/>
        </w:rPr>
        <w:t>g/次。</w:t>
      </w:r>
      <w:r>
        <w:rPr>
          <w:rFonts w:hint="eastAsia" w:eastAsia="宋体"/>
          <w:sz w:val="24"/>
        </w:rPr>
        <w:t>本</w:t>
      </w:r>
      <w:r>
        <w:rPr>
          <w:rFonts w:eastAsia="宋体"/>
          <w:sz w:val="24"/>
        </w:rPr>
        <w:t>项目</w:t>
      </w:r>
      <w:r>
        <w:rPr>
          <w:rFonts w:hint="eastAsia" w:eastAsia="宋体"/>
          <w:sz w:val="24"/>
        </w:rPr>
        <w:t>年排土量约为2700t，汽车运输量按20t/辆计，则</w:t>
      </w:r>
      <w:r>
        <w:rPr>
          <w:rFonts w:eastAsia="宋体"/>
          <w:sz w:val="24"/>
        </w:rPr>
        <w:t>年卸料次数为</w:t>
      </w:r>
      <w:r>
        <w:rPr>
          <w:rFonts w:hint="eastAsia" w:eastAsia="宋体"/>
          <w:sz w:val="24"/>
        </w:rPr>
        <w:t>135</w:t>
      </w:r>
      <w:r>
        <w:rPr>
          <w:rFonts w:eastAsia="宋体"/>
          <w:sz w:val="24"/>
        </w:rPr>
        <w:t>次，则</w:t>
      </w:r>
      <w:r>
        <w:rPr>
          <w:rFonts w:hint="eastAsia" w:eastAsia="宋体"/>
          <w:sz w:val="24"/>
        </w:rPr>
        <w:t>排土</w:t>
      </w:r>
      <w:r>
        <w:rPr>
          <w:rFonts w:eastAsia="宋体"/>
          <w:sz w:val="24"/>
        </w:rPr>
        <w:t>卸料起尘</w:t>
      </w:r>
      <w:r>
        <w:rPr>
          <w:rFonts w:hint="eastAsia" w:eastAsia="宋体"/>
          <w:sz w:val="24"/>
        </w:rPr>
        <w:t>量</w:t>
      </w:r>
      <w:r>
        <w:rPr>
          <w:rFonts w:eastAsia="宋体"/>
          <w:sz w:val="24"/>
        </w:rPr>
        <w:t>为0.</w:t>
      </w:r>
      <w:r>
        <w:rPr>
          <w:rFonts w:hint="eastAsia" w:eastAsia="宋体"/>
          <w:sz w:val="24"/>
        </w:rPr>
        <w:t>022</w:t>
      </w:r>
      <w:r>
        <w:rPr>
          <w:rFonts w:eastAsia="宋体"/>
          <w:sz w:val="24"/>
        </w:rPr>
        <w:t>t/a。</w:t>
      </w:r>
    </w:p>
    <w:p>
      <w:pPr>
        <w:pStyle w:val="36"/>
        <w:ind w:firstLine="480"/>
        <w:rPr>
          <w:rFonts w:eastAsia="宋体"/>
          <w:sz w:val="24"/>
        </w:rPr>
      </w:pPr>
      <w:r>
        <w:rPr>
          <w:rFonts w:hint="eastAsia" w:eastAsia="宋体"/>
          <w:sz w:val="24"/>
        </w:rPr>
        <w:t>排土场卸料区设雾炮机喷雾洒水抑尘，排土全部用防尘网进行遮挡覆盖，抑尘效率约为90%，则本项目排土场粉尘排放量约为0.002t/a。</w:t>
      </w:r>
    </w:p>
    <w:p>
      <w:pPr>
        <w:pStyle w:val="36"/>
        <w:ind w:firstLine="480"/>
        <w:rPr>
          <w:rFonts w:ascii="宋体" w:hAnsi="宋体" w:eastAsia="宋体" w:cs="宋体"/>
          <w:sz w:val="24"/>
        </w:rPr>
      </w:pPr>
      <w:r>
        <w:rPr>
          <w:rFonts w:hint="eastAsia" w:ascii="宋体" w:hAnsi="宋体" w:eastAsia="宋体" w:cs="宋体"/>
          <w:sz w:val="24"/>
        </w:rPr>
        <w:t>（3）原料库粉尘</w:t>
      </w:r>
    </w:p>
    <w:p>
      <w:pPr>
        <w:pStyle w:val="36"/>
        <w:ind w:firstLine="480"/>
        <w:rPr>
          <w:rFonts w:ascii="宋体" w:hAnsi="宋体" w:eastAsia="宋体" w:cs="宋体"/>
          <w:sz w:val="24"/>
        </w:rPr>
      </w:pPr>
      <w:r>
        <w:rPr>
          <w:rFonts w:hint="eastAsia" w:ascii="宋体" w:hAnsi="宋体" w:eastAsia="宋体" w:cs="宋体"/>
          <w:sz w:val="24"/>
        </w:rPr>
        <w:t>根据《国务院关于印发打赢蓝天保卫战三年行动计划的通知》、《关于印发山西省打赢蓝天保卫战2019年行动计划的通知》等现行环保政策要求，本项目粘土需进入全封闭原料库进行存储。因而，原料堆存过程中产生的粉尘可忽略不计，扬尘主要为卸料过程中产生的扬尘。</w:t>
      </w:r>
    </w:p>
    <w:p>
      <w:pPr>
        <w:pStyle w:val="36"/>
        <w:ind w:firstLine="480"/>
        <w:rPr>
          <w:rFonts w:eastAsia="宋体"/>
          <w:sz w:val="24"/>
        </w:rPr>
      </w:pPr>
      <w:r>
        <w:rPr>
          <w:rFonts w:eastAsia="宋体"/>
          <w:sz w:val="24"/>
        </w:rPr>
        <w:t>原料卸料起尘量采用以下公式计算：</w:t>
      </w:r>
    </w:p>
    <w:p>
      <w:pPr>
        <w:pStyle w:val="36"/>
        <w:ind w:firstLine="480"/>
        <w:rPr>
          <w:rFonts w:eastAsia="宋体"/>
          <w:sz w:val="24"/>
        </w:rPr>
      </w:pPr>
      <w:r>
        <w:rPr>
          <w:rFonts w:eastAsia="宋体"/>
          <w:sz w:val="24"/>
        </w:rPr>
        <w:t>Q=0.003M·U</w:t>
      </w:r>
      <w:r>
        <w:rPr>
          <w:rFonts w:eastAsia="宋体"/>
          <w:sz w:val="24"/>
          <w:vertAlign w:val="superscript"/>
        </w:rPr>
        <w:t>1.6</w:t>
      </w:r>
      <w:r>
        <w:rPr>
          <w:rFonts w:eastAsia="宋体"/>
          <w:sz w:val="24"/>
        </w:rPr>
        <w:t>·e</w:t>
      </w:r>
      <w:r>
        <w:rPr>
          <w:rFonts w:eastAsia="宋体"/>
          <w:sz w:val="24"/>
          <w:vertAlign w:val="superscript"/>
        </w:rPr>
        <w:t>-0.28w</w:t>
      </w:r>
      <w:r>
        <w:rPr>
          <w:rFonts w:eastAsia="宋体"/>
          <w:sz w:val="24"/>
        </w:rPr>
        <w:t>·H</w:t>
      </w:r>
      <w:r>
        <w:rPr>
          <w:rFonts w:eastAsia="宋体"/>
          <w:sz w:val="24"/>
          <w:vertAlign w:val="superscript"/>
        </w:rPr>
        <w:t xml:space="preserve">1.23 </w:t>
      </w:r>
    </w:p>
    <w:p>
      <w:pPr>
        <w:pStyle w:val="36"/>
        <w:ind w:firstLine="480"/>
        <w:rPr>
          <w:rFonts w:eastAsia="宋体"/>
          <w:sz w:val="24"/>
        </w:rPr>
      </w:pPr>
      <w:r>
        <w:rPr>
          <w:rFonts w:eastAsia="宋体"/>
          <w:sz w:val="24"/>
        </w:rPr>
        <w:t xml:space="preserve">式中：Q——装卸起尘（kg/次）； </w:t>
      </w:r>
    </w:p>
    <w:p>
      <w:pPr>
        <w:pStyle w:val="36"/>
        <w:ind w:firstLine="480"/>
        <w:rPr>
          <w:rFonts w:eastAsia="宋体"/>
          <w:sz w:val="24"/>
        </w:rPr>
      </w:pPr>
      <w:r>
        <w:rPr>
          <w:rFonts w:eastAsia="宋体"/>
          <w:sz w:val="24"/>
        </w:rPr>
        <w:t>U ——风速（m/s），取1.</w:t>
      </w:r>
      <w:r>
        <w:rPr>
          <w:rFonts w:hint="eastAsia" w:eastAsia="宋体"/>
          <w:sz w:val="24"/>
        </w:rPr>
        <w:t>9</w:t>
      </w:r>
      <w:r>
        <w:rPr>
          <w:rFonts w:eastAsia="宋体"/>
          <w:sz w:val="24"/>
        </w:rPr>
        <w:t>；</w:t>
      </w:r>
    </w:p>
    <w:p>
      <w:pPr>
        <w:pStyle w:val="36"/>
        <w:ind w:firstLine="480"/>
        <w:rPr>
          <w:rFonts w:eastAsia="宋体"/>
          <w:sz w:val="24"/>
        </w:rPr>
      </w:pPr>
      <w:r>
        <w:rPr>
          <w:rFonts w:eastAsia="宋体"/>
          <w:sz w:val="24"/>
        </w:rPr>
        <w:t>W ——湿度（%），取10；</w:t>
      </w:r>
    </w:p>
    <w:p>
      <w:pPr>
        <w:pStyle w:val="36"/>
        <w:ind w:firstLine="480"/>
        <w:rPr>
          <w:rFonts w:eastAsia="宋体"/>
          <w:sz w:val="24"/>
        </w:rPr>
      </w:pPr>
      <w:r>
        <w:rPr>
          <w:rFonts w:eastAsia="宋体"/>
          <w:sz w:val="24"/>
        </w:rPr>
        <w:t xml:space="preserve">M—— 汽车吨位（t），取20； </w:t>
      </w:r>
    </w:p>
    <w:p>
      <w:pPr>
        <w:pStyle w:val="36"/>
        <w:ind w:firstLine="480"/>
        <w:rPr>
          <w:rFonts w:eastAsia="宋体"/>
          <w:sz w:val="24"/>
        </w:rPr>
      </w:pPr>
      <w:r>
        <w:rPr>
          <w:rFonts w:eastAsia="宋体"/>
          <w:sz w:val="24"/>
        </w:rPr>
        <w:t>H ——倾倒高度（m），取1.</w:t>
      </w:r>
      <w:r>
        <w:rPr>
          <w:rFonts w:hint="eastAsia" w:eastAsia="宋体"/>
          <w:sz w:val="24"/>
        </w:rPr>
        <w:t>0</w:t>
      </w:r>
      <w:r>
        <w:rPr>
          <w:rFonts w:eastAsia="宋体"/>
          <w:sz w:val="24"/>
        </w:rPr>
        <w:t xml:space="preserve">。 </w:t>
      </w:r>
    </w:p>
    <w:p>
      <w:pPr>
        <w:pStyle w:val="36"/>
        <w:ind w:firstLine="480"/>
        <w:rPr>
          <w:rFonts w:eastAsia="宋体"/>
          <w:sz w:val="24"/>
        </w:rPr>
      </w:pPr>
      <w:r>
        <w:rPr>
          <w:rFonts w:eastAsia="宋体"/>
          <w:sz w:val="24"/>
        </w:rPr>
        <w:t>根据以上公式计算可知</w:t>
      </w:r>
      <w:r>
        <w:rPr>
          <w:rFonts w:hint="eastAsia" w:eastAsia="宋体"/>
          <w:sz w:val="24"/>
        </w:rPr>
        <w:t>，</w:t>
      </w:r>
      <w:r>
        <w:rPr>
          <w:rFonts w:eastAsia="宋体"/>
          <w:sz w:val="24"/>
        </w:rPr>
        <w:t>在不采取任何措施的情况下Q=</w:t>
      </w:r>
      <w:r>
        <w:rPr>
          <w:rFonts w:hint="eastAsia" w:eastAsia="宋体"/>
          <w:sz w:val="24"/>
        </w:rPr>
        <w:t>0.163k</w:t>
      </w:r>
      <w:r>
        <w:rPr>
          <w:rFonts w:eastAsia="宋体"/>
          <w:sz w:val="24"/>
        </w:rPr>
        <w:t>g/次。</w:t>
      </w:r>
      <w:r>
        <w:rPr>
          <w:rFonts w:hint="eastAsia" w:eastAsia="宋体"/>
          <w:sz w:val="24"/>
        </w:rPr>
        <w:t>本</w:t>
      </w:r>
      <w:r>
        <w:rPr>
          <w:rFonts w:eastAsia="宋体"/>
          <w:sz w:val="24"/>
        </w:rPr>
        <w:t>项目</w:t>
      </w:r>
      <w:r>
        <w:rPr>
          <w:rFonts w:hint="eastAsia" w:eastAsia="宋体"/>
          <w:sz w:val="24"/>
        </w:rPr>
        <w:t>年开采粘土矿1.5万m</w:t>
      </w:r>
      <w:r>
        <w:rPr>
          <w:rFonts w:hint="eastAsia" w:eastAsia="宋体"/>
          <w:sz w:val="24"/>
          <w:vertAlign w:val="superscript"/>
        </w:rPr>
        <w:t>3</w:t>
      </w:r>
      <w:r>
        <w:rPr>
          <w:rFonts w:hint="eastAsia" w:eastAsia="宋体"/>
          <w:sz w:val="24"/>
        </w:rPr>
        <w:t>（约2.7万t），汽车运输量按20t/辆计，则</w:t>
      </w:r>
      <w:r>
        <w:rPr>
          <w:rFonts w:eastAsia="宋体"/>
          <w:sz w:val="24"/>
        </w:rPr>
        <w:t>年卸料次数为</w:t>
      </w:r>
      <w:r>
        <w:rPr>
          <w:rFonts w:hint="eastAsia" w:eastAsia="宋体"/>
          <w:sz w:val="24"/>
        </w:rPr>
        <w:t>135</w:t>
      </w:r>
      <w:r>
        <w:rPr>
          <w:rFonts w:eastAsia="宋体"/>
          <w:sz w:val="24"/>
        </w:rPr>
        <w:t>0次，则卸料起尘为0.</w:t>
      </w:r>
      <w:r>
        <w:rPr>
          <w:rFonts w:hint="eastAsia" w:eastAsia="宋体"/>
          <w:sz w:val="24"/>
        </w:rPr>
        <w:t>22</w:t>
      </w:r>
      <w:r>
        <w:rPr>
          <w:rFonts w:eastAsia="宋体"/>
          <w:sz w:val="24"/>
        </w:rPr>
        <w:t>t/a。</w:t>
      </w:r>
    </w:p>
    <w:p>
      <w:pPr>
        <w:pStyle w:val="36"/>
        <w:ind w:firstLine="480"/>
        <w:rPr>
          <w:rFonts w:eastAsia="宋体"/>
          <w:sz w:val="24"/>
        </w:rPr>
      </w:pPr>
      <w:r>
        <w:rPr>
          <w:rFonts w:eastAsia="宋体"/>
          <w:sz w:val="24"/>
        </w:rPr>
        <w:t>本项目全封闭原料库</w:t>
      </w:r>
      <w:r>
        <w:rPr>
          <w:rFonts w:hint="eastAsia" w:eastAsia="宋体"/>
          <w:sz w:val="24"/>
        </w:rPr>
        <w:t>占地面积5</w:t>
      </w:r>
      <w:r>
        <w:rPr>
          <w:rFonts w:eastAsia="宋体"/>
          <w:sz w:val="24"/>
        </w:rPr>
        <w:t>00m</w:t>
      </w:r>
      <w:r>
        <w:rPr>
          <w:rFonts w:eastAsia="宋体"/>
          <w:sz w:val="24"/>
          <w:vertAlign w:val="superscript"/>
        </w:rPr>
        <w:t>2</w:t>
      </w:r>
      <w:r>
        <w:rPr>
          <w:rFonts w:hint="eastAsia" w:eastAsia="宋体"/>
          <w:sz w:val="24"/>
        </w:rPr>
        <w:t>，</w:t>
      </w:r>
      <w:r>
        <w:rPr>
          <w:rFonts w:eastAsia="宋体"/>
          <w:sz w:val="24"/>
        </w:rPr>
        <w:t>最大储存量</w:t>
      </w:r>
      <w:r>
        <w:rPr>
          <w:rFonts w:hint="eastAsia" w:eastAsia="宋体"/>
          <w:sz w:val="24"/>
        </w:rPr>
        <w:t>约</w:t>
      </w:r>
      <w:r>
        <w:rPr>
          <w:rFonts w:eastAsia="宋体"/>
          <w:sz w:val="24"/>
        </w:rPr>
        <w:t>为</w:t>
      </w:r>
      <w:r>
        <w:rPr>
          <w:rFonts w:hint="eastAsia" w:eastAsia="宋体"/>
          <w:sz w:val="24"/>
        </w:rPr>
        <w:t>48</w:t>
      </w:r>
      <w:r>
        <w:rPr>
          <w:rFonts w:eastAsia="宋体"/>
          <w:sz w:val="24"/>
        </w:rPr>
        <w:t>00t，</w:t>
      </w:r>
      <w:r>
        <w:rPr>
          <w:rFonts w:hint="eastAsia" w:eastAsia="宋体"/>
          <w:sz w:val="24"/>
        </w:rPr>
        <w:t>本项目日开采量约为150t，原料库最大能够储存约32d开采量，能够满足任务需求。</w:t>
      </w:r>
    </w:p>
    <w:p>
      <w:pPr>
        <w:pStyle w:val="36"/>
        <w:ind w:firstLine="480"/>
        <w:rPr>
          <w:rFonts w:eastAsia="宋体"/>
          <w:sz w:val="24"/>
        </w:rPr>
      </w:pPr>
      <w:r>
        <w:rPr>
          <w:rFonts w:eastAsia="宋体"/>
          <w:sz w:val="24"/>
        </w:rPr>
        <w:t>为了减少原料</w:t>
      </w:r>
      <w:r>
        <w:rPr>
          <w:rFonts w:hint="eastAsia" w:eastAsia="宋体"/>
          <w:sz w:val="24"/>
        </w:rPr>
        <w:t>库粉</w:t>
      </w:r>
      <w:r>
        <w:rPr>
          <w:rFonts w:eastAsia="宋体"/>
          <w:sz w:val="24"/>
        </w:rPr>
        <w:t>尘，评价要求</w:t>
      </w:r>
      <w:r>
        <w:rPr>
          <w:rFonts w:hint="eastAsia" w:eastAsia="宋体"/>
          <w:sz w:val="24"/>
        </w:rPr>
        <w:t>原</w:t>
      </w:r>
      <w:r>
        <w:rPr>
          <w:rFonts w:eastAsia="宋体"/>
          <w:sz w:val="24"/>
        </w:rPr>
        <w:t>料库</w:t>
      </w:r>
      <w:r>
        <w:rPr>
          <w:rFonts w:hint="eastAsia" w:eastAsia="宋体"/>
          <w:sz w:val="24"/>
        </w:rPr>
        <w:t>在全封闭的同时，库内设雾炮机喷雾</w:t>
      </w:r>
      <w:r>
        <w:rPr>
          <w:rFonts w:eastAsia="宋体"/>
          <w:sz w:val="24"/>
        </w:rPr>
        <w:t>洒水抑尘。采取以上措施后，</w:t>
      </w:r>
      <w:r>
        <w:rPr>
          <w:rFonts w:hint="eastAsia" w:eastAsia="宋体"/>
          <w:sz w:val="24"/>
        </w:rPr>
        <w:t>原料库</w:t>
      </w:r>
      <w:r>
        <w:rPr>
          <w:rFonts w:eastAsia="宋体"/>
          <w:sz w:val="24"/>
        </w:rPr>
        <w:t>抑尘效率可达到9</w:t>
      </w:r>
      <w:r>
        <w:rPr>
          <w:rFonts w:hint="eastAsia" w:eastAsia="宋体"/>
          <w:sz w:val="24"/>
        </w:rPr>
        <w:t>5</w:t>
      </w:r>
      <w:r>
        <w:rPr>
          <w:rFonts w:eastAsia="宋体"/>
          <w:sz w:val="24"/>
        </w:rPr>
        <w:t>%，则本项目</w:t>
      </w:r>
      <w:r>
        <w:rPr>
          <w:rFonts w:hint="eastAsia" w:eastAsia="宋体"/>
          <w:sz w:val="24"/>
        </w:rPr>
        <w:t>原料库</w:t>
      </w:r>
      <w:r>
        <w:rPr>
          <w:rFonts w:eastAsia="宋体"/>
          <w:sz w:val="24"/>
        </w:rPr>
        <w:t>粉尘排放量约为0.0</w:t>
      </w:r>
      <w:r>
        <w:rPr>
          <w:rFonts w:hint="eastAsia" w:eastAsia="宋体"/>
          <w:sz w:val="24"/>
        </w:rPr>
        <w:t>11</w:t>
      </w:r>
      <w:r>
        <w:rPr>
          <w:rFonts w:eastAsia="宋体"/>
          <w:sz w:val="24"/>
        </w:rPr>
        <w:t>t/a。</w:t>
      </w:r>
    </w:p>
    <w:p>
      <w:pPr>
        <w:pStyle w:val="36"/>
        <w:ind w:firstLine="480"/>
        <w:rPr>
          <w:rFonts w:eastAsiaTheme="minorEastAsia"/>
          <w:sz w:val="24"/>
        </w:rPr>
      </w:pPr>
      <w:r>
        <w:rPr>
          <w:rFonts w:eastAsiaTheme="minorEastAsia"/>
          <w:sz w:val="24"/>
        </w:rPr>
        <w:t>（</w:t>
      </w:r>
      <w:r>
        <w:rPr>
          <w:rFonts w:hint="eastAsia" w:eastAsiaTheme="minorEastAsia"/>
          <w:sz w:val="24"/>
        </w:rPr>
        <w:t>4</w:t>
      </w:r>
      <w:r>
        <w:rPr>
          <w:rFonts w:eastAsiaTheme="minorEastAsia"/>
          <w:sz w:val="24"/>
        </w:rPr>
        <w:t>）</w:t>
      </w:r>
      <w:r>
        <w:rPr>
          <w:rFonts w:hint="eastAsia" w:eastAsiaTheme="minorEastAsia"/>
          <w:sz w:val="24"/>
        </w:rPr>
        <w:t>道路运输扬尘</w:t>
      </w:r>
    </w:p>
    <w:p>
      <w:pPr>
        <w:spacing w:line="440" w:lineRule="exact"/>
        <w:ind w:firstLine="480" w:firstLineChars="200"/>
        <w:jc w:val="both"/>
      </w:pPr>
      <w:r>
        <w:t>本项目</w:t>
      </w:r>
      <w:r>
        <w:rPr>
          <w:rFonts w:hint="eastAsia"/>
        </w:rPr>
        <w:t>粘土矿</w:t>
      </w:r>
      <w:r>
        <w:t>运输过程中会有扬尘产生</w:t>
      </w:r>
      <w:r>
        <w:rPr>
          <w:rFonts w:hint="eastAsia"/>
        </w:rPr>
        <w:t>。</w:t>
      </w:r>
      <w:r>
        <w:t>运输扬尘计算公式如下：</w:t>
      </w:r>
    </w:p>
    <w:p>
      <w:pPr>
        <w:ind w:firstLine="482" w:firstLineChars="200"/>
        <w:jc w:val="both"/>
      </w:pPr>
      <w:r>
        <w:rPr>
          <w:b/>
          <w:position w:val="-24"/>
        </w:rPr>
        <w:object>
          <v:shape id="_x0000_i1027" o:spt="75" type="#_x0000_t75" style="height:31pt;width:167pt;" o:ole="t" fillcolor="#B4B4B4" filled="f" o:preferrelative="t" stroked="f" coordsize="21600,21600">
            <v:path/>
            <v:fill on="f" focussize="0,0"/>
            <v:stroke on="f" joinstyle="miter"/>
            <v:imagedata r:id="rId36" o:title=""/>
            <o:lock v:ext="edit" aspectratio="t"/>
            <w10:wrap type="none"/>
            <w10:anchorlock/>
          </v:shape>
          <o:OLEObject Type="Embed" ProgID="Equation.3" ShapeID="_x0000_i1027" DrawAspect="Content" ObjectID="_1468075727" r:id="rId35">
            <o:LockedField>false</o:LockedField>
          </o:OLEObject>
        </w:object>
      </w:r>
    </w:p>
    <w:p>
      <w:pPr>
        <w:spacing w:line="440" w:lineRule="exact"/>
        <w:ind w:firstLine="482" w:firstLineChars="200"/>
        <w:jc w:val="both"/>
      </w:pPr>
      <w:r>
        <w:rPr>
          <w:b/>
        </w:rPr>
        <w:object>
          <v:shape id="_x0000_i1028" o:spt="75" type="#_x0000_t75" style="height:19pt;width:94pt;" o:ole="t" fillcolor="#B4B4B4" filled="f" o:preferrelative="t" stroked="f" coordsize="21600,21600">
            <v:path/>
            <v:fill on="f" focussize="0,0"/>
            <v:stroke on="f" joinstyle="miter"/>
            <v:imagedata r:id="rId38" o:title=""/>
            <o:lock v:ext="edit" aspectratio="t"/>
            <w10:wrap type="none"/>
            <w10:anchorlock/>
          </v:shape>
          <o:OLEObject Type="Embed" ProgID="Equation.3" ShapeID="_x0000_i1028" DrawAspect="Content" ObjectID="_1468075728" r:id="rId37">
            <o:LockedField>false</o:LockedField>
          </o:OLEObject>
        </w:object>
      </w:r>
    </w:p>
    <w:p>
      <w:pPr>
        <w:spacing w:line="440" w:lineRule="exact"/>
        <w:ind w:firstLine="480" w:firstLineChars="200"/>
        <w:jc w:val="both"/>
      </w:pPr>
      <w:r>
        <w:t>式中：</w:t>
      </w:r>
      <w:r>
        <w:rPr>
          <w:b/>
          <w:position w:val="-14"/>
        </w:rPr>
        <w:object>
          <v:shape id="_x0000_i1029" o:spt="75" type="#_x0000_t75" style="height:19pt;width:17pt;" o:ole="t" fillcolor="#B4B4B4" filled="f" o:preferrelative="t" stroked="f" coordsize="21600,21600">
            <v:path/>
            <v:fill on="f" focussize="0,0"/>
            <v:stroke on="f" joinstyle="miter"/>
            <v:imagedata r:id="rId40" o:title=""/>
            <o:lock v:ext="edit" aspectratio="t"/>
            <w10:wrap type="none"/>
            <w10:anchorlock/>
          </v:shape>
          <o:OLEObject Type="Embed" ProgID="Equation.3" ShapeID="_x0000_i1029" DrawAspect="Content" ObjectID="_1468075729" r:id="rId39">
            <o:LockedField>false</o:LockedField>
          </o:OLEObject>
        </w:object>
      </w:r>
      <w:r>
        <w:t>——道路扬尘量</w:t>
      </w:r>
      <w:r>
        <w:rPr>
          <w:rFonts w:hint="eastAsia"/>
        </w:rPr>
        <w:t>（</w:t>
      </w:r>
      <w:r>
        <w:t>kg/km·辆</w:t>
      </w:r>
      <w:r>
        <w:rPr>
          <w:rFonts w:hint="eastAsia"/>
        </w:rPr>
        <w:t>）</w:t>
      </w:r>
    </w:p>
    <w:p>
      <w:pPr>
        <w:spacing w:line="440" w:lineRule="exact"/>
        <w:ind w:firstLine="482" w:firstLineChars="200"/>
        <w:jc w:val="both"/>
      </w:pPr>
      <w:r>
        <w:rPr>
          <w:b/>
          <w:position w:val="-14"/>
        </w:rPr>
        <w:object>
          <v:shape id="_x0000_i1030" o:spt="75" type="#_x0000_t75" style="height:19pt;width:17pt;" o:ole="t" fillcolor="#B4B4B4" filled="f" o:preferrelative="t" stroked="f" coordsize="21600,21600">
            <v:path/>
            <v:fill on="f" focussize="0,0"/>
            <v:stroke on="f" joinstyle="miter"/>
            <v:imagedata r:id="rId42" o:title=""/>
            <o:lock v:ext="edit" aspectratio="t"/>
            <w10:wrap type="none"/>
            <w10:anchorlock/>
          </v:shape>
          <o:OLEObject Type="Embed" ProgID="Equation.3" ShapeID="_x0000_i1030" DrawAspect="Content" ObjectID="_1468075730" r:id="rId41">
            <o:LockedField>false</o:LockedField>
          </o:OLEObject>
        </w:object>
      </w:r>
      <w:r>
        <w:t>——总扬尘量</w:t>
      </w:r>
      <w:r>
        <w:rPr>
          <w:rFonts w:hint="eastAsia"/>
        </w:rPr>
        <w:t>（</w:t>
      </w:r>
      <w:r>
        <w:t>kg/a</w:t>
      </w:r>
      <w:r>
        <w:rPr>
          <w:rFonts w:hint="eastAsia"/>
        </w:rPr>
        <w:t>）</w:t>
      </w:r>
    </w:p>
    <w:p>
      <w:pPr>
        <w:spacing w:line="440" w:lineRule="exact"/>
        <w:ind w:firstLine="480" w:firstLineChars="200"/>
        <w:jc w:val="both"/>
      </w:pPr>
      <w:r>
        <w:t>V——车辆速度</w:t>
      </w:r>
      <w:r>
        <w:rPr>
          <w:rFonts w:hint="eastAsia"/>
        </w:rPr>
        <w:t>（</w:t>
      </w:r>
      <w:r>
        <w:t>10km/h</w:t>
      </w:r>
      <w:r>
        <w:rPr>
          <w:rFonts w:hint="eastAsia"/>
        </w:rPr>
        <w:t>）</w:t>
      </w:r>
    </w:p>
    <w:p>
      <w:pPr>
        <w:spacing w:line="440" w:lineRule="exact"/>
        <w:ind w:firstLine="480" w:firstLineChars="200"/>
        <w:jc w:val="both"/>
      </w:pPr>
      <w:r>
        <w:t>M——车辆载重</w:t>
      </w:r>
      <w:r>
        <w:rPr>
          <w:rFonts w:hint="eastAsia"/>
        </w:rPr>
        <w:t>（</w:t>
      </w:r>
      <w:r>
        <w:t>20T/辆</w:t>
      </w:r>
      <w:r>
        <w:rPr>
          <w:rFonts w:hint="eastAsia"/>
        </w:rPr>
        <w:t>）</w:t>
      </w:r>
    </w:p>
    <w:p>
      <w:pPr>
        <w:spacing w:line="440" w:lineRule="exact"/>
        <w:ind w:firstLine="480" w:firstLineChars="200"/>
        <w:jc w:val="both"/>
      </w:pPr>
      <w:r>
        <w:t>P——路面灰尘覆盖量</w:t>
      </w:r>
      <w:r>
        <w:rPr>
          <w:rFonts w:hint="eastAsia"/>
        </w:rPr>
        <w:t>（</w:t>
      </w:r>
      <w:r>
        <w:t>0.5kg/m</w:t>
      </w:r>
      <w:r>
        <w:rPr>
          <w:vertAlign w:val="superscript"/>
        </w:rPr>
        <w:t>2</w:t>
      </w:r>
      <w:r>
        <w:rPr>
          <w:rFonts w:hint="eastAsia"/>
        </w:rPr>
        <w:t>）</w:t>
      </w:r>
    </w:p>
    <w:p>
      <w:pPr>
        <w:spacing w:line="440" w:lineRule="exact"/>
        <w:ind w:firstLine="480" w:firstLineChars="200"/>
        <w:jc w:val="both"/>
      </w:pPr>
      <w:r>
        <w:t>L——运距</w:t>
      </w:r>
      <w:r>
        <w:rPr>
          <w:rFonts w:hint="eastAsia"/>
        </w:rPr>
        <w:t>（0.9</w:t>
      </w:r>
      <w:r>
        <w:t>km</w:t>
      </w:r>
      <w:r>
        <w:rPr>
          <w:rFonts w:hint="eastAsia"/>
        </w:rPr>
        <w:t>）</w:t>
      </w:r>
    </w:p>
    <w:p>
      <w:pPr>
        <w:spacing w:line="440" w:lineRule="exact"/>
        <w:ind w:firstLine="480" w:firstLineChars="200"/>
        <w:jc w:val="both"/>
      </w:pPr>
      <w:r>
        <w:t>Q——运输量</w:t>
      </w:r>
      <w:r>
        <w:rPr>
          <w:rFonts w:hint="eastAsia"/>
        </w:rPr>
        <w:t>（27</w:t>
      </w:r>
      <w:r>
        <w:t>000t/a</w:t>
      </w:r>
      <w:r>
        <w:rPr>
          <w:rFonts w:hint="eastAsia"/>
        </w:rPr>
        <w:t>）；</w:t>
      </w:r>
    </w:p>
    <w:p>
      <w:pPr>
        <w:pStyle w:val="361"/>
        <w:spacing w:line="440" w:lineRule="exact"/>
        <w:ind w:firstLineChars="200"/>
        <w:jc w:val="both"/>
        <w:rPr>
          <w:rFonts w:eastAsia="宋体"/>
        </w:rPr>
      </w:pPr>
      <w:r>
        <w:rPr>
          <w:rFonts w:eastAsia="宋体"/>
        </w:rPr>
        <w:t>由上述公式计算可知</w:t>
      </w:r>
      <w:r>
        <w:rPr>
          <w:rFonts w:hint="eastAsia" w:eastAsia="宋体"/>
        </w:rPr>
        <w:t>，</w:t>
      </w:r>
      <w:r>
        <w:rPr>
          <w:rFonts w:eastAsia="宋体"/>
        </w:rPr>
        <w:t>道路扬尘产生量为</w:t>
      </w:r>
      <w:r>
        <w:rPr>
          <w:rFonts w:hint="eastAsia" w:eastAsia="宋体"/>
        </w:rPr>
        <w:t>0.748</w:t>
      </w:r>
      <w:r>
        <w:rPr>
          <w:rFonts w:eastAsia="宋体"/>
        </w:rPr>
        <w:t>t/a</w:t>
      </w:r>
      <w:r>
        <w:rPr>
          <w:rFonts w:hint="eastAsia" w:eastAsia="宋体"/>
        </w:rPr>
        <w:t>。</w:t>
      </w:r>
      <w:r>
        <w:rPr>
          <w:rFonts w:eastAsia="宋体"/>
        </w:rPr>
        <w:t>评价要求</w:t>
      </w:r>
      <w:r>
        <w:rPr>
          <w:rFonts w:hint="eastAsia" w:eastAsia="宋体"/>
        </w:rPr>
        <w:t>工业场地进出口设洗车平台，运输车辆出厂时进行冲洗；厂区道路硬化，定期洒水、及时清扫；运输车辆进行苫盖。</w:t>
      </w:r>
    </w:p>
    <w:p>
      <w:pPr>
        <w:pStyle w:val="361"/>
        <w:spacing w:line="440" w:lineRule="exact"/>
        <w:ind w:firstLineChars="200"/>
        <w:jc w:val="both"/>
        <w:rPr>
          <w:rFonts w:eastAsia="宋体"/>
        </w:rPr>
      </w:pPr>
      <w:r>
        <w:rPr>
          <w:rFonts w:eastAsia="宋体"/>
        </w:rPr>
        <w:t>采取上述措施后</w:t>
      </w:r>
      <w:r>
        <w:rPr>
          <w:rFonts w:hint="eastAsia" w:eastAsia="宋体"/>
        </w:rPr>
        <w:t>，</w:t>
      </w:r>
      <w:r>
        <w:rPr>
          <w:rFonts w:eastAsia="宋体"/>
        </w:rPr>
        <w:t>抑尘效率</w:t>
      </w:r>
      <w:r>
        <w:rPr>
          <w:rFonts w:hint="eastAsia" w:eastAsia="宋体"/>
        </w:rPr>
        <w:t>约</w:t>
      </w:r>
      <w:r>
        <w:rPr>
          <w:rFonts w:eastAsia="宋体"/>
        </w:rPr>
        <w:t>为</w:t>
      </w:r>
      <w:r>
        <w:rPr>
          <w:rFonts w:hint="eastAsia" w:eastAsia="宋体"/>
        </w:rPr>
        <w:t>9</w:t>
      </w:r>
      <w:r>
        <w:rPr>
          <w:rFonts w:eastAsia="宋体"/>
        </w:rPr>
        <w:t>0%</w:t>
      </w:r>
      <w:r>
        <w:rPr>
          <w:rFonts w:hint="eastAsia" w:eastAsia="宋体"/>
        </w:rPr>
        <w:t>，</w:t>
      </w:r>
      <w:r>
        <w:rPr>
          <w:rFonts w:eastAsia="宋体"/>
        </w:rPr>
        <w:t>则本项目运输扬尘排放量</w:t>
      </w:r>
      <w:r>
        <w:rPr>
          <w:rFonts w:hint="eastAsia" w:eastAsia="宋体"/>
        </w:rPr>
        <w:t>约</w:t>
      </w:r>
      <w:r>
        <w:rPr>
          <w:rFonts w:eastAsia="宋体"/>
        </w:rPr>
        <w:t>为0.</w:t>
      </w:r>
      <w:r>
        <w:rPr>
          <w:rFonts w:hint="eastAsia" w:eastAsia="宋体"/>
        </w:rPr>
        <w:t>075</w:t>
      </w:r>
      <w:r>
        <w:rPr>
          <w:rFonts w:eastAsia="宋体"/>
        </w:rPr>
        <w:t>t/a</w:t>
      </w:r>
      <w:r>
        <w:rPr>
          <w:rFonts w:hint="eastAsia" w:eastAsia="宋体"/>
        </w:rPr>
        <w:t>。</w:t>
      </w:r>
    </w:p>
    <w:p>
      <w:pPr>
        <w:pStyle w:val="36"/>
        <w:ind w:firstLine="480"/>
        <w:rPr>
          <w:rFonts w:ascii="宋体" w:hAnsi="宋体" w:eastAsia="宋体" w:cs="宋体"/>
          <w:sz w:val="24"/>
        </w:rPr>
      </w:pPr>
      <w:r>
        <w:rPr>
          <w:rFonts w:hint="eastAsia" w:ascii="宋体" w:hAnsi="宋体" w:eastAsia="宋体" w:cs="宋体"/>
          <w:sz w:val="24"/>
        </w:rPr>
        <w:t>2、废水污染源强核算</w:t>
      </w:r>
    </w:p>
    <w:p>
      <w:pPr>
        <w:pStyle w:val="361"/>
        <w:spacing w:line="440" w:lineRule="exact"/>
        <w:ind w:firstLineChars="200"/>
        <w:jc w:val="both"/>
        <w:rPr>
          <w:rFonts w:ascii="宋体" w:hAnsi="宋体" w:eastAsia="宋体" w:cs="宋体"/>
        </w:rPr>
      </w:pPr>
      <w:r>
        <w:rPr>
          <w:rFonts w:hint="eastAsia" w:ascii="宋体" w:hAnsi="宋体" w:eastAsia="宋体" w:cs="宋体"/>
        </w:rPr>
        <w:t>本项目废水主要为职工生活污水和洗车废水。</w:t>
      </w:r>
    </w:p>
    <w:p>
      <w:pPr>
        <w:pStyle w:val="361"/>
        <w:spacing w:line="440" w:lineRule="exact"/>
        <w:ind w:firstLineChars="200"/>
        <w:jc w:val="both"/>
        <w:rPr>
          <w:rFonts w:ascii="宋体" w:hAnsi="宋体" w:eastAsia="宋体" w:cs="宋体"/>
        </w:rPr>
      </w:pPr>
      <w:r>
        <w:rPr>
          <w:rFonts w:hint="eastAsia" w:ascii="宋体" w:hAnsi="宋体" w:eastAsia="宋体" w:cs="宋体"/>
        </w:rPr>
        <w:t>（1）生活污水</w:t>
      </w:r>
    </w:p>
    <w:p>
      <w:pPr>
        <w:pStyle w:val="361"/>
        <w:spacing w:line="440" w:lineRule="exact"/>
        <w:ind w:firstLineChars="200"/>
        <w:jc w:val="both"/>
        <w:rPr>
          <w:rFonts w:ascii="宋体" w:hAnsi="宋体" w:eastAsia="宋体" w:cs="宋体"/>
          <w:szCs w:val="20"/>
        </w:rPr>
      </w:pPr>
      <w:r>
        <w:rPr>
          <w:rFonts w:hint="eastAsia" w:ascii="宋体" w:hAnsi="宋体" w:eastAsia="宋体" w:cs="宋体"/>
        </w:rPr>
        <w:t>本项目劳动定员10人，全部为附近村民，不在厂区内食宿，生活用水量按</w:t>
      </w:r>
      <w:r>
        <w:rPr>
          <w:rFonts w:eastAsia="宋体"/>
          <w:szCs w:val="20"/>
        </w:rPr>
        <w:t>30 L/d•人计，</w:t>
      </w:r>
      <w:r>
        <w:rPr>
          <w:rFonts w:hint="eastAsia" w:eastAsia="宋体"/>
          <w:szCs w:val="20"/>
        </w:rPr>
        <w:t>则职工生活用水量为0.3</w:t>
      </w:r>
      <w:r>
        <w:rPr>
          <w:rFonts w:eastAsia="宋体"/>
          <w:szCs w:val="20"/>
        </w:rPr>
        <w:t>m</w:t>
      </w:r>
      <w:r>
        <w:rPr>
          <w:rFonts w:eastAsia="宋体"/>
          <w:szCs w:val="20"/>
          <w:vertAlign w:val="superscript"/>
        </w:rPr>
        <w:t>3</w:t>
      </w:r>
      <w:r>
        <w:rPr>
          <w:rFonts w:eastAsia="宋体"/>
          <w:szCs w:val="20"/>
        </w:rPr>
        <w:t>/d</w:t>
      </w:r>
      <w:r>
        <w:rPr>
          <w:rFonts w:hint="eastAsia" w:eastAsia="宋体"/>
          <w:szCs w:val="20"/>
        </w:rPr>
        <w:t>。生活污水产生量为使用量的80%，则</w:t>
      </w:r>
      <w:r>
        <w:rPr>
          <w:rFonts w:hint="eastAsia" w:ascii="宋体" w:hAnsi="宋体" w:eastAsia="宋体" w:cs="宋体"/>
        </w:rPr>
        <w:t>生活污水产生量为</w:t>
      </w:r>
      <w:r>
        <w:rPr>
          <w:rFonts w:eastAsia="宋体"/>
        </w:rPr>
        <w:t>0.24</w:t>
      </w:r>
      <w:r>
        <w:rPr>
          <w:rFonts w:eastAsia="宋体"/>
          <w:szCs w:val="20"/>
        </w:rPr>
        <w:t>m</w:t>
      </w:r>
      <w:r>
        <w:rPr>
          <w:rFonts w:eastAsia="宋体"/>
          <w:szCs w:val="20"/>
          <w:vertAlign w:val="superscript"/>
        </w:rPr>
        <w:t>3</w:t>
      </w:r>
      <w:r>
        <w:rPr>
          <w:rFonts w:eastAsia="宋体"/>
          <w:szCs w:val="20"/>
        </w:rPr>
        <w:t>/d</w:t>
      </w:r>
      <w:r>
        <w:rPr>
          <w:rFonts w:hint="eastAsia" w:ascii="宋体" w:hAnsi="宋体" w:eastAsia="宋体" w:cs="宋体"/>
          <w:szCs w:val="20"/>
        </w:rPr>
        <w:t>，</w:t>
      </w:r>
    </w:p>
    <w:p>
      <w:pPr>
        <w:pStyle w:val="361"/>
        <w:spacing w:line="440" w:lineRule="exact"/>
        <w:ind w:firstLineChars="200"/>
        <w:jc w:val="both"/>
        <w:rPr>
          <w:rFonts w:ascii="宋体" w:hAnsi="宋体" w:eastAsia="宋体" w:cs="宋体"/>
          <w:szCs w:val="20"/>
        </w:rPr>
      </w:pPr>
      <w:r>
        <w:rPr>
          <w:rFonts w:hint="eastAsia" w:ascii="宋体" w:hAnsi="宋体" w:eastAsia="宋体" w:cs="宋体"/>
          <w:szCs w:val="20"/>
        </w:rPr>
        <w:t>生活污水主要为职工日常盥洗废水，水质简单，经废水收集池沉淀后用于道路洒水抑尘，不外排。</w:t>
      </w:r>
    </w:p>
    <w:p>
      <w:pPr>
        <w:pStyle w:val="361"/>
        <w:spacing w:line="440" w:lineRule="exact"/>
        <w:ind w:firstLineChars="200"/>
        <w:jc w:val="both"/>
        <w:rPr>
          <w:rFonts w:ascii="宋体" w:hAnsi="宋体" w:eastAsia="宋体" w:cs="宋体"/>
        </w:rPr>
      </w:pPr>
      <w:r>
        <w:rPr>
          <w:rFonts w:hint="eastAsia" w:ascii="宋体" w:hAnsi="宋体" w:eastAsia="宋体" w:cs="宋体"/>
        </w:rPr>
        <w:t>（2）洗车废水</w:t>
      </w:r>
    </w:p>
    <w:p>
      <w:pPr>
        <w:pStyle w:val="361"/>
        <w:spacing w:line="440" w:lineRule="exact"/>
        <w:ind w:firstLineChars="200"/>
        <w:jc w:val="both"/>
        <w:rPr>
          <w:rFonts w:eastAsia="宋体"/>
        </w:rPr>
      </w:pPr>
      <w:r>
        <w:rPr>
          <w:rFonts w:hint="eastAsia" w:eastAsia="宋体"/>
          <w:iCs/>
          <w:szCs w:val="18"/>
        </w:rPr>
        <w:t>本</w:t>
      </w:r>
      <w:r>
        <w:rPr>
          <w:rFonts w:eastAsia="宋体"/>
          <w:iCs/>
          <w:szCs w:val="18"/>
        </w:rPr>
        <w:t>项目年运输量约为27000t，年工作</w:t>
      </w:r>
      <w:r>
        <w:rPr>
          <w:rFonts w:hint="eastAsia" w:eastAsia="宋体"/>
          <w:iCs/>
          <w:szCs w:val="18"/>
        </w:rPr>
        <w:t>21</w:t>
      </w:r>
      <w:r>
        <w:rPr>
          <w:rFonts w:eastAsia="宋体"/>
          <w:iCs/>
          <w:szCs w:val="18"/>
        </w:rPr>
        <w:t>0d，汽车运输量按20t/辆计，则日运输车次为7</w:t>
      </w:r>
      <w:r>
        <w:rPr>
          <w:rFonts w:eastAsia="宋体"/>
          <w:bCs/>
        </w:rPr>
        <w:t>辆·次</w:t>
      </w:r>
      <w:r>
        <w:rPr>
          <w:rFonts w:eastAsia="宋体"/>
          <w:iCs/>
          <w:szCs w:val="18"/>
        </w:rPr>
        <w:t>，</w:t>
      </w:r>
      <w:r>
        <w:rPr>
          <w:rFonts w:eastAsia="宋体"/>
          <w:bCs/>
        </w:rPr>
        <w:t>车辆冲洗用水量为0.05m</w:t>
      </w:r>
      <w:r>
        <w:rPr>
          <w:rFonts w:eastAsia="宋体"/>
          <w:bCs/>
          <w:vertAlign w:val="superscript"/>
        </w:rPr>
        <w:t>3</w:t>
      </w:r>
      <w:r>
        <w:rPr>
          <w:rFonts w:eastAsia="宋体"/>
          <w:bCs/>
        </w:rPr>
        <w:t>/辆·次，则本项目车辆冲洗用水量为0.35</w:t>
      </w:r>
      <w:r>
        <w:rPr>
          <w:rFonts w:eastAsia="宋体"/>
          <w:szCs w:val="20"/>
        </w:rPr>
        <w:t>m</w:t>
      </w:r>
      <w:r>
        <w:rPr>
          <w:rFonts w:eastAsia="宋体"/>
          <w:szCs w:val="20"/>
          <w:vertAlign w:val="superscript"/>
        </w:rPr>
        <w:t>3</w:t>
      </w:r>
      <w:r>
        <w:rPr>
          <w:rFonts w:eastAsia="宋体"/>
          <w:szCs w:val="20"/>
        </w:rPr>
        <w:t>/d</w:t>
      </w:r>
      <w:r>
        <w:rPr>
          <w:rFonts w:hint="eastAsia" w:eastAsia="宋体"/>
          <w:szCs w:val="20"/>
        </w:rPr>
        <w:t>。洗车废水产生量为使用量的80%，则洗车废水产生量为0.28</w:t>
      </w:r>
      <w:r>
        <w:rPr>
          <w:rFonts w:eastAsia="宋体"/>
          <w:szCs w:val="20"/>
        </w:rPr>
        <w:t>m</w:t>
      </w:r>
      <w:r>
        <w:rPr>
          <w:rFonts w:eastAsia="宋体"/>
          <w:szCs w:val="20"/>
          <w:vertAlign w:val="superscript"/>
        </w:rPr>
        <w:t>3</w:t>
      </w:r>
      <w:r>
        <w:rPr>
          <w:rFonts w:eastAsia="宋体"/>
          <w:szCs w:val="20"/>
        </w:rPr>
        <w:t>/d</w:t>
      </w:r>
      <w:r>
        <w:rPr>
          <w:rFonts w:hint="eastAsia" w:eastAsia="宋体"/>
          <w:szCs w:val="20"/>
        </w:rPr>
        <w:t>。</w:t>
      </w:r>
    </w:p>
    <w:p>
      <w:pPr>
        <w:pStyle w:val="361"/>
        <w:spacing w:line="440" w:lineRule="exact"/>
        <w:ind w:firstLineChars="200"/>
        <w:jc w:val="both"/>
        <w:rPr>
          <w:rFonts w:ascii="宋体" w:hAnsi="宋体" w:eastAsia="宋体" w:cs="宋体"/>
          <w:szCs w:val="20"/>
        </w:rPr>
      </w:pPr>
      <w:r>
        <w:rPr>
          <w:rFonts w:hint="eastAsia" w:ascii="宋体" w:hAnsi="宋体" w:eastAsia="宋体" w:cs="宋体"/>
          <w:szCs w:val="20"/>
        </w:rPr>
        <w:t>本项目洗车平台配套建设沉淀池，洗车废水沉淀后回用于洗车，不外排。</w:t>
      </w:r>
    </w:p>
    <w:p>
      <w:pPr>
        <w:pStyle w:val="36"/>
        <w:ind w:firstLine="480"/>
        <w:rPr>
          <w:rFonts w:ascii="宋体" w:hAnsi="宋体" w:eastAsia="宋体" w:cs="宋体"/>
          <w:sz w:val="24"/>
        </w:rPr>
      </w:pPr>
      <w:r>
        <w:rPr>
          <w:rFonts w:hint="eastAsia" w:ascii="宋体" w:hAnsi="宋体" w:eastAsia="宋体" w:cs="宋体"/>
          <w:sz w:val="24"/>
        </w:rPr>
        <w:t>3、噪声污染源强核算</w:t>
      </w:r>
    </w:p>
    <w:p>
      <w:pPr>
        <w:pStyle w:val="361"/>
        <w:spacing w:line="440" w:lineRule="exact"/>
        <w:ind w:firstLineChars="200"/>
        <w:jc w:val="both"/>
        <w:rPr>
          <w:rFonts w:eastAsia="宋体"/>
          <w:kern w:val="2"/>
        </w:rPr>
      </w:pPr>
      <w:r>
        <w:rPr>
          <w:rFonts w:hint="eastAsia" w:eastAsia="宋体"/>
        </w:rPr>
        <w:t>本项目的噪声源主要为挖掘机、装载机、雾炮机、水泵和运输车辆等产生的噪声。</w:t>
      </w:r>
      <w:r>
        <w:rPr>
          <w:rFonts w:eastAsia="宋体"/>
        </w:rPr>
        <w:t>本项目噪声污染源源强核算结果见下表</w:t>
      </w:r>
      <w:r>
        <w:rPr>
          <w:rFonts w:hint="eastAsia" w:eastAsia="宋体"/>
        </w:rPr>
        <w:t>2.</w:t>
      </w:r>
      <w:r>
        <w:rPr>
          <w:rFonts w:eastAsia="宋体"/>
        </w:rPr>
        <w:t>4-</w:t>
      </w:r>
      <w:r>
        <w:rPr>
          <w:rFonts w:hint="eastAsia" w:eastAsia="宋体"/>
        </w:rPr>
        <w:t>1。</w:t>
      </w:r>
    </w:p>
    <w:p>
      <w:pPr>
        <w:pStyle w:val="362"/>
        <w:spacing w:before="120"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 xml:space="preserve">2.4-1 </w:t>
      </w:r>
      <w:r>
        <w:rPr>
          <w:rFonts w:hint="eastAsia" w:ascii="黑体" w:hAnsi="黑体" w:eastAsia="黑体" w:cs="黑体"/>
          <w:sz w:val="21"/>
          <w:szCs w:val="21"/>
        </w:rPr>
        <w:t xml:space="preserve"> 项目噪声污染源源强核算表</w:t>
      </w:r>
    </w:p>
    <w:tbl>
      <w:tblPr>
        <w:tblStyle w:val="88"/>
        <w:tblW w:w="500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3"/>
        <w:gridCol w:w="935"/>
        <w:gridCol w:w="935"/>
        <w:gridCol w:w="937"/>
        <w:gridCol w:w="3248"/>
        <w:gridCol w:w="935"/>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0" w:type="pct"/>
            <w:vMerge w:val="restar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噪声源</w:t>
            </w:r>
          </w:p>
        </w:tc>
        <w:tc>
          <w:tcPr>
            <w:tcW w:w="514" w:type="pct"/>
            <w:vMerge w:val="restar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声源类型</w:t>
            </w:r>
          </w:p>
        </w:tc>
        <w:tc>
          <w:tcPr>
            <w:tcW w:w="1029" w:type="pct"/>
            <w:gridSpan w:val="2"/>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噪声产生量</w:t>
            </w:r>
          </w:p>
        </w:tc>
        <w:tc>
          <w:tcPr>
            <w:tcW w:w="1786" w:type="pct"/>
            <w:vMerge w:val="restar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降噪措施</w:t>
            </w:r>
          </w:p>
        </w:tc>
        <w:tc>
          <w:tcPr>
            <w:tcW w:w="1029" w:type="pct"/>
            <w:gridSpan w:val="2"/>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噪声排放量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0" w:type="pct"/>
            <w:vMerge w:val="continue"/>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p>
        </w:tc>
        <w:tc>
          <w:tcPr>
            <w:tcW w:w="514" w:type="pct"/>
            <w:vMerge w:val="continue"/>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核算方法</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噪声声级</w:t>
            </w:r>
          </w:p>
          <w:p>
            <w:pPr>
              <w:pStyle w:val="363"/>
              <w:spacing w:line="360" w:lineRule="atLeast"/>
              <w:rPr>
                <w:rFonts w:eastAsia="宋体"/>
              </w:rPr>
            </w:pPr>
            <w:r>
              <w:rPr>
                <w:rFonts w:eastAsia="宋体"/>
              </w:rPr>
              <w:t>dB(A)</w:t>
            </w:r>
          </w:p>
        </w:tc>
        <w:tc>
          <w:tcPr>
            <w:tcW w:w="1786" w:type="pct"/>
            <w:vMerge w:val="continue"/>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核算方法</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噪声声级</w:t>
            </w:r>
          </w:p>
          <w:p>
            <w:pPr>
              <w:pStyle w:val="363"/>
              <w:spacing w:line="360" w:lineRule="atLeast"/>
              <w:rPr>
                <w:rFonts w:eastAsia="宋体"/>
              </w:rPr>
            </w:pPr>
            <w:r>
              <w:rPr>
                <w:rFonts w:eastAsia="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0"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挖掘机</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间断</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类比法</w:t>
            </w:r>
          </w:p>
        </w:tc>
        <w:tc>
          <w:tcPr>
            <w:tcW w:w="937"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90</w:t>
            </w:r>
          </w:p>
        </w:tc>
        <w:tc>
          <w:tcPr>
            <w:tcW w:w="3248"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选用低噪声设备，</w:t>
            </w:r>
            <w:r>
              <w:rPr>
                <w:rFonts w:eastAsia="宋体"/>
              </w:rPr>
              <w:t>严格管理</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类比法</w:t>
            </w:r>
          </w:p>
        </w:tc>
        <w:tc>
          <w:tcPr>
            <w:tcW w:w="937"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0"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装载机</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间断</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类比法</w:t>
            </w:r>
          </w:p>
        </w:tc>
        <w:tc>
          <w:tcPr>
            <w:tcW w:w="937"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80</w:t>
            </w:r>
          </w:p>
        </w:tc>
        <w:tc>
          <w:tcPr>
            <w:tcW w:w="3248"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选用低噪声设备，</w:t>
            </w:r>
            <w:r>
              <w:rPr>
                <w:rFonts w:eastAsia="宋体"/>
              </w:rPr>
              <w:t>严格管理</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类比法</w:t>
            </w:r>
          </w:p>
        </w:tc>
        <w:tc>
          <w:tcPr>
            <w:tcW w:w="937"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0"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雾炮机</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间断</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类比法</w:t>
            </w:r>
          </w:p>
        </w:tc>
        <w:tc>
          <w:tcPr>
            <w:tcW w:w="937"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80</w:t>
            </w:r>
          </w:p>
        </w:tc>
        <w:tc>
          <w:tcPr>
            <w:tcW w:w="3248"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选用低噪声设备</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类比法</w:t>
            </w:r>
          </w:p>
        </w:tc>
        <w:tc>
          <w:tcPr>
            <w:tcW w:w="937"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0"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水泵</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间断</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类比法</w:t>
            </w:r>
          </w:p>
        </w:tc>
        <w:tc>
          <w:tcPr>
            <w:tcW w:w="937"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100</w:t>
            </w:r>
          </w:p>
        </w:tc>
        <w:tc>
          <w:tcPr>
            <w:tcW w:w="3248"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选用低噪声设备，基础减振，封闭隔声</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类比法</w:t>
            </w:r>
          </w:p>
        </w:tc>
        <w:tc>
          <w:tcPr>
            <w:tcW w:w="937"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0"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运输车辆</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间断</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类比法</w:t>
            </w:r>
          </w:p>
        </w:tc>
        <w:tc>
          <w:tcPr>
            <w:tcW w:w="937"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80</w:t>
            </w:r>
          </w:p>
        </w:tc>
        <w:tc>
          <w:tcPr>
            <w:tcW w:w="3248"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限制车速、禁止鸣笛</w:t>
            </w:r>
          </w:p>
        </w:tc>
        <w:tc>
          <w:tcPr>
            <w:tcW w:w="514" w:type="pct"/>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eastAsia="宋体"/>
              </w:rPr>
              <w:t>类比法</w:t>
            </w:r>
          </w:p>
        </w:tc>
        <w:tc>
          <w:tcPr>
            <w:tcW w:w="937" w:type="dxa"/>
            <w:tcBorders>
              <w:top w:val="single" w:color="auto" w:sz="4" w:space="0"/>
              <w:left w:val="single" w:color="auto" w:sz="4" w:space="0"/>
              <w:bottom w:val="single" w:color="auto" w:sz="4" w:space="0"/>
              <w:right w:val="single" w:color="auto" w:sz="4" w:space="0"/>
            </w:tcBorders>
            <w:vAlign w:val="center"/>
          </w:tcPr>
          <w:p>
            <w:pPr>
              <w:pStyle w:val="363"/>
              <w:spacing w:line="360" w:lineRule="atLeast"/>
              <w:rPr>
                <w:rFonts w:eastAsia="宋体"/>
              </w:rPr>
            </w:pPr>
            <w:r>
              <w:rPr>
                <w:rFonts w:hint="eastAsia" w:eastAsia="宋体"/>
              </w:rPr>
              <w:t>80</w:t>
            </w:r>
          </w:p>
        </w:tc>
      </w:tr>
    </w:tbl>
    <w:p>
      <w:pPr>
        <w:pStyle w:val="36"/>
        <w:ind w:firstLine="480"/>
        <w:rPr>
          <w:rFonts w:eastAsia="宋体"/>
          <w:sz w:val="24"/>
        </w:rPr>
      </w:pPr>
      <w:r>
        <w:rPr>
          <w:rFonts w:eastAsia="宋体"/>
          <w:sz w:val="24"/>
        </w:rPr>
        <w:t>4、固体废物污染源强核算</w:t>
      </w:r>
    </w:p>
    <w:p>
      <w:pPr>
        <w:pStyle w:val="36"/>
        <w:ind w:firstLine="480"/>
        <w:rPr>
          <w:rFonts w:eastAsia="宋体"/>
          <w:sz w:val="24"/>
        </w:rPr>
      </w:pPr>
      <w:r>
        <w:rPr>
          <w:rFonts w:eastAsia="宋体"/>
          <w:sz w:val="24"/>
        </w:rPr>
        <w:t>本项目运营期产生的固体废物主要为</w:t>
      </w:r>
      <w:r>
        <w:rPr>
          <w:rFonts w:hint="eastAsia" w:eastAsia="宋体"/>
          <w:sz w:val="24"/>
        </w:rPr>
        <w:t>开采剥离土、</w:t>
      </w:r>
      <w:r>
        <w:rPr>
          <w:rFonts w:eastAsia="宋体"/>
          <w:sz w:val="24"/>
        </w:rPr>
        <w:t>职工生活产生的生活垃圾、设备维修产生的废机油。</w:t>
      </w:r>
    </w:p>
    <w:p>
      <w:pPr>
        <w:pStyle w:val="36"/>
        <w:ind w:firstLine="480"/>
        <w:rPr>
          <w:rFonts w:eastAsia="宋体"/>
          <w:sz w:val="24"/>
        </w:rPr>
      </w:pPr>
      <w:r>
        <w:rPr>
          <w:rFonts w:hint="eastAsia" w:eastAsia="宋体"/>
          <w:sz w:val="24"/>
        </w:rPr>
        <w:t>（1）开采剥离土</w:t>
      </w:r>
    </w:p>
    <w:p>
      <w:pPr>
        <w:pStyle w:val="36"/>
        <w:ind w:firstLine="480"/>
        <w:rPr>
          <w:rFonts w:eastAsia="宋体"/>
          <w:sz w:val="24"/>
        </w:rPr>
      </w:pPr>
      <w:r>
        <w:rPr>
          <w:rFonts w:hint="eastAsia" w:eastAsia="宋体"/>
          <w:sz w:val="24"/>
        </w:rPr>
        <w:t>本项目砖瓦用粘土矿平均剥采比为0.1，矿山设计开采储量为27000t/a，则剥离土产生量约为2700t/a。</w:t>
      </w:r>
    </w:p>
    <w:p>
      <w:pPr>
        <w:pStyle w:val="36"/>
        <w:ind w:firstLine="480"/>
        <w:rPr>
          <w:rFonts w:eastAsia="宋体"/>
          <w:sz w:val="24"/>
        </w:rPr>
      </w:pPr>
      <w:r>
        <w:rPr>
          <w:rFonts w:eastAsia="宋体"/>
          <w:sz w:val="24"/>
        </w:rPr>
        <w:t>（</w:t>
      </w:r>
      <w:r>
        <w:rPr>
          <w:rFonts w:hint="eastAsia" w:eastAsia="宋体"/>
          <w:sz w:val="24"/>
        </w:rPr>
        <w:t>2</w:t>
      </w:r>
      <w:r>
        <w:rPr>
          <w:rFonts w:eastAsia="宋体"/>
          <w:sz w:val="24"/>
        </w:rPr>
        <w:t>）生活垃圾</w:t>
      </w:r>
    </w:p>
    <w:p>
      <w:pPr>
        <w:pStyle w:val="36"/>
        <w:ind w:firstLine="480"/>
        <w:rPr>
          <w:rFonts w:eastAsia="宋体"/>
          <w:sz w:val="24"/>
        </w:rPr>
      </w:pPr>
      <w:r>
        <w:rPr>
          <w:rFonts w:eastAsia="宋体"/>
          <w:sz w:val="24"/>
        </w:rPr>
        <w:t>本项目劳动定员10人，生活垃圾产生量按0.5kg/（人</w:t>
      </w:r>
      <w:r>
        <w:rPr>
          <w:sz w:val="24"/>
        </w:rPr>
        <w:t>·d</w:t>
      </w:r>
      <w:r>
        <w:rPr>
          <w:rFonts w:eastAsia="宋体"/>
          <w:sz w:val="24"/>
        </w:rPr>
        <w:t>）</w:t>
      </w:r>
      <w:r>
        <w:rPr>
          <w:sz w:val="24"/>
        </w:rPr>
        <w:t>计，则本项目生活垃圾产生量为</w:t>
      </w:r>
      <w:r>
        <w:rPr>
          <w:rFonts w:hint="eastAsia"/>
          <w:sz w:val="24"/>
        </w:rPr>
        <w:t>1.05</w:t>
      </w:r>
      <w:r>
        <w:rPr>
          <w:sz w:val="24"/>
        </w:rPr>
        <w:t>t/a。</w:t>
      </w:r>
    </w:p>
    <w:p>
      <w:pPr>
        <w:pStyle w:val="36"/>
        <w:ind w:firstLine="480"/>
        <w:rPr>
          <w:rFonts w:eastAsia="宋体"/>
          <w:sz w:val="24"/>
        </w:rPr>
      </w:pPr>
      <w:r>
        <w:rPr>
          <w:rFonts w:eastAsia="宋体"/>
          <w:sz w:val="24"/>
        </w:rPr>
        <w:t>（</w:t>
      </w:r>
      <w:r>
        <w:rPr>
          <w:rFonts w:hint="eastAsia" w:eastAsia="宋体"/>
          <w:sz w:val="24"/>
        </w:rPr>
        <w:t>3</w:t>
      </w:r>
      <w:r>
        <w:rPr>
          <w:rFonts w:eastAsia="宋体"/>
          <w:sz w:val="24"/>
        </w:rPr>
        <w:t>）废机油</w:t>
      </w:r>
    </w:p>
    <w:p>
      <w:pPr>
        <w:pStyle w:val="361"/>
        <w:spacing w:line="440" w:lineRule="exact"/>
        <w:ind w:firstLineChars="200"/>
        <w:jc w:val="both"/>
        <w:rPr>
          <w:rFonts w:eastAsia="宋体"/>
        </w:rPr>
      </w:pPr>
      <w:r>
        <w:rPr>
          <w:rFonts w:eastAsia="宋体"/>
        </w:rPr>
        <w:t>本项目机械设备维修保养过程产生的废机油</w:t>
      </w:r>
      <w:r>
        <w:rPr>
          <w:rFonts w:hint="eastAsia" w:eastAsia="宋体"/>
        </w:rPr>
        <w:t>，</w:t>
      </w:r>
      <w:r>
        <w:rPr>
          <w:rFonts w:eastAsia="宋体"/>
        </w:rPr>
        <w:t>属于危险废物</w:t>
      </w:r>
      <w:r>
        <w:rPr>
          <w:rFonts w:hint="eastAsia" w:eastAsia="宋体"/>
        </w:rPr>
        <w:t>。</w:t>
      </w:r>
      <w:r>
        <w:rPr>
          <w:rFonts w:eastAsia="宋体"/>
          <w:spacing w:val="4"/>
        </w:rPr>
        <w:t>根据《国家危险废物名录》2016版</w:t>
      </w:r>
      <w:r>
        <w:rPr>
          <w:rFonts w:hint="eastAsia" w:eastAsia="宋体"/>
          <w:spacing w:val="4"/>
        </w:rPr>
        <w:t>（</w:t>
      </w:r>
      <w:r>
        <w:rPr>
          <w:rFonts w:eastAsia="宋体"/>
          <w:spacing w:val="4"/>
        </w:rPr>
        <w:t>部令第39号</w:t>
      </w:r>
      <w:r>
        <w:rPr>
          <w:rFonts w:hint="eastAsia" w:eastAsia="宋体"/>
          <w:spacing w:val="4"/>
        </w:rPr>
        <w:t>），</w:t>
      </w:r>
      <w:r>
        <w:rPr>
          <w:rFonts w:eastAsia="宋体"/>
          <w:spacing w:val="4"/>
        </w:rPr>
        <w:t>废机油属于HW08</w:t>
      </w:r>
      <w:r>
        <w:rPr>
          <w:rFonts w:hint="eastAsia" w:eastAsia="宋体"/>
          <w:spacing w:val="4"/>
        </w:rPr>
        <w:t>，</w:t>
      </w:r>
      <w:r>
        <w:rPr>
          <w:rFonts w:eastAsia="宋体"/>
          <w:spacing w:val="4"/>
        </w:rPr>
        <w:t>危险废物代码为900-217-08</w:t>
      </w:r>
      <w:r>
        <w:rPr>
          <w:rFonts w:hint="eastAsia" w:eastAsia="宋体"/>
          <w:spacing w:val="4"/>
        </w:rPr>
        <w:t>，</w:t>
      </w:r>
      <w:r>
        <w:rPr>
          <w:rFonts w:eastAsia="宋体"/>
          <w:spacing w:val="4"/>
        </w:rPr>
        <w:t>危险特性为T</w:t>
      </w:r>
      <w:r>
        <w:rPr>
          <w:rFonts w:hint="eastAsia" w:eastAsia="宋体"/>
          <w:spacing w:val="4"/>
        </w:rPr>
        <w:t>。</w:t>
      </w:r>
      <w:r>
        <w:rPr>
          <w:rFonts w:eastAsia="宋体"/>
          <w:spacing w:val="4"/>
        </w:rPr>
        <w:t>本项目机油的用量</w:t>
      </w:r>
      <w:r>
        <w:rPr>
          <w:rFonts w:hint="eastAsia" w:eastAsia="宋体"/>
          <w:spacing w:val="4"/>
        </w:rPr>
        <w:t>约</w:t>
      </w:r>
      <w:r>
        <w:rPr>
          <w:rFonts w:eastAsia="宋体"/>
          <w:spacing w:val="4"/>
        </w:rPr>
        <w:t>为0.4t/a</w:t>
      </w:r>
      <w:r>
        <w:rPr>
          <w:rFonts w:hint="eastAsia" w:eastAsia="宋体"/>
          <w:spacing w:val="4"/>
        </w:rPr>
        <w:t>，</w:t>
      </w:r>
      <w:r>
        <w:rPr>
          <w:rFonts w:eastAsia="宋体"/>
          <w:spacing w:val="4"/>
        </w:rPr>
        <w:t>设备运行过程中会损耗一部分</w:t>
      </w:r>
      <w:r>
        <w:rPr>
          <w:rFonts w:hint="eastAsia" w:eastAsia="宋体"/>
          <w:spacing w:val="4"/>
        </w:rPr>
        <w:t>，</w:t>
      </w:r>
      <w:r>
        <w:rPr>
          <w:rFonts w:eastAsia="宋体"/>
          <w:spacing w:val="4"/>
        </w:rPr>
        <w:t>跑、冒、滴、漏还会有少量的损耗</w:t>
      </w:r>
      <w:r>
        <w:rPr>
          <w:rFonts w:hint="eastAsia" w:eastAsia="宋体"/>
          <w:spacing w:val="4"/>
        </w:rPr>
        <w:t>，</w:t>
      </w:r>
      <w:r>
        <w:rPr>
          <w:rFonts w:eastAsia="宋体"/>
          <w:spacing w:val="4"/>
        </w:rPr>
        <w:t>机油需半年更换一次</w:t>
      </w:r>
      <w:r>
        <w:rPr>
          <w:rFonts w:hint="eastAsia" w:eastAsia="宋体"/>
          <w:spacing w:val="4"/>
        </w:rPr>
        <w:t>，</w:t>
      </w:r>
      <w:r>
        <w:rPr>
          <w:rFonts w:eastAsia="宋体"/>
          <w:spacing w:val="4"/>
        </w:rPr>
        <w:t>项目</w:t>
      </w:r>
      <w:r>
        <w:rPr>
          <w:rFonts w:eastAsia="宋体"/>
        </w:rPr>
        <w:t>废机油</w:t>
      </w:r>
      <w:r>
        <w:rPr>
          <w:rStyle w:val="365"/>
          <w:rFonts w:hint="default" w:ascii="Times New Roman" w:hAnsi="Times New Roman"/>
          <w:color w:val="auto"/>
        </w:rPr>
        <w:t>产生量</w:t>
      </w:r>
      <w:r>
        <w:rPr>
          <w:rFonts w:hint="eastAsia" w:eastAsia="宋体"/>
        </w:rPr>
        <w:t>约</w:t>
      </w:r>
      <w:r>
        <w:rPr>
          <w:rFonts w:eastAsia="宋体"/>
          <w:spacing w:val="4"/>
        </w:rPr>
        <w:t>为0.2t/a</w:t>
      </w:r>
      <w:r>
        <w:rPr>
          <w:rFonts w:hint="eastAsia" w:eastAsia="宋体"/>
        </w:rPr>
        <w:t>。</w:t>
      </w:r>
    </w:p>
    <w:p>
      <w:pPr>
        <w:pStyle w:val="361"/>
        <w:spacing w:line="440" w:lineRule="exact"/>
        <w:ind w:firstLine="496" w:firstLineChars="200"/>
        <w:jc w:val="both"/>
        <w:rPr>
          <w:rFonts w:eastAsia="宋体"/>
        </w:rPr>
      </w:pPr>
      <w:r>
        <w:rPr>
          <w:rFonts w:eastAsia="宋体"/>
          <w:spacing w:val="4"/>
        </w:rPr>
        <w:t>按照《</w:t>
      </w:r>
      <w:bookmarkStart w:id="214" w:name="0"/>
      <w:bookmarkEnd w:id="214"/>
      <w:r>
        <w:rPr>
          <w:rFonts w:eastAsia="宋体"/>
          <w:spacing w:val="4"/>
        </w:rPr>
        <w:t>危险废物贮存污染控制标准》</w:t>
      </w:r>
      <w:r>
        <w:rPr>
          <w:rFonts w:hint="eastAsia" w:eastAsia="宋体"/>
          <w:spacing w:val="4"/>
        </w:rPr>
        <w:t>（</w:t>
      </w:r>
      <w:r>
        <w:rPr>
          <w:rFonts w:eastAsia="宋体"/>
          <w:spacing w:val="4"/>
        </w:rPr>
        <w:t>GB 18597-2001</w:t>
      </w:r>
      <w:r>
        <w:rPr>
          <w:rFonts w:hint="eastAsia" w:eastAsia="宋体"/>
          <w:spacing w:val="4"/>
        </w:rPr>
        <w:t>）</w:t>
      </w:r>
      <w:r>
        <w:rPr>
          <w:rFonts w:eastAsia="宋体"/>
          <w:spacing w:val="4"/>
        </w:rPr>
        <w:t>及2013修改单中的相关要求</w:t>
      </w:r>
      <w:r>
        <w:rPr>
          <w:rFonts w:hint="eastAsia" w:eastAsia="宋体"/>
          <w:spacing w:val="4"/>
        </w:rPr>
        <w:t>，</w:t>
      </w:r>
      <w:r>
        <w:rPr>
          <w:rFonts w:eastAsia="宋体"/>
          <w:spacing w:val="4"/>
        </w:rPr>
        <w:t>建设单位必须配备危险废物贮存场所和储存设施</w:t>
      </w:r>
      <w:r>
        <w:rPr>
          <w:rFonts w:hint="eastAsia" w:eastAsia="宋体"/>
          <w:spacing w:val="4"/>
        </w:rPr>
        <w:t>，</w:t>
      </w:r>
      <w:r>
        <w:rPr>
          <w:rFonts w:eastAsia="宋体"/>
          <w:spacing w:val="4"/>
        </w:rPr>
        <w:t>本项目在</w:t>
      </w:r>
      <w:r>
        <w:rPr>
          <w:rFonts w:hint="eastAsia" w:eastAsia="宋体"/>
          <w:spacing w:val="4"/>
        </w:rPr>
        <w:t>工业场地内</w:t>
      </w:r>
      <w:r>
        <w:rPr>
          <w:rFonts w:eastAsia="宋体"/>
          <w:spacing w:val="4"/>
        </w:rPr>
        <w:t>设置</w:t>
      </w:r>
      <w:r>
        <w:rPr>
          <w:rFonts w:hint="eastAsia" w:eastAsia="宋体"/>
          <w:spacing w:val="4"/>
        </w:rPr>
        <w:t>5</w:t>
      </w:r>
      <w:r>
        <w:rPr>
          <w:rFonts w:eastAsia="宋体"/>
          <w:spacing w:val="4"/>
        </w:rPr>
        <w:t>m</w:t>
      </w:r>
      <w:r>
        <w:rPr>
          <w:rFonts w:eastAsia="宋体"/>
          <w:spacing w:val="4"/>
          <w:vertAlign w:val="superscript"/>
        </w:rPr>
        <w:t>2</w:t>
      </w:r>
      <w:r>
        <w:rPr>
          <w:rFonts w:eastAsia="宋体"/>
          <w:spacing w:val="4"/>
        </w:rPr>
        <w:t>危废暂存间</w:t>
      </w:r>
      <w:r>
        <w:rPr>
          <w:rFonts w:hint="eastAsia" w:eastAsia="宋体"/>
          <w:spacing w:val="4"/>
        </w:rPr>
        <w:t>，</w:t>
      </w:r>
      <w:r>
        <w:rPr>
          <w:rFonts w:eastAsia="宋体"/>
          <w:bCs/>
          <w:szCs w:val="21"/>
        </w:rPr>
        <w:t>废机油装入符合标准的密闭容器内暂存</w:t>
      </w:r>
      <w:r>
        <w:rPr>
          <w:rFonts w:hint="eastAsia" w:eastAsia="宋体"/>
          <w:bCs/>
          <w:szCs w:val="21"/>
        </w:rPr>
        <w:t>，</w:t>
      </w:r>
      <w:r>
        <w:rPr>
          <w:rFonts w:eastAsia="宋体"/>
          <w:bCs/>
          <w:szCs w:val="21"/>
        </w:rPr>
        <w:t>定期由有处理资质的单位进行转运处置</w:t>
      </w:r>
      <w:r>
        <w:rPr>
          <w:rFonts w:hint="eastAsia" w:eastAsia="宋体"/>
          <w:bCs/>
          <w:szCs w:val="21"/>
        </w:rPr>
        <w:t>。</w:t>
      </w:r>
    </w:p>
    <w:p>
      <w:pPr>
        <w:pStyle w:val="36"/>
        <w:ind w:firstLine="480"/>
        <w:rPr>
          <w:rFonts w:ascii="宋体" w:hAnsi="宋体" w:eastAsia="宋体" w:cs="宋体"/>
          <w:sz w:val="24"/>
        </w:rPr>
      </w:pPr>
      <w:r>
        <w:rPr>
          <w:rFonts w:hint="eastAsia" w:ascii="宋体" w:hAnsi="宋体" w:eastAsia="宋体" w:cs="宋体"/>
          <w:sz w:val="24"/>
        </w:rPr>
        <w:t>5、生态影响防治措施</w:t>
      </w:r>
    </w:p>
    <w:p>
      <w:pPr>
        <w:pStyle w:val="361"/>
        <w:widowControl w:val="0"/>
        <w:spacing w:line="440" w:lineRule="exact"/>
        <w:ind w:firstLineChars="200"/>
        <w:jc w:val="both"/>
        <w:rPr>
          <w:rFonts w:eastAsia="宋体"/>
        </w:rPr>
      </w:pPr>
      <w:r>
        <w:rPr>
          <w:rFonts w:eastAsia="宋体"/>
        </w:rPr>
        <w:t>1</w:t>
      </w:r>
      <w:r>
        <w:rPr>
          <w:rFonts w:hint="eastAsia" w:eastAsia="宋体"/>
        </w:rPr>
        <w:t>）</w:t>
      </w:r>
      <w:r>
        <w:rPr>
          <w:rFonts w:eastAsia="宋体"/>
        </w:rPr>
        <w:t>粘土矿区要求</w:t>
      </w:r>
      <w:r>
        <w:rPr>
          <w:rFonts w:hint="eastAsia" w:eastAsia="宋体"/>
        </w:rPr>
        <w:t>“</w:t>
      </w:r>
      <w:r>
        <w:rPr>
          <w:rFonts w:eastAsia="宋体"/>
        </w:rPr>
        <w:t>边开采</w:t>
      </w:r>
      <w:r>
        <w:rPr>
          <w:rFonts w:hint="eastAsia" w:eastAsia="宋体"/>
        </w:rPr>
        <w:t>，</w:t>
      </w:r>
      <w:r>
        <w:rPr>
          <w:rFonts w:eastAsia="宋体"/>
        </w:rPr>
        <w:t>边恢复</w:t>
      </w:r>
      <w:r>
        <w:rPr>
          <w:rFonts w:hint="eastAsia" w:eastAsia="宋体"/>
        </w:rPr>
        <w:t>”，</w:t>
      </w:r>
      <w:r>
        <w:rPr>
          <w:rFonts w:eastAsia="宋体"/>
        </w:rPr>
        <w:t>当一个采矿台段工作终结时</w:t>
      </w:r>
      <w:r>
        <w:rPr>
          <w:rFonts w:hint="eastAsia" w:eastAsia="宋体"/>
        </w:rPr>
        <w:t>，</w:t>
      </w:r>
      <w:r>
        <w:rPr>
          <w:rFonts w:eastAsia="宋体"/>
        </w:rPr>
        <w:t>随即进行覆土</w:t>
      </w:r>
      <w:r>
        <w:rPr>
          <w:rFonts w:hint="eastAsia" w:eastAsia="宋体"/>
        </w:rPr>
        <w:t>，</w:t>
      </w:r>
      <w:r>
        <w:rPr>
          <w:rFonts w:eastAsia="宋体"/>
        </w:rPr>
        <w:t>恢复植被</w:t>
      </w:r>
      <w:r>
        <w:rPr>
          <w:rFonts w:hint="eastAsia" w:eastAsia="宋体"/>
        </w:rPr>
        <w:t>，</w:t>
      </w:r>
      <w:r>
        <w:rPr>
          <w:rFonts w:eastAsia="宋体"/>
        </w:rPr>
        <w:t>并对边坡进行防护处理</w:t>
      </w:r>
      <w:r>
        <w:rPr>
          <w:rFonts w:hint="eastAsia" w:eastAsia="宋体"/>
        </w:rPr>
        <w:t>。</w:t>
      </w:r>
    </w:p>
    <w:p>
      <w:pPr>
        <w:pStyle w:val="361"/>
        <w:widowControl w:val="0"/>
        <w:spacing w:line="440" w:lineRule="exact"/>
        <w:ind w:firstLineChars="200"/>
        <w:jc w:val="both"/>
        <w:rPr>
          <w:rFonts w:eastAsia="宋体"/>
        </w:rPr>
      </w:pPr>
      <w:r>
        <w:rPr>
          <w:rFonts w:eastAsia="宋体"/>
        </w:rPr>
        <w:t>2</w:t>
      </w:r>
      <w:r>
        <w:rPr>
          <w:rFonts w:hint="eastAsia" w:eastAsia="宋体"/>
        </w:rPr>
        <w:t>）</w:t>
      </w:r>
      <w:r>
        <w:rPr>
          <w:rFonts w:eastAsia="宋体"/>
        </w:rPr>
        <w:t>道路</w:t>
      </w:r>
      <w:r>
        <w:rPr>
          <w:rFonts w:hint="eastAsia" w:eastAsia="宋体"/>
        </w:rPr>
        <w:t>和工业场地进行硬化和绿化。</w:t>
      </w:r>
    </w:p>
    <w:p>
      <w:pPr>
        <w:pStyle w:val="361"/>
        <w:widowControl w:val="0"/>
        <w:spacing w:line="440" w:lineRule="exact"/>
        <w:ind w:firstLineChars="200"/>
        <w:jc w:val="both"/>
        <w:rPr>
          <w:rFonts w:eastAsia="宋体"/>
        </w:rPr>
      </w:pPr>
      <w:r>
        <w:rPr>
          <w:rFonts w:hint="eastAsia" w:eastAsia="宋体"/>
        </w:rPr>
        <w:t>3）生</w:t>
      </w:r>
      <w:r>
        <w:rPr>
          <w:rFonts w:eastAsia="宋体"/>
        </w:rPr>
        <w:t>态恢复治理完成后2年内</w:t>
      </w:r>
      <w:r>
        <w:rPr>
          <w:rFonts w:hint="eastAsia" w:eastAsia="宋体"/>
        </w:rPr>
        <w:t>，</w:t>
      </w:r>
      <w:r>
        <w:rPr>
          <w:rFonts w:eastAsia="宋体"/>
        </w:rPr>
        <w:t>对生态恢复及治理措施进行后期监测和管护</w:t>
      </w:r>
      <w:r>
        <w:rPr>
          <w:rFonts w:hint="eastAsia" w:eastAsia="宋体"/>
        </w:rPr>
        <w:t>。</w:t>
      </w:r>
    </w:p>
    <w:p>
      <w:pPr>
        <w:widowControl w:val="0"/>
        <w:adjustRightInd w:val="0"/>
        <w:snapToGrid w:val="0"/>
        <w:spacing w:before="120" w:beforeLines="50" w:after="120" w:afterLines="50"/>
        <w:jc w:val="both"/>
        <w:outlineLvl w:val="1"/>
        <w:rPr>
          <w:b/>
          <w:kern w:val="2"/>
          <w:sz w:val="28"/>
          <w:szCs w:val="28"/>
        </w:rPr>
      </w:pPr>
      <w:bookmarkStart w:id="215" w:name="_Toc4507"/>
      <w:r>
        <w:rPr>
          <w:b/>
          <w:kern w:val="2"/>
          <w:sz w:val="28"/>
          <w:szCs w:val="28"/>
        </w:rPr>
        <w:t>2.</w:t>
      </w:r>
      <w:r>
        <w:rPr>
          <w:rFonts w:hint="eastAsia"/>
          <w:b/>
          <w:kern w:val="2"/>
          <w:sz w:val="28"/>
          <w:szCs w:val="28"/>
        </w:rPr>
        <w:t>5服务期满</w:t>
      </w:r>
      <w:r>
        <w:rPr>
          <w:b/>
          <w:kern w:val="2"/>
          <w:sz w:val="28"/>
          <w:szCs w:val="28"/>
        </w:rPr>
        <w:t>影响因素分析</w:t>
      </w:r>
      <w:bookmarkEnd w:id="215"/>
    </w:p>
    <w:p>
      <w:pPr>
        <w:pStyle w:val="361"/>
        <w:spacing w:line="440" w:lineRule="exact"/>
        <w:ind w:firstLineChars="200"/>
        <w:jc w:val="both"/>
        <w:rPr>
          <w:rFonts w:eastAsia="宋体"/>
        </w:rPr>
      </w:pPr>
      <w:r>
        <w:rPr>
          <w:rFonts w:hint="eastAsia" w:eastAsia="宋体"/>
        </w:rPr>
        <w:t>项目服务期满后，</w:t>
      </w:r>
      <w:r>
        <w:rPr>
          <w:rFonts w:eastAsia="宋体"/>
        </w:rPr>
        <w:t>对</w:t>
      </w:r>
      <w:r>
        <w:rPr>
          <w:rFonts w:hint="eastAsia" w:eastAsia="宋体"/>
        </w:rPr>
        <w:t>办公生活设施、原料库、洗车平台、危废暂存间、截排水沟、挡土墙等</w:t>
      </w:r>
      <w:r>
        <w:rPr>
          <w:rFonts w:eastAsia="宋体"/>
        </w:rPr>
        <w:t>生产</w:t>
      </w:r>
      <w:r>
        <w:rPr>
          <w:rFonts w:hint="eastAsia" w:eastAsia="宋体"/>
        </w:rPr>
        <w:t>和环保设施</w:t>
      </w:r>
      <w:r>
        <w:rPr>
          <w:rFonts w:eastAsia="宋体"/>
        </w:rPr>
        <w:t>进行拆除</w:t>
      </w:r>
      <w:r>
        <w:rPr>
          <w:rFonts w:hint="eastAsia" w:eastAsia="宋体"/>
        </w:rPr>
        <w:t>，并去除工业场地表层硬化层。拆除作业过程中会产生扬尘、废水、噪声、和固废等，可能对周围环境产生一定的不利影响。</w:t>
      </w:r>
    </w:p>
    <w:p>
      <w:pPr>
        <w:pStyle w:val="361"/>
        <w:spacing w:line="440" w:lineRule="exact"/>
        <w:ind w:firstLineChars="200"/>
        <w:jc w:val="both"/>
        <w:rPr>
          <w:rFonts w:eastAsia="宋体"/>
        </w:rPr>
      </w:pPr>
      <w:r>
        <w:rPr>
          <w:rFonts w:hint="eastAsia" w:eastAsia="宋体"/>
        </w:rPr>
        <w:t>评价要求建设单位采取湿法拆除措施，参照项目施工期做到“六个百分百”，施工建筑垃圾及时清运、送环卫部门指定地点处置，生产设备进行合理处置，不得存在遗留环境问题。</w:t>
      </w:r>
    </w:p>
    <w:p>
      <w:pPr>
        <w:pStyle w:val="361"/>
        <w:spacing w:line="440" w:lineRule="exact"/>
        <w:ind w:firstLineChars="200"/>
        <w:jc w:val="both"/>
        <w:rPr>
          <w:rFonts w:ascii="宋体" w:hAnsi="宋体" w:eastAsia="宋体"/>
        </w:rPr>
      </w:pPr>
      <w:r>
        <w:rPr>
          <w:rFonts w:hint="eastAsia" w:eastAsia="宋体"/>
        </w:rPr>
        <w:t>此外，</w:t>
      </w:r>
      <w:r>
        <w:rPr>
          <w:rFonts w:eastAsia="宋体"/>
        </w:rPr>
        <w:t>对</w:t>
      </w:r>
      <w:r>
        <w:rPr>
          <w:rFonts w:hint="eastAsia" w:eastAsia="宋体"/>
        </w:rPr>
        <w:t>开采区和工业场地</w:t>
      </w:r>
      <w:r>
        <w:rPr>
          <w:rFonts w:eastAsia="宋体"/>
        </w:rPr>
        <w:t>等挖损压占区进行土地复垦和生态恢复</w:t>
      </w:r>
      <w:r>
        <w:rPr>
          <w:rFonts w:hint="eastAsia" w:eastAsia="宋体"/>
        </w:rPr>
        <w:t>，</w:t>
      </w:r>
      <w:r>
        <w:rPr>
          <w:rFonts w:eastAsia="宋体"/>
        </w:rPr>
        <w:t>区</w:t>
      </w:r>
      <w:r>
        <w:rPr>
          <w:rFonts w:ascii="宋体" w:hAnsi="宋体" w:eastAsia="宋体"/>
        </w:rPr>
        <w:t>域生态环境将逐步恢复</w:t>
      </w:r>
      <w:r>
        <w:rPr>
          <w:rFonts w:hint="eastAsia" w:ascii="宋体" w:hAnsi="宋体" w:eastAsia="宋体"/>
        </w:rPr>
        <w:t>。</w:t>
      </w:r>
    </w:p>
    <w:p>
      <w:pPr>
        <w:pStyle w:val="361"/>
        <w:spacing w:line="440" w:lineRule="exact"/>
        <w:ind w:firstLineChars="200"/>
        <w:jc w:val="both"/>
        <w:rPr>
          <w:rFonts w:eastAsia="宋体"/>
        </w:rPr>
      </w:pPr>
      <w:r>
        <w:rPr>
          <w:rFonts w:eastAsia="宋体"/>
        </w:rPr>
        <w:t>因此</w:t>
      </w:r>
      <w:r>
        <w:rPr>
          <w:rFonts w:hint="eastAsia" w:eastAsia="宋体"/>
        </w:rPr>
        <w:t>，服务期满后</w:t>
      </w:r>
      <w:r>
        <w:rPr>
          <w:rFonts w:eastAsia="宋体"/>
        </w:rPr>
        <w:t>主要的影响为有利影响</w:t>
      </w:r>
      <w:r>
        <w:rPr>
          <w:rFonts w:hint="eastAsia" w:eastAsia="宋体"/>
        </w:rPr>
        <w:t>。</w:t>
      </w: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p>
      <w:pPr>
        <w:pStyle w:val="361"/>
        <w:spacing w:line="440" w:lineRule="exact"/>
        <w:ind w:firstLineChars="200"/>
        <w:jc w:val="both"/>
        <w:rPr>
          <w:rFonts w:eastAsia="宋体"/>
        </w:rPr>
      </w:pPr>
    </w:p>
    <w:bookmarkEnd w:id="195"/>
    <w:bookmarkEnd w:id="196"/>
    <w:p>
      <w:pPr>
        <w:widowControl w:val="0"/>
        <w:adjustRightInd w:val="0"/>
        <w:spacing w:before="240" w:beforeLines="100" w:after="240" w:afterLines="100"/>
        <w:jc w:val="center"/>
        <w:outlineLvl w:val="0"/>
        <w:rPr>
          <w:rFonts w:eastAsia="黑体"/>
          <w:b/>
          <w:kern w:val="2"/>
          <w:sz w:val="44"/>
          <w:szCs w:val="44"/>
        </w:rPr>
      </w:pPr>
      <w:bookmarkStart w:id="216" w:name="_Toc291493500"/>
      <w:bookmarkStart w:id="217" w:name="_Toc395801221"/>
      <w:bookmarkStart w:id="218" w:name="_Toc291501957"/>
      <w:bookmarkStart w:id="219" w:name="_Toc291501735"/>
      <w:bookmarkStart w:id="220" w:name="_Toc399150369"/>
      <w:bookmarkStart w:id="221" w:name="_Toc396395415"/>
      <w:bookmarkStart w:id="222" w:name="_Toc2195"/>
      <w:bookmarkStart w:id="223" w:name="_Toc300843228"/>
      <w:bookmarkStart w:id="224" w:name="_Toc81006391"/>
      <w:bookmarkStart w:id="225" w:name="_Toc532439788"/>
      <w:bookmarkStart w:id="226" w:name="_Toc61251006"/>
      <w:bookmarkStart w:id="227" w:name="_Toc81007131"/>
      <w:bookmarkStart w:id="228" w:name="_Toc245721995"/>
      <w:r>
        <w:rPr>
          <w:rFonts w:eastAsia="黑体"/>
          <w:b/>
          <w:kern w:val="2"/>
          <w:sz w:val="44"/>
          <w:szCs w:val="44"/>
        </w:rPr>
        <w:t>第三章  区域环境概况</w:t>
      </w:r>
      <w:bookmarkEnd w:id="216"/>
      <w:bookmarkEnd w:id="217"/>
      <w:bookmarkEnd w:id="218"/>
      <w:bookmarkEnd w:id="219"/>
      <w:bookmarkEnd w:id="220"/>
      <w:bookmarkEnd w:id="221"/>
      <w:bookmarkEnd w:id="222"/>
      <w:bookmarkEnd w:id="223"/>
    </w:p>
    <w:p>
      <w:pPr>
        <w:widowControl w:val="0"/>
        <w:adjustRightInd w:val="0"/>
        <w:snapToGrid w:val="0"/>
        <w:spacing w:before="120" w:beforeLines="50" w:after="120" w:afterLines="50"/>
        <w:jc w:val="both"/>
        <w:outlineLvl w:val="1"/>
        <w:rPr>
          <w:b/>
          <w:kern w:val="2"/>
          <w:sz w:val="28"/>
          <w:szCs w:val="28"/>
        </w:rPr>
      </w:pPr>
      <w:bookmarkStart w:id="229" w:name="_Toc27055"/>
      <w:r>
        <w:rPr>
          <w:b/>
          <w:kern w:val="2"/>
          <w:sz w:val="28"/>
          <w:szCs w:val="28"/>
        </w:rPr>
        <w:t>3.2生态环境概况</w:t>
      </w:r>
      <w:bookmarkEnd w:id="229"/>
    </w:p>
    <w:p>
      <w:pPr>
        <w:keepNext/>
        <w:keepLines/>
        <w:spacing w:before="120" w:beforeLines="50" w:after="120" w:afterLines="50"/>
        <w:outlineLvl w:val="2"/>
        <w:rPr>
          <w:b/>
          <w:kern w:val="2"/>
        </w:rPr>
      </w:pPr>
      <w:r>
        <w:rPr>
          <w:b/>
          <w:kern w:val="2"/>
        </w:rPr>
        <w:t>3.2.1 土壤</w:t>
      </w:r>
    </w:p>
    <w:p>
      <w:pPr>
        <w:widowControl w:val="0"/>
        <w:spacing w:line="440" w:lineRule="exact"/>
        <w:ind w:firstLine="480" w:firstLineChars="200"/>
        <w:jc w:val="both"/>
        <w:rPr>
          <w:rFonts w:eastAsiaTheme="minorEastAsia"/>
        </w:rPr>
      </w:pPr>
      <w:r>
        <w:rPr>
          <w:rFonts w:hint="eastAsia" w:eastAsiaTheme="minorEastAsia"/>
        </w:rPr>
        <w:t>繁峙县境内土壤分褐土、山地栗钙土、山地棕壤土、盐化草甸土等四大类。</w:t>
      </w:r>
    </w:p>
    <w:p>
      <w:pPr>
        <w:widowControl w:val="0"/>
        <w:spacing w:line="440" w:lineRule="exact"/>
        <w:ind w:firstLine="480" w:firstLineChars="200"/>
        <w:jc w:val="both"/>
        <w:rPr>
          <w:rFonts w:eastAsiaTheme="minorEastAsia"/>
        </w:rPr>
      </w:pPr>
      <w:r>
        <w:rPr>
          <w:rFonts w:hint="eastAsia" w:eastAsiaTheme="minorEastAsia"/>
        </w:rPr>
        <w:t>褐土分为淡褐土、淡褐土性土、山地褐土、山地淋溶褐土，共有面积2153km</w:t>
      </w:r>
      <w:r>
        <w:rPr>
          <w:rFonts w:hint="eastAsia" w:eastAsiaTheme="minorEastAsia"/>
          <w:vertAlign w:val="superscript"/>
        </w:rPr>
        <w:t>2</w:t>
      </w:r>
      <w:r>
        <w:rPr>
          <w:rFonts w:hint="eastAsia" w:eastAsiaTheme="minorEastAsia"/>
        </w:rPr>
        <w:t>，占总面积的91%，处于二级阶地、丘陵低山区，低山区海拔为1250-2100m，二级阶地丘陵区海拔为980-1500m，土质适中，耕性较好，绵松肥沃，适种作物广，是农业生产的重要基地。</w:t>
      </w:r>
    </w:p>
    <w:p>
      <w:pPr>
        <w:widowControl w:val="0"/>
        <w:spacing w:line="440" w:lineRule="exact"/>
        <w:ind w:firstLine="480" w:firstLineChars="200"/>
        <w:jc w:val="both"/>
        <w:rPr>
          <w:rFonts w:eastAsiaTheme="minorEastAsia"/>
        </w:rPr>
      </w:pPr>
      <w:r>
        <w:rPr>
          <w:rFonts w:hint="eastAsia" w:eastAsiaTheme="minorEastAsia"/>
        </w:rPr>
        <w:t>山地栗钙土：分布少，只有县城东北角、下茹越西北角有少量分布，占地面积l1.4km</w:t>
      </w:r>
      <w:r>
        <w:rPr>
          <w:rFonts w:hint="eastAsia" w:eastAsiaTheme="minorEastAsia"/>
          <w:vertAlign w:val="superscript"/>
        </w:rPr>
        <w:t>2</w:t>
      </w:r>
      <w:r>
        <w:rPr>
          <w:rFonts w:hint="eastAsia" w:eastAsiaTheme="minorEastAsia"/>
        </w:rPr>
        <w:t>，只占总面积的0.5%。</w:t>
      </w:r>
    </w:p>
    <w:p>
      <w:pPr>
        <w:widowControl w:val="0"/>
        <w:spacing w:line="440" w:lineRule="exact"/>
        <w:ind w:firstLine="480" w:firstLineChars="200"/>
        <w:jc w:val="both"/>
        <w:rPr>
          <w:rFonts w:eastAsiaTheme="minorEastAsia"/>
        </w:rPr>
      </w:pPr>
      <w:r>
        <w:rPr>
          <w:rFonts w:hint="eastAsia" w:eastAsiaTheme="minorEastAsia"/>
        </w:rPr>
        <w:t>山地棕壤土：分布在宽滩、伯强、庄旺等山区的次生林区，海拔在2000-2400m之间，是主要在一些云杉、华北落叶松、针阔叶林植被下发育起来的土壤，主要分布在岩头中部、东部、东山南部，占地176km</w:t>
      </w:r>
      <w:r>
        <w:rPr>
          <w:rFonts w:hint="eastAsia" w:eastAsiaTheme="minorEastAsia"/>
          <w:vertAlign w:val="superscript"/>
        </w:rPr>
        <w:t>2</w:t>
      </w:r>
      <w:r>
        <w:rPr>
          <w:rFonts w:hint="eastAsia" w:eastAsiaTheme="minorEastAsia"/>
        </w:rPr>
        <w:t>，占总面积的7.5%。</w:t>
      </w:r>
    </w:p>
    <w:p>
      <w:pPr>
        <w:widowControl w:val="0"/>
        <w:spacing w:line="440" w:lineRule="exact"/>
        <w:ind w:firstLine="480" w:firstLineChars="200"/>
        <w:jc w:val="both"/>
        <w:rPr>
          <w:rFonts w:eastAsiaTheme="minorEastAsia"/>
        </w:rPr>
      </w:pPr>
      <w:r>
        <w:rPr>
          <w:rFonts w:hint="eastAsia" w:eastAsiaTheme="minorEastAsia"/>
        </w:rPr>
        <w:t>盐化革甸土：分布在滹沱河两岸的河漫以及一级阶地上，海拔950-1100m，主要分布在金山铺中部，砂河镇东南角有少许分布，占地25.8km</w:t>
      </w:r>
      <w:r>
        <w:rPr>
          <w:rFonts w:hint="eastAsia" w:eastAsiaTheme="minorEastAsia"/>
          <w:vertAlign w:val="superscript"/>
        </w:rPr>
        <w:t>2</w:t>
      </w:r>
      <w:r>
        <w:rPr>
          <w:rFonts w:hint="eastAsia" w:eastAsiaTheme="minorEastAsia"/>
        </w:rPr>
        <w:t>，占总面积的1.1%。</w:t>
      </w:r>
    </w:p>
    <w:p>
      <w:pPr>
        <w:widowControl w:val="0"/>
        <w:spacing w:line="440" w:lineRule="exact"/>
        <w:ind w:firstLine="480" w:firstLineChars="200"/>
        <w:jc w:val="both"/>
        <w:rPr>
          <w:rFonts w:eastAsiaTheme="minorEastAsia"/>
        </w:rPr>
      </w:pPr>
      <w:r>
        <w:rPr>
          <w:rFonts w:hint="eastAsia" w:eastAsiaTheme="minorEastAsia"/>
        </w:rPr>
        <w:t>山地褐土：广泛分布在五台山低山区和恒山山区，海拔在1250-1800m范围，占地1093.7km</w:t>
      </w:r>
      <w:r>
        <w:rPr>
          <w:rFonts w:hint="eastAsia" w:eastAsiaTheme="minorEastAsia"/>
          <w:vertAlign w:val="superscript"/>
        </w:rPr>
        <w:t>2</w:t>
      </w:r>
      <w:r>
        <w:rPr>
          <w:rFonts w:hint="eastAsia" w:eastAsiaTheme="minorEastAsia"/>
        </w:rPr>
        <w:t>，占褐土总面积的50.8%；是在草灌植被下发育起来的土壤，地表有薄层草皮层及枯枝落叶层，主要酸刺、野刺玫、榛子、兰花棘豆、达乌里胡枝子、早熟禾、蒿属等自然植被；主要分布在县北部40%的区域、下茹越中北部、砂河镇西部、柏家庄北部、杏园东南部、岩头西部、光峪堡南部、东山中部大部分区域、金山铺南部、神堂堡大部分地区、此外大营镇东北部、横洞南部、东部还有少许分布。</w:t>
      </w:r>
    </w:p>
    <w:p>
      <w:pPr>
        <w:keepNext/>
        <w:keepLines/>
        <w:spacing w:before="120" w:beforeLines="50" w:after="120" w:afterLines="50"/>
        <w:outlineLvl w:val="2"/>
        <w:rPr>
          <w:b/>
          <w:kern w:val="2"/>
        </w:rPr>
      </w:pPr>
      <w:r>
        <w:rPr>
          <w:b/>
          <w:kern w:val="2"/>
        </w:rPr>
        <w:t>3.2.2 植被</w:t>
      </w:r>
    </w:p>
    <w:p>
      <w:pPr>
        <w:widowControl w:val="0"/>
        <w:spacing w:line="440" w:lineRule="exact"/>
        <w:ind w:firstLine="480" w:firstLineChars="200"/>
        <w:jc w:val="both"/>
        <w:rPr>
          <w:rFonts w:eastAsiaTheme="minorEastAsia"/>
        </w:rPr>
      </w:pPr>
      <w:r>
        <w:rPr>
          <w:rFonts w:hint="eastAsia" w:eastAsiaTheme="minorEastAsia"/>
        </w:rPr>
        <w:t>繁峙县山多坡广，沟壑纵横，气候类型多，故植被资源丰富。全县有植被100万亩，覆盖率为28％。有植物447种，隶属于82科，316属。主要分布于南山、峨河、羊眼河、青羊口河、石塘沟的深山地区，其次为滹沱河的发源地辛庄一带及平川沿河南岸。</w:t>
      </w:r>
    </w:p>
    <w:p>
      <w:pPr>
        <w:widowControl w:val="0"/>
        <w:spacing w:line="440" w:lineRule="exact"/>
        <w:ind w:firstLine="480" w:firstLineChars="200"/>
        <w:jc w:val="both"/>
        <w:rPr>
          <w:rFonts w:eastAsiaTheme="minorEastAsia"/>
        </w:rPr>
      </w:pPr>
      <w:r>
        <w:rPr>
          <w:rFonts w:hint="eastAsia" w:eastAsiaTheme="minorEastAsia"/>
        </w:rPr>
        <w:t>全县树木种类分为乔木树种、经济树种、灌木树种。</w:t>
      </w:r>
    </w:p>
    <w:p>
      <w:pPr>
        <w:widowControl w:val="0"/>
        <w:spacing w:line="440" w:lineRule="exact"/>
        <w:ind w:firstLine="480" w:firstLineChars="200"/>
        <w:jc w:val="both"/>
        <w:rPr>
          <w:rFonts w:eastAsiaTheme="minorEastAsia"/>
        </w:rPr>
      </w:pPr>
      <w:r>
        <w:rPr>
          <w:rFonts w:hint="eastAsia" w:eastAsiaTheme="minorEastAsia"/>
        </w:rPr>
        <w:t>乔木树种有：杨、柳、白榆、刺槐、白桦、红桦、香椿、臭椿、槭树、梓树、华北落叶松、油松、白杆、青杆、辽东栎、侧柏、东陵冷杉等。</w:t>
      </w:r>
    </w:p>
    <w:p>
      <w:pPr>
        <w:widowControl w:val="0"/>
        <w:spacing w:line="440" w:lineRule="exact"/>
        <w:ind w:firstLine="480" w:firstLineChars="200"/>
        <w:jc w:val="both"/>
        <w:rPr>
          <w:rFonts w:eastAsiaTheme="minorEastAsia"/>
        </w:rPr>
      </w:pPr>
      <w:r>
        <w:rPr>
          <w:rFonts w:hint="eastAsia" w:eastAsiaTheme="minorEastAsia"/>
        </w:rPr>
        <w:t>经济树种有：杏、桃、苹果、梨、槟果、核桃、红枣、花椒、葡萄、桑树等。</w:t>
      </w:r>
    </w:p>
    <w:p>
      <w:pPr>
        <w:widowControl w:val="0"/>
        <w:spacing w:line="440" w:lineRule="exact"/>
        <w:ind w:firstLine="480" w:firstLineChars="200"/>
        <w:jc w:val="both"/>
        <w:rPr>
          <w:rFonts w:eastAsiaTheme="minorEastAsia"/>
        </w:rPr>
      </w:pPr>
      <w:r>
        <w:rPr>
          <w:rFonts w:hint="eastAsia" w:eastAsiaTheme="minorEastAsia"/>
        </w:rPr>
        <w:t>经调查，本项目评价区域内未发现国家保护级别植物分布。</w:t>
      </w:r>
    </w:p>
    <w:p>
      <w:pPr>
        <w:keepNext/>
        <w:keepLines/>
        <w:spacing w:before="120" w:beforeLines="50" w:after="120" w:afterLines="50"/>
        <w:outlineLvl w:val="2"/>
        <w:rPr>
          <w:b/>
          <w:kern w:val="2"/>
        </w:rPr>
      </w:pPr>
      <w:r>
        <w:rPr>
          <w:b/>
          <w:kern w:val="2"/>
        </w:rPr>
        <w:t xml:space="preserve">3.2.3 </w:t>
      </w:r>
      <w:r>
        <w:rPr>
          <w:rFonts w:hint="eastAsia"/>
          <w:b/>
          <w:kern w:val="2"/>
        </w:rPr>
        <w:t>动物</w:t>
      </w:r>
    </w:p>
    <w:p>
      <w:pPr>
        <w:widowControl w:val="0"/>
        <w:spacing w:line="440" w:lineRule="exact"/>
        <w:ind w:firstLine="480" w:firstLineChars="200"/>
        <w:jc w:val="both"/>
        <w:rPr>
          <w:rFonts w:eastAsiaTheme="minorEastAsia"/>
        </w:rPr>
      </w:pPr>
      <w:r>
        <w:rPr>
          <w:rFonts w:hint="eastAsia" w:eastAsiaTheme="minorEastAsia"/>
        </w:rPr>
        <w:t>禽类有雉、雀、鹊、乌鸦、河鸡、半翅、鸠、鹰、鹞、鸽、猫头鹰等，兽类有虎、豹、野猪、野山羊、兔、貉、狐、獾、狸、狍、狼、黄鼠狼等。</w:t>
      </w:r>
    </w:p>
    <w:p>
      <w:pPr>
        <w:widowControl w:val="0"/>
        <w:spacing w:line="440" w:lineRule="exact"/>
        <w:ind w:firstLine="480" w:firstLineChars="200"/>
        <w:jc w:val="both"/>
        <w:rPr>
          <w:rFonts w:eastAsiaTheme="minorEastAsia"/>
        </w:rPr>
      </w:pPr>
      <w:r>
        <w:rPr>
          <w:rFonts w:hint="eastAsia" w:eastAsiaTheme="minorEastAsia"/>
        </w:rPr>
        <w:t>农作物害虫有粟灰螟、玉米螟、钻心虫、高粱蚜、菜蚜等。也下害虫有蝼蛄、金针虫、金龟子、地老虎、菜粉蝶等。果树害虫有大牛、占丁、苹果绵蚜、果树卷叶蛾、梨星毛虫等。其它害虫有蚊、蝇、跳蚤、臭虫等。</w:t>
      </w:r>
    </w:p>
    <w:p>
      <w:pPr>
        <w:widowControl w:val="0"/>
        <w:spacing w:line="440" w:lineRule="exact"/>
        <w:ind w:firstLine="480" w:firstLineChars="200"/>
        <w:jc w:val="both"/>
        <w:rPr>
          <w:rFonts w:eastAsiaTheme="minorEastAsia"/>
        </w:rPr>
      </w:pPr>
      <w:r>
        <w:rPr>
          <w:rFonts w:hint="eastAsia" w:eastAsiaTheme="minorEastAsia"/>
        </w:rPr>
        <w:t>经调查，</w:t>
      </w:r>
      <w:r>
        <w:rPr>
          <w:rFonts w:eastAsiaTheme="minorEastAsia"/>
        </w:rPr>
        <w:t>本项目</w:t>
      </w:r>
      <w:r>
        <w:rPr>
          <w:rFonts w:hint="eastAsia" w:eastAsiaTheme="minorEastAsia"/>
        </w:rPr>
        <w:t>评价区域内无国家重点保护物种分布。</w:t>
      </w:r>
    </w:p>
    <w:p>
      <w:pPr>
        <w:adjustRightInd w:val="0"/>
        <w:snapToGrid w:val="0"/>
        <w:spacing w:line="360" w:lineRule="auto"/>
        <w:jc w:val="both"/>
        <w:outlineLvl w:val="1"/>
        <w:rPr>
          <w:b/>
          <w:bCs/>
          <w:kern w:val="2"/>
          <w:sz w:val="28"/>
          <w:szCs w:val="28"/>
        </w:rPr>
        <w:sectPr>
          <w:headerReference r:id="rId12" w:type="default"/>
          <w:pgSz w:w="11907" w:h="16840"/>
          <w:pgMar w:top="1247" w:right="1418" w:bottom="1247" w:left="1418" w:header="850" w:footer="850" w:gutter="0"/>
          <w:cols w:space="425" w:num="1"/>
          <w:docGrid w:linePitch="326" w:charSpace="0"/>
        </w:sectPr>
      </w:pPr>
    </w:p>
    <w:bookmarkEnd w:id="224"/>
    <w:bookmarkEnd w:id="225"/>
    <w:bookmarkEnd w:id="226"/>
    <w:bookmarkEnd w:id="227"/>
    <w:bookmarkEnd w:id="228"/>
    <w:p>
      <w:pPr>
        <w:widowControl w:val="0"/>
        <w:adjustRightInd w:val="0"/>
        <w:snapToGrid w:val="0"/>
        <w:spacing w:before="240" w:beforeLines="100" w:after="240" w:afterLines="100"/>
        <w:jc w:val="center"/>
        <w:outlineLvl w:val="0"/>
        <w:rPr>
          <w:rFonts w:eastAsia="黑体"/>
          <w:b/>
          <w:kern w:val="2"/>
          <w:sz w:val="44"/>
          <w:szCs w:val="44"/>
        </w:rPr>
      </w:pPr>
      <w:bookmarkStart w:id="230" w:name="_Toc396395421"/>
      <w:bookmarkStart w:id="231" w:name="_Toc395801240"/>
      <w:bookmarkStart w:id="232" w:name="_Toc399150387"/>
      <w:bookmarkStart w:id="233" w:name="_Toc23127"/>
      <w:bookmarkStart w:id="234" w:name="_Toc81007156"/>
      <w:bookmarkStart w:id="235" w:name="_Toc81006415"/>
      <w:bookmarkStart w:id="236" w:name="_Toc61251019"/>
      <w:bookmarkStart w:id="237" w:name="_Toc532439801"/>
      <w:bookmarkStart w:id="238" w:name="_Toc245722003"/>
      <w:r>
        <w:rPr>
          <w:rFonts w:eastAsia="黑体"/>
          <w:b/>
          <w:kern w:val="2"/>
          <w:sz w:val="44"/>
          <w:szCs w:val="44"/>
        </w:rPr>
        <w:t>第四章  环境质量现状调查与评价</w:t>
      </w:r>
      <w:bookmarkEnd w:id="230"/>
      <w:bookmarkEnd w:id="231"/>
      <w:bookmarkEnd w:id="232"/>
      <w:bookmarkEnd w:id="233"/>
    </w:p>
    <w:p>
      <w:pPr>
        <w:widowControl w:val="0"/>
        <w:adjustRightInd w:val="0"/>
        <w:snapToGrid w:val="0"/>
        <w:spacing w:before="120" w:beforeLines="50" w:after="120" w:afterLines="50"/>
        <w:jc w:val="both"/>
        <w:outlineLvl w:val="1"/>
        <w:rPr>
          <w:b/>
          <w:kern w:val="2"/>
          <w:sz w:val="28"/>
          <w:szCs w:val="28"/>
        </w:rPr>
      </w:pPr>
      <w:bookmarkStart w:id="239" w:name="_Toc225670588"/>
      <w:bookmarkStart w:id="240" w:name="_Toc291501786"/>
      <w:bookmarkStart w:id="241" w:name="_Toc227720589"/>
      <w:bookmarkStart w:id="242" w:name="_Toc240871907"/>
      <w:bookmarkStart w:id="243" w:name="_Toc227097629"/>
      <w:bookmarkStart w:id="244" w:name="_Toc300843279"/>
      <w:bookmarkStart w:id="245" w:name="_Toc227695427"/>
      <w:bookmarkStart w:id="246" w:name="_Toc225671093"/>
      <w:bookmarkStart w:id="247" w:name="_Toc399150388"/>
      <w:bookmarkStart w:id="248" w:name="_Toc396395422"/>
      <w:bookmarkStart w:id="249" w:name="_Toc278389367"/>
      <w:bookmarkStart w:id="250" w:name="_Toc291502008"/>
      <w:bookmarkStart w:id="251" w:name="_Toc227695609"/>
      <w:bookmarkStart w:id="252" w:name="_Toc395801241"/>
      <w:bookmarkStart w:id="253" w:name="_Toc228701459"/>
      <w:bookmarkStart w:id="254" w:name="_Toc291493551"/>
      <w:bookmarkStart w:id="255" w:name="_Toc225670083"/>
      <w:bookmarkStart w:id="256" w:name="_Toc7460"/>
      <w:bookmarkStart w:id="257" w:name="_Toc26232"/>
      <w:r>
        <w:rPr>
          <w:b/>
          <w:kern w:val="2"/>
          <w:sz w:val="28"/>
          <w:szCs w:val="28"/>
        </w:rPr>
        <w:t>4.1环境空气</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b/>
          <w:kern w:val="2"/>
          <w:sz w:val="28"/>
          <w:szCs w:val="28"/>
        </w:rPr>
        <w:t>质量现状调查与评价</w:t>
      </w:r>
      <w:bookmarkEnd w:id="257"/>
    </w:p>
    <w:p>
      <w:pPr>
        <w:widowControl w:val="0"/>
        <w:adjustRightInd w:val="0"/>
        <w:snapToGrid w:val="0"/>
        <w:spacing w:before="120" w:beforeLines="50" w:after="120" w:afterLines="50"/>
        <w:jc w:val="both"/>
        <w:outlineLvl w:val="2"/>
        <w:rPr>
          <w:b/>
          <w:kern w:val="2"/>
        </w:rPr>
      </w:pPr>
      <w:bookmarkStart w:id="258" w:name="_Toc225671152"/>
      <w:bookmarkStart w:id="259" w:name="_Toc227097634"/>
      <w:bookmarkStart w:id="260" w:name="_Toc291493555"/>
      <w:bookmarkStart w:id="261" w:name="_Toc228701460"/>
      <w:bookmarkStart w:id="262" w:name="_Toc395801246"/>
      <w:bookmarkStart w:id="263" w:name="_Toc10077"/>
      <w:bookmarkStart w:id="264" w:name="_Toc227695614"/>
      <w:bookmarkStart w:id="265" w:name="_Toc225670142"/>
      <w:bookmarkStart w:id="266" w:name="_Toc291502012"/>
      <w:bookmarkStart w:id="267" w:name="_Toc399150393"/>
      <w:bookmarkStart w:id="268" w:name="_Toc227695432"/>
      <w:bookmarkStart w:id="269" w:name="_Toc225670647"/>
      <w:bookmarkStart w:id="270" w:name="_Toc227720594"/>
      <w:bookmarkStart w:id="271" w:name="_Toc291501790"/>
      <w:bookmarkStart w:id="272" w:name="_Toc278389371"/>
      <w:bookmarkStart w:id="273" w:name="_Toc396395423"/>
      <w:bookmarkStart w:id="274" w:name="_Toc300843283"/>
      <w:bookmarkStart w:id="275" w:name="_Toc240871912"/>
      <w:r>
        <w:rPr>
          <w:b/>
          <w:kern w:val="2"/>
        </w:rPr>
        <w:t>4.1.1</w:t>
      </w:r>
      <w:r>
        <w:rPr>
          <w:rFonts w:hint="eastAsia"/>
          <w:b/>
          <w:kern w:val="2"/>
        </w:rPr>
        <w:t>项目所在区域达标判定</w:t>
      </w:r>
    </w:p>
    <w:p>
      <w:pPr>
        <w:spacing w:line="440" w:lineRule="exact"/>
        <w:ind w:firstLine="496" w:firstLineChars="200"/>
        <w:rPr>
          <w:spacing w:val="4"/>
        </w:rPr>
      </w:pPr>
      <w:r>
        <w:rPr>
          <w:rFonts w:hint="eastAsia"/>
          <w:spacing w:val="4"/>
        </w:rPr>
        <w:t>本次评价收集了繁峙县2018年环境空气质量例行监测数据，数据统计结果见下表。</w:t>
      </w:r>
    </w:p>
    <w:p>
      <w:pPr>
        <w:adjustRightInd w:val="0"/>
        <w:snapToGrid w:val="0"/>
        <w:spacing w:line="440" w:lineRule="exact"/>
        <w:ind w:firstLine="174" w:firstLineChars="83"/>
        <w:jc w:val="center"/>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 xml:space="preserve">4.1-1 </w:t>
      </w:r>
      <w:r>
        <w:rPr>
          <w:rFonts w:hint="eastAsia" w:ascii="黑体" w:hAnsi="黑体" w:eastAsia="黑体" w:cs="黑体"/>
          <w:sz w:val="21"/>
          <w:szCs w:val="21"/>
        </w:rPr>
        <w:t xml:space="preserve"> 2018年繁峙县环境空气质量现状评价表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953"/>
        <w:gridCol w:w="1521"/>
        <w:gridCol w:w="1216"/>
        <w:gridCol w:w="1216"/>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pct"/>
            <w:shd w:val="clear" w:color="auto" w:fill="auto"/>
            <w:vAlign w:val="center"/>
          </w:tcPr>
          <w:p>
            <w:pPr>
              <w:adjustRightInd w:val="0"/>
              <w:snapToGrid w:val="0"/>
              <w:spacing w:line="360" w:lineRule="exact"/>
              <w:jc w:val="center"/>
              <w:rPr>
                <w:sz w:val="21"/>
                <w:szCs w:val="21"/>
              </w:rPr>
            </w:pPr>
            <w:r>
              <w:rPr>
                <w:sz w:val="21"/>
                <w:szCs w:val="21"/>
              </w:rPr>
              <w:t>污染物</w:t>
            </w:r>
          </w:p>
        </w:tc>
        <w:tc>
          <w:tcPr>
            <w:tcW w:w="1983" w:type="pct"/>
            <w:shd w:val="clear" w:color="auto" w:fill="auto"/>
            <w:vAlign w:val="center"/>
          </w:tcPr>
          <w:p>
            <w:pPr>
              <w:adjustRightInd w:val="0"/>
              <w:snapToGrid w:val="0"/>
              <w:spacing w:line="360" w:lineRule="exact"/>
              <w:jc w:val="center"/>
              <w:rPr>
                <w:sz w:val="21"/>
                <w:szCs w:val="21"/>
              </w:rPr>
            </w:pPr>
            <w:r>
              <w:rPr>
                <w:sz w:val="21"/>
                <w:szCs w:val="21"/>
              </w:rPr>
              <w:t>年评价指标</w:t>
            </w:r>
          </w:p>
        </w:tc>
        <w:tc>
          <w:tcPr>
            <w:tcW w:w="763" w:type="pct"/>
            <w:shd w:val="clear" w:color="auto" w:fill="auto"/>
            <w:vAlign w:val="center"/>
          </w:tcPr>
          <w:p>
            <w:pPr>
              <w:adjustRightInd w:val="0"/>
              <w:snapToGrid w:val="0"/>
              <w:spacing w:line="360" w:lineRule="exact"/>
              <w:jc w:val="center"/>
              <w:rPr>
                <w:sz w:val="21"/>
                <w:szCs w:val="21"/>
              </w:rPr>
            </w:pPr>
            <w:r>
              <w:rPr>
                <w:sz w:val="21"/>
                <w:szCs w:val="21"/>
              </w:rPr>
              <w:t>现状浓度(μg/m</w:t>
            </w:r>
            <w:r>
              <w:rPr>
                <w:sz w:val="21"/>
                <w:szCs w:val="21"/>
                <w:vertAlign w:val="superscript"/>
              </w:rPr>
              <w:t>3</w:t>
            </w:r>
            <w:r>
              <w:rPr>
                <w:sz w:val="21"/>
                <w:szCs w:val="21"/>
              </w:rPr>
              <w:t>)</w:t>
            </w:r>
          </w:p>
        </w:tc>
        <w:tc>
          <w:tcPr>
            <w:tcW w:w="610" w:type="pct"/>
            <w:shd w:val="clear" w:color="auto" w:fill="auto"/>
            <w:vAlign w:val="center"/>
          </w:tcPr>
          <w:p>
            <w:pPr>
              <w:adjustRightInd w:val="0"/>
              <w:snapToGrid w:val="0"/>
              <w:spacing w:line="360" w:lineRule="exact"/>
              <w:jc w:val="center"/>
              <w:rPr>
                <w:sz w:val="21"/>
                <w:szCs w:val="21"/>
              </w:rPr>
            </w:pPr>
            <w:r>
              <w:rPr>
                <w:sz w:val="21"/>
                <w:szCs w:val="21"/>
              </w:rPr>
              <w:t>评价标准(μg/m</w:t>
            </w:r>
            <w:r>
              <w:rPr>
                <w:sz w:val="21"/>
                <w:szCs w:val="21"/>
                <w:vertAlign w:val="superscript"/>
              </w:rPr>
              <w:t>3</w:t>
            </w:r>
            <w:r>
              <w:rPr>
                <w:sz w:val="21"/>
                <w:szCs w:val="21"/>
              </w:rPr>
              <w:t>)</w:t>
            </w:r>
          </w:p>
        </w:tc>
        <w:tc>
          <w:tcPr>
            <w:tcW w:w="610" w:type="pct"/>
            <w:shd w:val="clear" w:color="auto" w:fill="auto"/>
            <w:vAlign w:val="center"/>
          </w:tcPr>
          <w:p>
            <w:pPr>
              <w:adjustRightInd w:val="0"/>
              <w:snapToGrid w:val="0"/>
              <w:spacing w:line="360" w:lineRule="exact"/>
              <w:jc w:val="center"/>
              <w:rPr>
                <w:sz w:val="21"/>
                <w:szCs w:val="21"/>
              </w:rPr>
            </w:pPr>
            <w:r>
              <w:rPr>
                <w:sz w:val="21"/>
                <w:szCs w:val="21"/>
              </w:rPr>
              <w:t>占标率</w:t>
            </w:r>
            <w:r>
              <w:rPr>
                <w:rFonts w:hint="eastAsia"/>
                <w:sz w:val="21"/>
                <w:szCs w:val="21"/>
              </w:rPr>
              <w:t>（</w:t>
            </w:r>
            <w:r>
              <w:rPr>
                <w:sz w:val="21"/>
                <w:szCs w:val="21"/>
              </w:rPr>
              <w:t>%</w:t>
            </w:r>
            <w:r>
              <w:rPr>
                <w:rFonts w:hint="eastAsia"/>
                <w:sz w:val="21"/>
                <w:szCs w:val="21"/>
              </w:rPr>
              <w:t>）</w:t>
            </w:r>
          </w:p>
        </w:tc>
        <w:tc>
          <w:tcPr>
            <w:tcW w:w="515" w:type="pct"/>
            <w:shd w:val="clear" w:color="auto" w:fill="auto"/>
            <w:vAlign w:val="center"/>
          </w:tcPr>
          <w:p>
            <w:pPr>
              <w:adjustRightInd w:val="0"/>
              <w:snapToGrid w:val="0"/>
              <w:spacing w:line="360" w:lineRule="exact"/>
              <w:jc w:val="center"/>
              <w:rPr>
                <w:sz w:val="21"/>
                <w:szCs w:val="21"/>
              </w:rPr>
            </w:pPr>
            <w:r>
              <w:rPr>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pct"/>
            <w:shd w:val="clear" w:color="auto" w:fill="auto"/>
            <w:vAlign w:val="center"/>
          </w:tcPr>
          <w:p>
            <w:pPr>
              <w:adjustRightInd w:val="0"/>
              <w:snapToGrid w:val="0"/>
              <w:spacing w:line="360" w:lineRule="exact"/>
              <w:jc w:val="center"/>
              <w:rPr>
                <w:sz w:val="21"/>
                <w:szCs w:val="21"/>
              </w:rPr>
            </w:pPr>
            <w:r>
              <w:rPr>
                <w:sz w:val="21"/>
                <w:szCs w:val="21"/>
              </w:rPr>
              <w:t>SO</w:t>
            </w:r>
            <w:r>
              <w:rPr>
                <w:sz w:val="21"/>
                <w:szCs w:val="21"/>
                <w:vertAlign w:val="subscript"/>
              </w:rPr>
              <w:t>2</w:t>
            </w:r>
          </w:p>
        </w:tc>
        <w:tc>
          <w:tcPr>
            <w:tcW w:w="1983" w:type="pct"/>
            <w:shd w:val="clear" w:color="auto" w:fill="auto"/>
            <w:vAlign w:val="center"/>
          </w:tcPr>
          <w:p>
            <w:pPr>
              <w:adjustRightInd w:val="0"/>
              <w:snapToGrid w:val="0"/>
              <w:spacing w:line="360" w:lineRule="exact"/>
              <w:jc w:val="center"/>
              <w:rPr>
                <w:sz w:val="21"/>
                <w:szCs w:val="21"/>
              </w:rPr>
            </w:pPr>
            <w:r>
              <w:rPr>
                <w:sz w:val="21"/>
                <w:szCs w:val="21"/>
              </w:rPr>
              <w:t>年平均质量浓度</w:t>
            </w:r>
          </w:p>
        </w:tc>
        <w:tc>
          <w:tcPr>
            <w:tcW w:w="763" w:type="pct"/>
            <w:shd w:val="clear" w:color="auto" w:fill="auto"/>
            <w:vAlign w:val="center"/>
          </w:tcPr>
          <w:p>
            <w:pPr>
              <w:adjustRightInd w:val="0"/>
              <w:snapToGrid w:val="0"/>
              <w:spacing w:line="360" w:lineRule="exact"/>
              <w:jc w:val="center"/>
              <w:rPr>
                <w:sz w:val="21"/>
                <w:szCs w:val="21"/>
              </w:rPr>
            </w:pPr>
            <w:r>
              <w:rPr>
                <w:rFonts w:hint="eastAsia"/>
                <w:sz w:val="21"/>
                <w:szCs w:val="21"/>
              </w:rPr>
              <w:t>81</w:t>
            </w:r>
          </w:p>
        </w:tc>
        <w:tc>
          <w:tcPr>
            <w:tcW w:w="610" w:type="pct"/>
            <w:shd w:val="clear" w:color="auto" w:fill="auto"/>
            <w:vAlign w:val="center"/>
          </w:tcPr>
          <w:p>
            <w:pPr>
              <w:adjustRightInd w:val="0"/>
              <w:snapToGrid w:val="0"/>
              <w:spacing w:line="360" w:lineRule="exact"/>
              <w:jc w:val="center"/>
              <w:rPr>
                <w:sz w:val="21"/>
                <w:szCs w:val="21"/>
              </w:rPr>
            </w:pPr>
            <w:r>
              <w:rPr>
                <w:sz w:val="21"/>
                <w:szCs w:val="21"/>
              </w:rPr>
              <w:t>60</w:t>
            </w:r>
          </w:p>
        </w:tc>
        <w:tc>
          <w:tcPr>
            <w:tcW w:w="610" w:type="pct"/>
            <w:shd w:val="clear" w:color="auto" w:fill="auto"/>
            <w:vAlign w:val="center"/>
          </w:tcPr>
          <w:p>
            <w:pPr>
              <w:adjustRightInd w:val="0"/>
              <w:snapToGrid w:val="0"/>
              <w:spacing w:line="360" w:lineRule="exact"/>
              <w:jc w:val="center"/>
              <w:rPr>
                <w:sz w:val="21"/>
                <w:szCs w:val="21"/>
              </w:rPr>
            </w:pPr>
            <w:r>
              <w:rPr>
                <w:rFonts w:hint="eastAsia"/>
                <w:sz w:val="21"/>
                <w:szCs w:val="21"/>
              </w:rPr>
              <w:t>135</w:t>
            </w:r>
          </w:p>
        </w:tc>
        <w:tc>
          <w:tcPr>
            <w:tcW w:w="515" w:type="pct"/>
            <w:shd w:val="clear" w:color="auto" w:fill="auto"/>
            <w:vAlign w:val="center"/>
          </w:tcPr>
          <w:p>
            <w:pPr>
              <w:adjustRightInd w:val="0"/>
              <w:snapToGrid w:val="0"/>
              <w:spacing w:line="360" w:lineRule="exact"/>
              <w:jc w:val="center"/>
              <w:rPr>
                <w:sz w:val="21"/>
                <w:szCs w:val="21"/>
              </w:rPr>
            </w:pPr>
            <w:r>
              <w:rPr>
                <w:rFonts w:hint="eastAsia"/>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pct"/>
            <w:shd w:val="clear" w:color="auto" w:fill="auto"/>
            <w:vAlign w:val="center"/>
          </w:tcPr>
          <w:p>
            <w:pPr>
              <w:adjustRightInd w:val="0"/>
              <w:snapToGrid w:val="0"/>
              <w:spacing w:line="360" w:lineRule="exact"/>
              <w:jc w:val="center"/>
              <w:rPr>
                <w:sz w:val="21"/>
                <w:szCs w:val="21"/>
              </w:rPr>
            </w:pPr>
            <w:r>
              <w:rPr>
                <w:sz w:val="21"/>
                <w:szCs w:val="21"/>
              </w:rPr>
              <w:t>NO</w:t>
            </w:r>
            <w:r>
              <w:rPr>
                <w:sz w:val="21"/>
                <w:szCs w:val="21"/>
                <w:vertAlign w:val="subscript"/>
              </w:rPr>
              <w:t>2</w:t>
            </w:r>
          </w:p>
        </w:tc>
        <w:tc>
          <w:tcPr>
            <w:tcW w:w="1983" w:type="pct"/>
            <w:shd w:val="clear" w:color="auto" w:fill="auto"/>
            <w:vAlign w:val="center"/>
          </w:tcPr>
          <w:p>
            <w:pPr>
              <w:adjustRightInd w:val="0"/>
              <w:snapToGrid w:val="0"/>
              <w:spacing w:line="360" w:lineRule="exact"/>
              <w:jc w:val="center"/>
              <w:rPr>
                <w:sz w:val="21"/>
                <w:szCs w:val="21"/>
              </w:rPr>
            </w:pPr>
            <w:r>
              <w:rPr>
                <w:sz w:val="21"/>
                <w:szCs w:val="21"/>
              </w:rPr>
              <w:t>年平均质量浓度</w:t>
            </w:r>
          </w:p>
        </w:tc>
        <w:tc>
          <w:tcPr>
            <w:tcW w:w="763" w:type="pct"/>
            <w:shd w:val="clear" w:color="auto" w:fill="auto"/>
            <w:vAlign w:val="center"/>
          </w:tcPr>
          <w:p>
            <w:pPr>
              <w:adjustRightInd w:val="0"/>
              <w:snapToGrid w:val="0"/>
              <w:spacing w:line="360" w:lineRule="exact"/>
              <w:jc w:val="center"/>
              <w:rPr>
                <w:sz w:val="21"/>
                <w:szCs w:val="21"/>
              </w:rPr>
            </w:pPr>
            <w:r>
              <w:rPr>
                <w:rFonts w:hint="eastAsia"/>
                <w:sz w:val="21"/>
                <w:szCs w:val="21"/>
              </w:rPr>
              <w:t>36</w:t>
            </w:r>
          </w:p>
        </w:tc>
        <w:tc>
          <w:tcPr>
            <w:tcW w:w="610" w:type="pct"/>
            <w:shd w:val="clear" w:color="auto" w:fill="auto"/>
            <w:vAlign w:val="center"/>
          </w:tcPr>
          <w:p>
            <w:pPr>
              <w:adjustRightInd w:val="0"/>
              <w:snapToGrid w:val="0"/>
              <w:spacing w:line="360" w:lineRule="exact"/>
              <w:jc w:val="center"/>
              <w:rPr>
                <w:sz w:val="21"/>
                <w:szCs w:val="21"/>
              </w:rPr>
            </w:pPr>
            <w:r>
              <w:rPr>
                <w:sz w:val="21"/>
                <w:szCs w:val="21"/>
              </w:rPr>
              <w:t>40</w:t>
            </w:r>
          </w:p>
        </w:tc>
        <w:tc>
          <w:tcPr>
            <w:tcW w:w="610" w:type="pct"/>
            <w:shd w:val="clear" w:color="auto" w:fill="auto"/>
            <w:vAlign w:val="center"/>
          </w:tcPr>
          <w:p>
            <w:pPr>
              <w:adjustRightInd w:val="0"/>
              <w:snapToGrid w:val="0"/>
              <w:spacing w:line="360" w:lineRule="exact"/>
              <w:jc w:val="center"/>
              <w:rPr>
                <w:sz w:val="21"/>
                <w:szCs w:val="21"/>
              </w:rPr>
            </w:pPr>
            <w:r>
              <w:rPr>
                <w:rFonts w:hint="eastAsia"/>
                <w:sz w:val="21"/>
                <w:szCs w:val="21"/>
              </w:rPr>
              <w:t>90</w:t>
            </w:r>
          </w:p>
        </w:tc>
        <w:tc>
          <w:tcPr>
            <w:tcW w:w="515" w:type="pct"/>
            <w:shd w:val="clear" w:color="auto" w:fill="auto"/>
            <w:vAlign w:val="center"/>
          </w:tcPr>
          <w:p>
            <w:pPr>
              <w:adjustRightInd w:val="0"/>
              <w:snapToGrid w:val="0"/>
              <w:spacing w:line="360" w:lineRule="exact"/>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pct"/>
            <w:shd w:val="clear" w:color="auto" w:fill="auto"/>
            <w:vAlign w:val="center"/>
          </w:tcPr>
          <w:p>
            <w:pPr>
              <w:adjustRightInd w:val="0"/>
              <w:snapToGrid w:val="0"/>
              <w:spacing w:line="360" w:lineRule="exact"/>
              <w:jc w:val="center"/>
              <w:rPr>
                <w:sz w:val="21"/>
                <w:szCs w:val="21"/>
              </w:rPr>
            </w:pPr>
            <w:r>
              <w:rPr>
                <w:sz w:val="21"/>
                <w:szCs w:val="21"/>
              </w:rPr>
              <w:t>PM</w:t>
            </w:r>
            <w:r>
              <w:rPr>
                <w:sz w:val="21"/>
                <w:szCs w:val="21"/>
                <w:vertAlign w:val="subscript"/>
              </w:rPr>
              <w:t>10</w:t>
            </w:r>
          </w:p>
        </w:tc>
        <w:tc>
          <w:tcPr>
            <w:tcW w:w="1983" w:type="pct"/>
            <w:shd w:val="clear" w:color="auto" w:fill="auto"/>
            <w:vAlign w:val="center"/>
          </w:tcPr>
          <w:p>
            <w:pPr>
              <w:adjustRightInd w:val="0"/>
              <w:snapToGrid w:val="0"/>
              <w:spacing w:line="360" w:lineRule="exact"/>
              <w:jc w:val="center"/>
              <w:rPr>
                <w:sz w:val="21"/>
                <w:szCs w:val="21"/>
              </w:rPr>
            </w:pPr>
            <w:r>
              <w:rPr>
                <w:sz w:val="21"/>
                <w:szCs w:val="21"/>
              </w:rPr>
              <w:t>年平均质量浓度</w:t>
            </w:r>
          </w:p>
        </w:tc>
        <w:tc>
          <w:tcPr>
            <w:tcW w:w="763" w:type="pct"/>
            <w:shd w:val="clear" w:color="auto" w:fill="auto"/>
            <w:vAlign w:val="center"/>
          </w:tcPr>
          <w:p>
            <w:pPr>
              <w:adjustRightInd w:val="0"/>
              <w:snapToGrid w:val="0"/>
              <w:spacing w:line="360" w:lineRule="exact"/>
              <w:jc w:val="center"/>
              <w:rPr>
                <w:sz w:val="21"/>
                <w:szCs w:val="21"/>
              </w:rPr>
            </w:pPr>
            <w:r>
              <w:rPr>
                <w:rFonts w:hint="eastAsia"/>
                <w:sz w:val="21"/>
                <w:szCs w:val="21"/>
              </w:rPr>
              <w:t>76</w:t>
            </w:r>
          </w:p>
        </w:tc>
        <w:tc>
          <w:tcPr>
            <w:tcW w:w="610" w:type="pct"/>
            <w:shd w:val="clear" w:color="auto" w:fill="auto"/>
            <w:vAlign w:val="center"/>
          </w:tcPr>
          <w:p>
            <w:pPr>
              <w:adjustRightInd w:val="0"/>
              <w:snapToGrid w:val="0"/>
              <w:spacing w:line="360" w:lineRule="exact"/>
              <w:jc w:val="center"/>
              <w:rPr>
                <w:sz w:val="21"/>
                <w:szCs w:val="21"/>
              </w:rPr>
            </w:pPr>
            <w:r>
              <w:rPr>
                <w:sz w:val="21"/>
                <w:szCs w:val="21"/>
              </w:rPr>
              <w:t>70</w:t>
            </w:r>
          </w:p>
        </w:tc>
        <w:tc>
          <w:tcPr>
            <w:tcW w:w="610" w:type="pct"/>
            <w:shd w:val="clear" w:color="auto" w:fill="auto"/>
            <w:vAlign w:val="center"/>
          </w:tcPr>
          <w:p>
            <w:pPr>
              <w:adjustRightInd w:val="0"/>
              <w:snapToGrid w:val="0"/>
              <w:spacing w:line="360" w:lineRule="exact"/>
              <w:jc w:val="center"/>
              <w:rPr>
                <w:sz w:val="21"/>
                <w:szCs w:val="21"/>
              </w:rPr>
            </w:pPr>
            <w:r>
              <w:rPr>
                <w:rFonts w:hint="eastAsia"/>
                <w:sz w:val="21"/>
                <w:szCs w:val="21"/>
              </w:rPr>
              <w:t>108.6</w:t>
            </w:r>
          </w:p>
        </w:tc>
        <w:tc>
          <w:tcPr>
            <w:tcW w:w="515" w:type="pct"/>
            <w:shd w:val="clear" w:color="auto" w:fill="auto"/>
            <w:vAlign w:val="center"/>
          </w:tcPr>
          <w:p>
            <w:pPr>
              <w:adjustRightInd w:val="0"/>
              <w:snapToGrid w:val="0"/>
              <w:spacing w:line="360" w:lineRule="exact"/>
              <w:jc w:val="center"/>
              <w:rPr>
                <w:sz w:val="21"/>
                <w:szCs w:val="21"/>
              </w:rPr>
            </w:pPr>
            <w:r>
              <w:rPr>
                <w:rFonts w:hint="eastAsia"/>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pct"/>
            <w:shd w:val="clear" w:color="auto" w:fill="auto"/>
            <w:vAlign w:val="center"/>
          </w:tcPr>
          <w:p>
            <w:pPr>
              <w:adjustRightInd w:val="0"/>
              <w:snapToGrid w:val="0"/>
              <w:spacing w:line="360" w:lineRule="exact"/>
              <w:jc w:val="center"/>
              <w:rPr>
                <w:sz w:val="21"/>
                <w:szCs w:val="21"/>
              </w:rPr>
            </w:pPr>
            <w:r>
              <w:rPr>
                <w:sz w:val="21"/>
                <w:szCs w:val="21"/>
              </w:rPr>
              <w:t>PM</w:t>
            </w:r>
            <w:r>
              <w:rPr>
                <w:sz w:val="21"/>
                <w:szCs w:val="21"/>
                <w:vertAlign w:val="subscript"/>
              </w:rPr>
              <w:t>2.5</w:t>
            </w:r>
          </w:p>
        </w:tc>
        <w:tc>
          <w:tcPr>
            <w:tcW w:w="1983" w:type="pct"/>
            <w:shd w:val="clear" w:color="auto" w:fill="auto"/>
            <w:vAlign w:val="center"/>
          </w:tcPr>
          <w:p>
            <w:pPr>
              <w:adjustRightInd w:val="0"/>
              <w:snapToGrid w:val="0"/>
              <w:spacing w:line="360" w:lineRule="exact"/>
              <w:jc w:val="center"/>
              <w:rPr>
                <w:sz w:val="21"/>
                <w:szCs w:val="21"/>
              </w:rPr>
            </w:pPr>
            <w:r>
              <w:rPr>
                <w:sz w:val="21"/>
                <w:szCs w:val="21"/>
              </w:rPr>
              <w:t>年平均质量浓度</w:t>
            </w:r>
          </w:p>
        </w:tc>
        <w:tc>
          <w:tcPr>
            <w:tcW w:w="763" w:type="pct"/>
            <w:shd w:val="clear" w:color="auto" w:fill="auto"/>
            <w:vAlign w:val="center"/>
          </w:tcPr>
          <w:p>
            <w:pPr>
              <w:adjustRightInd w:val="0"/>
              <w:snapToGrid w:val="0"/>
              <w:spacing w:line="360" w:lineRule="exact"/>
              <w:jc w:val="center"/>
              <w:rPr>
                <w:sz w:val="21"/>
                <w:szCs w:val="21"/>
              </w:rPr>
            </w:pPr>
            <w:r>
              <w:rPr>
                <w:rFonts w:hint="eastAsia"/>
                <w:sz w:val="21"/>
                <w:szCs w:val="21"/>
              </w:rPr>
              <w:t>44</w:t>
            </w:r>
          </w:p>
        </w:tc>
        <w:tc>
          <w:tcPr>
            <w:tcW w:w="610" w:type="pct"/>
            <w:shd w:val="clear" w:color="auto" w:fill="auto"/>
            <w:vAlign w:val="center"/>
          </w:tcPr>
          <w:p>
            <w:pPr>
              <w:adjustRightInd w:val="0"/>
              <w:snapToGrid w:val="0"/>
              <w:spacing w:line="360" w:lineRule="exact"/>
              <w:jc w:val="center"/>
              <w:rPr>
                <w:sz w:val="21"/>
                <w:szCs w:val="21"/>
              </w:rPr>
            </w:pPr>
            <w:r>
              <w:rPr>
                <w:sz w:val="21"/>
                <w:szCs w:val="21"/>
              </w:rPr>
              <w:t>35</w:t>
            </w:r>
          </w:p>
        </w:tc>
        <w:tc>
          <w:tcPr>
            <w:tcW w:w="610" w:type="pct"/>
            <w:shd w:val="clear" w:color="auto" w:fill="auto"/>
            <w:vAlign w:val="center"/>
          </w:tcPr>
          <w:p>
            <w:pPr>
              <w:adjustRightInd w:val="0"/>
              <w:snapToGrid w:val="0"/>
              <w:spacing w:line="360" w:lineRule="exact"/>
              <w:jc w:val="center"/>
              <w:rPr>
                <w:sz w:val="21"/>
                <w:szCs w:val="21"/>
              </w:rPr>
            </w:pPr>
            <w:r>
              <w:rPr>
                <w:rFonts w:hint="eastAsia"/>
                <w:sz w:val="21"/>
                <w:szCs w:val="21"/>
              </w:rPr>
              <w:t>125.7</w:t>
            </w:r>
          </w:p>
        </w:tc>
        <w:tc>
          <w:tcPr>
            <w:tcW w:w="515" w:type="pct"/>
            <w:shd w:val="clear" w:color="auto" w:fill="auto"/>
            <w:vAlign w:val="center"/>
          </w:tcPr>
          <w:p>
            <w:pPr>
              <w:adjustRightInd w:val="0"/>
              <w:snapToGrid w:val="0"/>
              <w:spacing w:line="360" w:lineRule="exact"/>
              <w:jc w:val="center"/>
              <w:rPr>
                <w:sz w:val="21"/>
                <w:szCs w:val="21"/>
              </w:rPr>
            </w:pPr>
            <w:r>
              <w:rPr>
                <w:rFonts w:hint="eastAsia"/>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pct"/>
            <w:shd w:val="clear" w:color="auto" w:fill="auto"/>
            <w:vAlign w:val="center"/>
          </w:tcPr>
          <w:p>
            <w:pPr>
              <w:adjustRightInd w:val="0"/>
              <w:snapToGrid w:val="0"/>
              <w:spacing w:line="360" w:lineRule="exact"/>
              <w:jc w:val="center"/>
              <w:rPr>
                <w:sz w:val="21"/>
                <w:szCs w:val="21"/>
              </w:rPr>
            </w:pPr>
            <w:r>
              <w:rPr>
                <w:sz w:val="21"/>
                <w:szCs w:val="21"/>
              </w:rPr>
              <w:t>CO</w:t>
            </w:r>
          </w:p>
        </w:tc>
        <w:tc>
          <w:tcPr>
            <w:tcW w:w="1983" w:type="pct"/>
            <w:shd w:val="clear" w:color="auto" w:fill="auto"/>
            <w:vAlign w:val="center"/>
          </w:tcPr>
          <w:p>
            <w:pPr>
              <w:adjustRightInd w:val="0"/>
              <w:snapToGrid w:val="0"/>
              <w:spacing w:line="360" w:lineRule="exact"/>
              <w:jc w:val="center"/>
              <w:rPr>
                <w:sz w:val="21"/>
                <w:szCs w:val="21"/>
              </w:rPr>
            </w:pPr>
            <w:r>
              <w:rPr>
                <w:rFonts w:hint="eastAsia"/>
                <w:sz w:val="21"/>
                <w:szCs w:val="21"/>
              </w:rPr>
              <w:t>第95</w:t>
            </w:r>
            <w:r>
              <w:rPr>
                <w:sz w:val="21"/>
                <w:szCs w:val="21"/>
              </w:rPr>
              <w:t>百分位数日平均质量浓度</w:t>
            </w:r>
          </w:p>
        </w:tc>
        <w:tc>
          <w:tcPr>
            <w:tcW w:w="763" w:type="pct"/>
            <w:shd w:val="clear" w:color="auto" w:fill="auto"/>
            <w:vAlign w:val="center"/>
          </w:tcPr>
          <w:p>
            <w:pPr>
              <w:adjustRightInd w:val="0"/>
              <w:snapToGrid w:val="0"/>
              <w:spacing w:line="360" w:lineRule="exact"/>
              <w:jc w:val="center"/>
              <w:rPr>
                <w:sz w:val="21"/>
                <w:szCs w:val="21"/>
              </w:rPr>
            </w:pPr>
            <w:r>
              <w:rPr>
                <w:rFonts w:hint="eastAsia"/>
                <w:sz w:val="21"/>
                <w:szCs w:val="21"/>
              </w:rPr>
              <w:t>3200</w:t>
            </w:r>
          </w:p>
        </w:tc>
        <w:tc>
          <w:tcPr>
            <w:tcW w:w="610" w:type="pct"/>
            <w:shd w:val="clear" w:color="auto" w:fill="auto"/>
            <w:vAlign w:val="center"/>
          </w:tcPr>
          <w:p>
            <w:pPr>
              <w:adjustRightInd w:val="0"/>
              <w:snapToGrid w:val="0"/>
              <w:spacing w:line="360" w:lineRule="exact"/>
              <w:jc w:val="center"/>
              <w:rPr>
                <w:sz w:val="21"/>
                <w:szCs w:val="21"/>
              </w:rPr>
            </w:pPr>
            <w:r>
              <w:rPr>
                <w:sz w:val="21"/>
                <w:szCs w:val="21"/>
              </w:rPr>
              <w:t>4</w:t>
            </w:r>
            <w:r>
              <w:rPr>
                <w:rFonts w:hint="eastAsia"/>
                <w:sz w:val="21"/>
                <w:szCs w:val="21"/>
              </w:rPr>
              <w:t>000</w:t>
            </w:r>
          </w:p>
        </w:tc>
        <w:tc>
          <w:tcPr>
            <w:tcW w:w="610" w:type="pct"/>
            <w:shd w:val="clear" w:color="auto" w:fill="auto"/>
            <w:vAlign w:val="center"/>
          </w:tcPr>
          <w:p>
            <w:pPr>
              <w:adjustRightInd w:val="0"/>
              <w:snapToGrid w:val="0"/>
              <w:spacing w:line="360" w:lineRule="exact"/>
              <w:jc w:val="center"/>
              <w:rPr>
                <w:sz w:val="21"/>
                <w:szCs w:val="21"/>
              </w:rPr>
            </w:pPr>
            <w:r>
              <w:rPr>
                <w:rFonts w:hint="eastAsia"/>
                <w:sz w:val="21"/>
                <w:szCs w:val="21"/>
              </w:rPr>
              <w:t>80</w:t>
            </w:r>
          </w:p>
        </w:tc>
        <w:tc>
          <w:tcPr>
            <w:tcW w:w="515" w:type="pct"/>
            <w:shd w:val="clear" w:color="auto" w:fill="auto"/>
            <w:vAlign w:val="center"/>
          </w:tcPr>
          <w:p>
            <w:pPr>
              <w:adjustRightInd w:val="0"/>
              <w:snapToGrid w:val="0"/>
              <w:spacing w:line="360" w:lineRule="exact"/>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pct"/>
            <w:shd w:val="clear" w:color="auto" w:fill="auto"/>
            <w:vAlign w:val="center"/>
          </w:tcPr>
          <w:p>
            <w:pPr>
              <w:adjustRightInd w:val="0"/>
              <w:snapToGrid w:val="0"/>
              <w:spacing w:line="360" w:lineRule="exact"/>
              <w:jc w:val="center"/>
              <w:rPr>
                <w:sz w:val="21"/>
                <w:szCs w:val="21"/>
              </w:rPr>
            </w:pPr>
            <w:r>
              <w:rPr>
                <w:sz w:val="21"/>
                <w:szCs w:val="21"/>
              </w:rPr>
              <w:t>O</w:t>
            </w:r>
            <w:r>
              <w:rPr>
                <w:sz w:val="21"/>
                <w:szCs w:val="21"/>
                <w:vertAlign w:val="subscript"/>
              </w:rPr>
              <w:t>3</w:t>
            </w:r>
          </w:p>
        </w:tc>
        <w:tc>
          <w:tcPr>
            <w:tcW w:w="1983" w:type="pct"/>
            <w:shd w:val="clear" w:color="auto" w:fill="auto"/>
            <w:vAlign w:val="center"/>
          </w:tcPr>
          <w:p>
            <w:pPr>
              <w:adjustRightInd w:val="0"/>
              <w:snapToGrid w:val="0"/>
              <w:spacing w:line="360" w:lineRule="exact"/>
              <w:jc w:val="center"/>
              <w:rPr>
                <w:sz w:val="21"/>
                <w:szCs w:val="21"/>
              </w:rPr>
            </w:pPr>
            <w:r>
              <w:rPr>
                <w:rFonts w:hint="eastAsia"/>
                <w:sz w:val="21"/>
                <w:szCs w:val="21"/>
              </w:rPr>
              <w:t>第90</w:t>
            </w:r>
            <w:r>
              <w:rPr>
                <w:sz w:val="21"/>
                <w:szCs w:val="21"/>
              </w:rPr>
              <w:t>百分位数8h平均质量浓度</w:t>
            </w:r>
          </w:p>
        </w:tc>
        <w:tc>
          <w:tcPr>
            <w:tcW w:w="763" w:type="pct"/>
            <w:shd w:val="clear" w:color="auto" w:fill="auto"/>
            <w:vAlign w:val="center"/>
          </w:tcPr>
          <w:p>
            <w:pPr>
              <w:adjustRightInd w:val="0"/>
              <w:snapToGrid w:val="0"/>
              <w:spacing w:line="360" w:lineRule="exact"/>
              <w:jc w:val="center"/>
              <w:rPr>
                <w:sz w:val="21"/>
                <w:szCs w:val="21"/>
              </w:rPr>
            </w:pPr>
            <w:r>
              <w:rPr>
                <w:rFonts w:hint="eastAsia"/>
                <w:sz w:val="21"/>
                <w:szCs w:val="21"/>
              </w:rPr>
              <w:t>152</w:t>
            </w:r>
          </w:p>
        </w:tc>
        <w:tc>
          <w:tcPr>
            <w:tcW w:w="610" w:type="pct"/>
            <w:shd w:val="clear" w:color="auto" w:fill="auto"/>
            <w:vAlign w:val="center"/>
          </w:tcPr>
          <w:p>
            <w:pPr>
              <w:adjustRightInd w:val="0"/>
              <w:snapToGrid w:val="0"/>
              <w:spacing w:line="360" w:lineRule="exact"/>
              <w:jc w:val="center"/>
              <w:rPr>
                <w:sz w:val="21"/>
                <w:szCs w:val="21"/>
              </w:rPr>
            </w:pPr>
            <w:r>
              <w:rPr>
                <w:sz w:val="21"/>
                <w:szCs w:val="21"/>
              </w:rPr>
              <w:t>160</w:t>
            </w:r>
          </w:p>
        </w:tc>
        <w:tc>
          <w:tcPr>
            <w:tcW w:w="610" w:type="pct"/>
            <w:shd w:val="clear" w:color="auto" w:fill="auto"/>
            <w:vAlign w:val="center"/>
          </w:tcPr>
          <w:p>
            <w:pPr>
              <w:adjustRightInd w:val="0"/>
              <w:snapToGrid w:val="0"/>
              <w:spacing w:line="360" w:lineRule="exact"/>
              <w:jc w:val="center"/>
              <w:rPr>
                <w:sz w:val="21"/>
                <w:szCs w:val="21"/>
              </w:rPr>
            </w:pPr>
            <w:r>
              <w:rPr>
                <w:rFonts w:hint="eastAsia"/>
                <w:sz w:val="21"/>
                <w:szCs w:val="21"/>
              </w:rPr>
              <w:t>95</w:t>
            </w:r>
          </w:p>
        </w:tc>
        <w:tc>
          <w:tcPr>
            <w:tcW w:w="515" w:type="pct"/>
            <w:shd w:val="clear" w:color="auto" w:fill="auto"/>
            <w:vAlign w:val="center"/>
          </w:tcPr>
          <w:p>
            <w:pPr>
              <w:adjustRightInd w:val="0"/>
              <w:snapToGrid w:val="0"/>
              <w:spacing w:line="360" w:lineRule="exact"/>
              <w:jc w:val="center"/>
              <w:rPr>
                <w:sz w:val="21"/>
                <w:szCs w:val="21"/>
              </w:rPr>
            </w:pPr>
            <w:r>
              <w:rPr>
                <w:rFonts w:hint="eastAsia"/>
                <w:sz w:val="21"/>
                <w:szCs w:val="21"/>
              </w:rPr>
              <w:t>达标</w:t>
            </w:r>
          </w:p>
        </w:tc>
      </w:tr>
    </w:tbl>
    <w:p>
      <w:pPr>
        <w:spacing w:line="440" w:lineRule="exact"/>
        <w:ind w:firstLine="496" w:firstLineChars="200"/>
        <w:jc w:val="both"/>
        <w:rPr>
          <w:spacing w:val="4"/>
        </w:rPr>
      </w:pPr>
      <w:r>
        <w:rPr>
          <w:spacing w:val="4"/>
        </w:rPr>
        <w:t>由统计结果可知，</w:t>
      </w:r>
      <w:r>
        <w:rPr>
          <w:bCs/>
          <w:color w:val="000000"/>
        </w:rPr>
        <w:t>区域</w:t>
      </w:r>
      <w:r>
        <w:rPr>
          <w:rFonts w:hint="eastAsia"/>
          <w:bCs/>
          <w:color w:val="000000"/>
        </w:rPr>
        <w:t>S</w:t>
      </w:r>
      <w:r>
        <w:rPr>
          <w:bCs/>
          <w:color w:val="000000"/>
        </w:rPr>
        <w:t>O</w:t>
      </w:r>
      <w:r>
        <w:rPr>
          <w:bCs/>
          <w:color w:val="000000"/>
          <w:vertAlign w:val="subscript"/>
        </w:rPr>
        <w:t>2</w:t>
      </w:r>
      <w:r>
        <w:rPr>
          <w:bCs/>
          <w:color w:val="000000"/>
        </w:rPr>
        <w:t>、PM</w:t>
      </w:r>
      <w:r>
        <w:rPr>
          <w:bCs/>
          <w:color w:val="000000"/>
          <w:vertAlign w:val="subscript"/>
        </w:rPr>
        <w:t>10</w:t>
      </w:r>
      <w:r>
        <w:rPr>
          <w:bCs/>
          <w:color w:val="000000"/>
        </w:rPr>
        <w:t>、PM</w:t>
      </w:r>
      <w:r>
        <w:rPr>
          <w:bCs/>
          <w:color w:val="000000"/>
          <w:vertAlign w:val="subscript"/>
        </w:rPr>
        <w:t>2.5</w:t>
      </w:r>
      <w:r>
        <w:rPr>
          <w:bCs/>
          <w:color w:val="000000"/>
        </w:rPr>
        <w:t>出现超标，</w:t>
      </w:r>
      <w:r>
        <w:rPr>
          <w:rFonts w:hint="eastAsia"/>
          <w:bCs/>
          <w:color w:val="000000"/>
        </w:rPr>
        <w:t>N</w:t>
      </w:r>
      <w:r>
        <w:rPr>
          <w:bCs/>
          <w:color w:val="000000"/>
        </w:rPr>
        <w:t>O</w:t>
      </w:r>
      <w:r>
        <w:rPr>
          <w:bCs/>
          <w:color w:val="000000"/>
          <w:vertAlign w:val="subscript"/>
        </w:rPr>
        <w:t>2</w:t>
      </w:r>
      <w:r>
        <w:rPr>
          <w:rFonts w:hint="eastAsia"/>
          <w:bCs/>
          <w:color w:val="000000"/>
        </w:rPr>
        <w:t>、</w:t>
      </w:r>
      <w:r>
        <w:rPr>
          <w:bCs/>
          <w:color w:val="000000"/>
        </w:rPr>
        <w:t>CO和O</w:t>
      </w:r>
      <w:r>
        <w:rPr>
          <w:bCs/>
          <w:color w:val="000000"/>
          <w:vertAlign w:val="subscript"/>
        </w:rPr>
        <w:t>3</w:t>
      </w:r>
      <w:r>
        <w:rPr>
          <w:bCs/>
          <w:color w:val="000000"/>
        </w:rPr>
        <w:t>能够达到《环境空气质量标准》(GB3095-2012)二级标准</w:t>
      </w:r>
      <w:r>
        <w:rPr>
          <w:rFonts w:hint="eastAsia"/>
          <w:bCs/>
          <w:color w:val="000000"/>
        </w:rPr>
        <w:t>，</w:t>
      </w:r>
      <w:r>
        <w:rPr>
          <w:rFonts w:hint="eastAsia"/>
          <w:spacing w:val="4"/>
        </w:rPr>
        <w:t>繁峙县</w:t>
      </w:r>
      <w:r>
        <w:rPr>
          <w:spacing w:val="4"/>
        </w:rPr>
        <w:t>属于</w:t>
      </w:r>
      <w:r>
        <w:rPr>
          <w:rFonts w:hint="eastAsia"/>
          <w:spacing w:val="4"/>
        </w:rPr>
        <w:t>环境空气质量</w:t>
      </w:r>
      <w:r>
        <w:rPr>
          <w:spacing w:val="4"/>
        </w:rPr>
        <w:t>不达标区</w:t>
      </w:r>
      <w:r>
        <w:rPr>
          <w:rFonts w:hint="eastAsia"/>
          <w:spacing w:val="4"/>
        </w:rPr>
        <w:t>。</w:t>
      </w:r>
    </w:p>
    <w:p>
      <w:pPr>
        <w:widowControl w:val="0"/>
        <w:adjustRightInd w:val="0"/>
        <w:snapToGrid w:val="0"/>
        <w:spacing w:before="120" w:beforeLines="50" w:after="120" w:afterLines="50"/>
        <w:jc w:val="both"/>
        <w:outlineLvl w:val="2"/>
        <w:rPr>
          <w:b/>
          <w:kern w:val="2"/>
        </w:rPr>
      </w:pPr>
      <w:r>
        <w:rPr>
          <w:b/>
          <w:kern w:val="2"/>
        </w:rPr>
        <w:t>4.1.</w:t>
      </w:r>
      <w:r>
        <w:rPr>
          <w:rFonts w:hint="eastAsia"/>
          <w:b/>
          <w:kern w:val="2"/>
        </w:rPr>
        <w:t>2其他污染物</w:t>
      </w:r>
    </w:p>
    <w:p>
      <w:pPr>
        <w:spacing w:line="440" w:lineRule="exact"/>
        <w:ind w:firstLine="496" w:firstLineChars="200"/>
        <w:jc w:val="both"/>
        <w:rPr>
          <w:spacing w:val="4"/>
        </w:rPr>
      </w:pPr>
      <w:r>
        <w:rPr>
          <w:rFonts w:hint="eastAsia"/>
          <w:spacing w:val="4"/>
        </w:rPr>
        <w:t>评价期间，建设单位委托山西仪合环境监测有限公司对评价区环境空气质量现状进行了补充监测。</w:t>
      </w:r>
    </w:p>
    <w:p>
      <w:pPr>
        <w:spacing w:line="440" w:lineRule="exact"/>
        <w:ind w:firstLine="496" w:firstLineChars="200"/>
        <w:rPr>
          <w:spacing w:val="4"/>
        </w:rPr>
      </w:pPr>
      <w:r>
        <w:rPr>
          <w:rFonts w:hint="eastAsia"/>
          <w:spacing w:val="4"/>
        </w:rPr>
        <w:t>（1）监测布点</w:t>
      </w:r>
    </w:p>
    <w:p>
      <w:pPr>
        <w:spacing w:line="440" w:lineRule="exact"/>
        <w:ind w:firstLine="496" w:firstLineChars="200"/>
        <w:rPr>
          <w:spacing w:val="4"/>
        </w:rPr>
      </w:pPr>
      <w:r>
        <w:rPr>
          <w:rFonts w:hint="eastAsia"/>
          <w:spacing w:val="4"/>
        </w:rPr>
        <w:t>监测点位信息见下表：</w:t>
      </w:r>
    </w:p>
    <w:p>
      <w:pPr>
        <w:adjustRightInd w:val="0"/>
        <w:snapToGrid w:val="0"/>
        <w:spacing w:line="440" w:lineRule="exact"/>
        <w:ind w:firstLine="174" w:firstLineChars="83"/>
        <w:jc w:val="center"/>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 xml:space="preserve">4.1-2 </w:t>
      </w:r>
      <w:r>
        <w:rPr>
          <w:rFonts w:hint="eastAsia" w:ascii="黑体" w:hAnsi="黑体" w:eastAsia="黑体" w:cs="黑体"/>
          <w:sz w:val="21"/>
          <w:szCs w:val="21"/>
        </w:rPr>
        <w:t xml:space="preserve"> 补充监测点位信息表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6"/>
        <w:gridCol w:w="2186"/>
        <w:gridCol w:w="2363"/>
        <w:gridCol w:w="2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529" w:type="pct"/>
            <w:shd w:val="clear" w:color="auto" w:fill="auto"/>
            <w:vAlign w:val="center"/>
          </w:tcPr>
          <w:p>
            <w:pPr>
              <w:adjustRightInd w:val="0"/>
              <w:snapToGrid w:val="0"/>
              <w:spacing w:line="360" w:lineRule="exact"/>
              <w:jc w:val="center"/>
              <w:rPr>
                <w:sz w:val="21"/>
                <w:szCs w:val="21"/>
              </w:rPr>
            </w:pPr>
            <w:r>
              <w:rPr>
                <w:sz w:val="21"/>
                <w:szCs w:val="21"/>
              </w:rPr>
              <w:t>监测点名称</w:t>
            </w:r>
          </w:p>
        </w:tc>
        <w:tc>
          <w:tcPr>
            <w:tcW w:w="1097" w:type="pct"/>
            <w:shd w:val="clear" w:color="auto" w:fill="auto"/>
            <w:vAlign w:val="center"/>
          </w:tcPr>
          <w:p>
            <w:pPr>
              <w:adjustRightInd w:val="0"/>
              <w:snapToGrid w:val="0"/>
              <w:spacing w:line="360" w:lineRule="exact"/>
              <w:jc w:val="center"/>
              <w:rPr>
                <w:sz w:val="21"/>
                <w:szCs w:val="21"/>
              </w:rPr>
            </w:pPr>
            <w:r>
              <w:rPr>
                <w:sz w:val="21"/>
                <w:szCs w:val="21"/>
              </w:rPr>
              <w:t>相对</w:t>
            </w:r>
            <w:r>
              <w:rPr>
                <w:rFonts w:hint="eastAsia"/>
                <w:sz w:val="21"/>
                <w:szCs w:val="21"/>
              </w:rPr>
              <w:t>矿区</w:t>
            </w:r>
            <w:r>
              <w:rPr>
                <w:sz w:val="21"/>
                <w:szCs w:val="21"/>
              </w:rPr>
              <w:t>方位</w:t>
            </w:r>
          </w:p>
        </w:tc>
        <w:tc>
          <w:tcPr>
            <w:tcW w:w="1186" w:type="pct"/>
            <w:shd w:val="clear" w:color="auto" w:fill="auto"/>
            <w:vAlign w:val="center"/>
          </w:tcPr>
          <w:p>
            <w:pPr>
              <w:adjustRightInd w:val="0"/>
              <w:snapToGrid w:val="0"/>
              <w:spacing w:line="360" w:lineRule="exact"/>
              <w:jc w:val="center"/>
              <w:rPr>
                <w:sz w:val="21"/>
                <w:szCs w:val="21"/>
              </w:rPr>
            </w:pPr>
            <w:r>
              <w:rPr>
                <w:sz w:val="21"/>
                <w:szCs w:val="21"/>
              </w:rPr>
              <w:t>相对</w:t>
            </w:r>
            <w:r>
              <w:rPr>
                <w:rFonts w:hint="eastAsia"/>
                <w:sz w:val="21"/>
                <w:szCs w:val="21"/>
              </w:rPr>
              <w:t>矿</w:t>
            </w:r>
            <w:r>
              <w:rPr>
                <w:sz w:val="21"/>
                <w:szCs w:val="21"/>
              </w:rPr>
              <w:t>界距离/m</w:t>
            </w:r>
          </w:p>
        </w:tc>
        <w:tc>
          <w:tcPr>
            <w:tcW w:w="1186" w:type="pct"/>
            <w:shd w:val="clear" w:color="auto" w:fill="auto"/>
            <w:vAlign w:val="center"/>
          </w:tcPr>
          <w:p>
            <w:pPr>
              <w:adjustRightInd w:val="0"/>
              <w:snapToGrid w:val="0"/>
              <w:spacing w:line="360" w:lineRule="exact"/>
              <w:jc w:val="center"/>
              <w:rPr>
                <w:sz w:val="21"/>
                <w:szCs w:val="21"/>
              </w:rPr>
            </w:pPr>
            <w:r>
              <w:rPr>
                <w:rFonts w:hint="eastAsia"/>
                <w:sz w:val="21"/>
                <w:szCs w:val="21"/>
              </w:rPr>
              <w:t>布点原则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29" w:type="pct"/>
            <w:shd w:val="clear" w:color="auto" w:fill="auto"/>
            <w:vAlign w:val="center"/>
          </w:tcPr>
          <w:p>
            <w:pPr>
              <w:adjustRightInd w:val="0"/>
              <w:snapToGrid w:val="0"/>
              <w:spacing w:line="360" w:lineRule="exact"/>
              <w:jc w:val="center"/>
              <w:rPr>
                <w:sz w:val="21"/>
                <w:szCs w:val="21"/>
              </w:rPr>
            </w:pPr>
            <w:r>
              <w:rPr>
                <w:rFonts w:hint="eastAsia"/>
                <w:sz w:val="21"/>
                <w:szCs w:val="21"/>
              </w:rPr>
              <w:t>孤山铺村</w:t>
            </w:r>
          </w:p>
        </w:tc>
        <w:tc>
          <w:tcPr>
            <w:tcW w:w="1097" w:type="pct"/>
            <w:shd w:val="clear" w:color="auto" w:fill="auto"/>
            <w:vAlign w:val="center"/>
          </w:tcPr>
          <w:p>
            <w:pPr>
              <w:adjustRightInd w:val="0"/>
              <w:snapToGrid w:val="0"/>
              <w:spacing w:line="360" w:lineRule="exact"/>
              <w:jc w:val="center"/>
              <w:rPr>
                <w:sz w:val="21"/>
                <w:szCs w:val="21"/>
              </w:rPr>
            </w:pPr>
            <w:r>
              <w:rPr>
                <w:rFonts w:hint="eastAsia"/>
                <w:sz w:val="21"/>
                <w:szCs w:val="21"/>
              </w:rPr>
              <w:t>SW</w:t>
            </w:r>
          </w:p>
        </w:tc>
        <w:tc>
          <w:tcPr>
            <w:tcW w:w="1186" w:type="pct"/>
            <w:shd w:val="clear" w:color="auto" w:fill="auto"/>
            <w:vAlign w:val="center"/>
          </w:tcPr>
          <w:p>
            <w:pPr>
              <w:adjustRightInd w:val="0"/>
              <w:snapToGrid w:val="0"/>
              <w:spacing w:line="360" w:lineRule="exact"/>
              <w:jc w:val="center"/>
              <w:rPr>
                <w:sz w:val="21"/>
                <w:szCs w:val="21"/>
              </w:rPr>
            </w:pPr>
            <w:r>
              <w:rPr>
                <w:rFonts w:hint="eastAsia"/>
                <w:sz w:val="21"/>
                <w:szCs w:val="21"/>
              </w:rPr>
              <w:t>1748</w:t>
            </w:r>
          </w:p>
        </w:tc>
        <w:tc>
          <w:tcPr>
            <w:tcW w:w="1186" w:type="pct"/>
            <w:shd w:val="clear" w:color="auto" w:fill="auto"/>
            <w:vAlign w:val="center"/>
          </w:tcPr>
          <w:p>
            <w:pPr>
              <w:adjustRightInd w:val="0"/>
              <w:snapToGrid w:val="0"/>
              <w:spacing w:line="360" w:lineRule="exact"/>
              <w:jc w:val="center"/>
              <w:rPr>
                <w:sz w:val="21"/>
                <w:szCs w:val="21"/>
              </w:rPr>
            </w:pPr>
            <w:r>
              <w:rPr>
                <w:rFonts w:hint="eastAsia"/>
                <w:sz w:val="21"/>
                <w:szCs w:val="21"/>
              </w:rPr>
              <w:t>区域主导风向下风向</w:t>
            </w:r>
          </w:p>
        </w:tc>
      </w:tr>
    </w:tbl>
    <w:p>
      <w:pPr>
        <w:spacing w:line="440" w:lineRule="exact"/>
        <w:ind w:firstLine="480" w:firstLineChars="200"/>
      </w:pPr>
      <w:r>
        <w:rPr>
          <w:rFonts w:hint="eastAsia"/>
        </w:rPr>
        <w:t>（2）监测项目</w:t>
      </w:r>
    </w:p>
    <w:p>
      <w:pPr>
        <w:spacing w:line="440" w:lineRule="exact"/>
        <w:ind w:firstLine="480" w:firstLineChars="200"/>
      </w:pPr>
      <w:r>
        <w:rPr>
          <w:rFonts w:hint="eastAsia"/>
        </w:rPr>
        <w:t>TSP日均浓度，</w:t>
      </w:r>
      <w:r>
        <w:t>监测期间同时记录风向、风速、气温和气压等常规气象要素</w:t>
      </w:r>
      <w:r>
        <w:rPr>
          <w:rFonts w:hint="eastAsia"/>
        </w:rPr>
        <w:t>。</w:t>
      </w:r>
    </w:p>
    <w:p>
      <w:pPr>
        <w:spacing w:line="440" w:lineRule="exact"/>
        <w:ind w:firstLine="480" w:firstLineChars="200"/>
      </w:pPr>
      <w:r>
        <w:rPr>
          <w:rFonts w:hint="eastAsia"/>
        </w:rPr>
        <w:t>（3）监测时间和频率</w:t>
      </w:r>
    </w:p>
    <w:p>
      <w:pPr>
        <w:spacing w:line="440" w:lineRule="exact"/>
        <w:ind w:firstLine="480" w:firstLineChars="200"/>
      </w:pPr>
      <w:r>
        <w:rPr>
          <w:rFonts w:hint="eastAsia"/>
        </w:rPr>
        <w:t>连续监测7天（20191108~20191114），每天连续监测24h，</w:t>
      </w:r>
    </w:p>
    <w:p>
      <w:pPr>
        <w:spacing w:line="440" w:lineRule="exact"/>
        <w:ind w:firstLine="480" w:firstLineChars="200"/>
      </w:pPr>
      <w:r>
        <w:rPr>
          <w:rFonts w:hint="eastAsia"/>
        </w:rPr>
        <w:t>（4）采样和分析方法</w:t>
      </w:r>
    </w:p>
    <w:p>
      <w:pPr>
        <w:spacing w:line="440" w:lineRule="exact"/>
        <w:ind w:firstLine="480" w:firstLineChars="200"/>
        <w:jc w:val="both"/>
      </w:pPr>
      <w:r>
        <w:t>采样和分析方法依据《《环境空气</w:t>
      </w:r>
      <w:r>
        <w:rPr>
          <w:rFonts w:hint="eastAsia"/>
        </w:rPr>
        <w:t>手工监测技术规范</w:t>
      </w:r>
      <w:r>
        <w:t>》</w:t>
      </w:r>
      <w:r>
        <w:rPr>
          <w:rFonts w:hint="eastAsia"/>
        </w:rPr>
        <w:t>HJ194-2017</w:t>
      </w:r>
      <w:r>
        <w:t>》、《环境空气 总悬浮颗粒物的测定 重量法GB15432-1995》中有关规定进行</w:t>
      </w:r>
      <w:r>
        <w:rPr>
          <w:rFonts w:hint="eastAsia"/>
        </w:rPr>
        <w:t>，</w:t>
      </w:r>
    </w:p>
    <w:p>
      <w:pPr>
        <w:spacing w:line="440" w:lineRule="exact"/>
        <w:ind w:firstLine="480" w:firstLineChars="200"/>
      </w:pPr>
      <w:r>
        <w:rPr>
          <w:rFonts w:hint="eastAsia"/>
        </w:rPr>
        <w:t>（5）监测结果统计</w:t>
      </w:r>
    </w:p>
    <w:p>
      <w:pPr>
        <w:spacing w:line="440" w:lineRule="exact"/>
        <w:ind w:firstLine="480" w:firstLineChars="200"/>
      </w:pPr>
      <w:r>
        <w:rPr>
          <w:rFonts w:hint="eastAsia"/>
        </w:rPr>
        <w:t>监测结果见表4.1-3</w:t>
      </w:r>
    </w:p>
    <w:p>
      <w:pPr>
        <w:adjustRightInd w:val="0"/>
        <w:snapToGrid w:val="0"/>
        <w:spacing w:line="440" w:lineRule="exact"/>
        <w:ind w:firstLine="174" w:firstLineChars="83"/>
        <w:jc w:val="center"/>
        <w:rPr>
          <w:rFonts w:eastAsia="黑体"/>
          <w:sz w:val="21"/>
          <w:szCs w:val="21"/>
        </w:rPr>
      </w:pPr>
      <w:r>
        <w:rPr>
          <w:rFonts w:eastAsia="黑体"/>
          <w:sz w:val="21"/>
          <w:szCs w:val="21"/>
        </w:rPr>
        <w:t>表4.1-3</w:t>
      </w:r>
      <w:r>
        <w:rPr>
          <w:rFonts w:hint="eastAsia" w:eastAsia="黑体"/>
          <w:sz w:val="21"/>
          <w:szCs w:val="21"/>
        </w:rPr>
        <w:t xml:space="preserve">  </w:t>
      </w:r>
      <w:r>
        <w:rPr>
          <w:rFonts w:eastAsia="黑体"/>
          <w:sz w:val="21"/>
          <w:szCs w:val="21"/>
        </w:rPr>
        <w:t xml:space="preserve"> TSP监测结果统计表</w:t>
      </w:r>
    </w:p>
    <w:tbl>
      <w:tblPr>
        <w:tblStyle w:val="8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1065"/>
        <w:gridCol w:w="1017"/>
        <w:gridCol w:w="1168"/>
        <w:gridCol w:w="1986"/>
        <w:gridCol w:w="1220"/>
        <w:gridCol w:w="113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shd w:val="clear" w:color="auto" w:fill="auto"/>
            <w:vAlign w:val="center"/>
          </w:tcPr>
          <w:p>
            <w:pPr>
              <w:adjustRightInd w:val="0"/>
              <w:snapToGrid w:val="0"/>
              <w:spacing w:line="320" w:lineRule="exact"/>
              <w:jc w:val="center"/>
              <w:rPr>
                <w:sz w:val="21"/>
                <w:szCs w:val="21"/>
              </w:rPr>
            </w:pPr>
            <w:r>
              <w:rPr>
                <w:sz w:val="21"/>
                <w:szCs w:val="21"/>
              </w:rPr>
              <w:t>监测点位</w:t>
            </w:r>
          </w:p>
        </w:tc>
        <w:tc>
          <w:tcPr>
            <w:tcW w:w="534" w:type="pct"/>
            <w:shd w:val="clear" w:color="auto" w:fill="auto"/>
            <w:vAlign w:val="center"/>
          </w:tcPr>
          <w:p>
            <w:pPr>
              <w:adjustRightInd w:val="0"/>
              <w:snapToGrid w:val="0"/>
              <w:spacing w:line="320" w:lineRule="exact"/>
              <w:jc w:val="center"/>
              <w:rPr>
                <w:sz w:val="21"/>
                <w:szCs w:val="21"/>
              </w:rPr>
            </w:pPr>
            <w:r>
              <w:rPr>
                <w:sz w:val="21"/>
                <w:szCs w:val="21"/>
              </w:rPr>
              <w:t>污染物</w:t>
            </w:r>
          </w:p>
        </w:tc>
        <w:tc>
          <w:tcPr>
            <w:tcW w:w="510" w:type="pct"/>
            <w:shd w:val="clear" w:color="auto" w:fill="auto"/>
          </w:tcPr>
          <w:p>
            <w:pPr>
              <w:adjustRightInd w:val="0"/>
              <w:snapToGrid w:val="0"/>
              <w:spacing w:line="320" w:lineRule="exact"/>
              <w:jc w:val="center"/>
              <w:rPr>
                <w:sz w:val="21"/>
                <w:szCs w:val="21"/>
              </w:rPr>
            </w:pPr>
            <w:r>
              <w:rPr>
                <w:sz w:val="21"/>
                <w:szCs w:val="21"/>
              </w:rPr>
              <w:t>平均时间</w:t>
            </w:r>
          </w:p>
        </w:tc>
        <w:tc>
          <w:tcPr>
            <w:tcW w:w="586" w:type="pct"/>
            <w:shd w:val="clear" w:color="auto" w:fill="auto"/>
            <w:vAlign w:val="center"/>
          </w:tcPr>
          <w:p>
            <w:pPr>
              <w:adjustRightInd w:val="0"/>
              <w:snapToGrid w:val="0"/>
              <w:spacing w:line="320" w:lineRule="exact"/>
              <w:jc w:val="center"/>
              <w:rPr>
                <w:sz w:val="21"/>
                <w:szCs w:val="21"/>
              </w:rPr>
            </w:pPr>
            <w:r>
              <w:rPr>
                <w:sz w:val="21"/>
                <w:szCs w:val="21"/>
              </w:rPr>
              <w:t>评价标准(μg/m</w:t>
            </w:r>
            <w:r>
              <w:rPr>
                <w:sz w:val="21"/>
                <w:szCs w:val="21"/>
                <w:vertAlign w:val="superscript"/>
              </w:rPr>
              <w:t>3</w:t>
            </w:r>
            <w:r>
              <w:rPr>
                <w:sz w:val="21"/>
                <w:szCs w:val="21"/>
              </w:rPr>
              <w:t>)</w:t>
            </w:r>
          </w:p>
        </w:tc>
        <w:tc>
          <w:tcPr>
            <w:tcW w:w="996" w:type="pct"/>
            <w:shd w:val="clear" w:color="auto" w:fill="auto"/>
            <w:vAlign w:val="center"/>
          </w:tcPr>
          <w:p>
            <w:pPr>
              <w:adjustRightInd w:val="0"/>
              <w:snapToGrid w:val="0"/>
              <w:spacing w:line="320" w:lineRule="exact"/>
              <w:jc w:val="center"/>
              <w:rPr>
                <w:sz w:val="21"/>
                <w:szCs w:val="21"/>
              </w:rPr>
            </w:pPr>
            <w:r>
              <w:rPr>
                <w:sz w:val="21"/>
                <w:szCs w:val="21"/>
              </w:rPr>
              <w:t>监测浓度范围(μg/m</w:t>
            </w:r>
            <w:r>
              <w:rPr>
                <w:sz w:val="21"/>
                <w:szCs w:val="21"/>
                <w:vertAlign w:val="superscript"/>
              </w:rPr>
              <w:t>3</w:t>
            </w:r>
            <w:r>
              <w:rPr>
                <w:sz w:val="21"/>
                <w:szCs w:val="21"/>
              </w:rPr>
              <w:t>)</w:t>
            </w:r>
          </w:p>
        </w:tc>
        <w:tc>
          <w:tcPr>
            <w:tcW w:w="612" w:type="pct"/>
            <w:shd w:val="clear" w:color="auto" w:fill="auto"/>
            <w:vAlign w:val="center"/>
          </w:tcPr>
          <w:p>
            <w:pPr>
              <w:adjustRightInd w:val="0"/>
              <w:snapToGrid w:val="0"/>
              <w:spacing w:line="320" w:lineRule="exact"/>
              <w:jc w:val="center"/>
              <w:rPr>
                <w:sz w:val="21"/>
                <w:szCs w:val="21"/>
              </w:rPr>
            </w:pPr>
            <w:r>
              <w:rPr>
                <w:sz w:val="21"/>
                <w:szCs w:val="21"/>
              </w:rPr>
              <w:t>最大浓度占标率%</w:t>
            </w:r>
          </w:p>
        </w:tc>
        <w:tc>
          <w:tcPr>
            <w:tcW w:w="567" w:type="pct"/>
            <w:shd w:val="clear" w:color="auto" w:fill="auto"/>
            <w:vAlign w:val="center"/>
          </w:tcPr>
          <w:p>
            <w:pPr>
              <w:adjustRightInd w:val="0"/>
              <w:snapToGrid w:val="0"/>
              <w:spacing w:line="320" w:lineRule="exact"/>
              <w:jc w:val="center"/>
              <w:rPr>
                <w:sz w:val="21"/>
                <w:szCs w:val="21"/>
              </w:rPr>
            </w:pPr>
            <w:r>
              <w:rPr>
                <w:sz w:val="21"/>
                <w:szCs w:val="21"/>
              </w:rPr>
              <w:t>超标频率%</w:t>
            </w:r>
          </w:p>
        </w:tc>
        <w:tc>
          <w:tcPr>
            <w:tcW w:w="609" w:type="pct"/>
            <w:shd w:val="clear" w:color="auto" w:fill="auto"/>
            <w:vAlign w:val="center"/>
          </w:tcPr>
          <w:p>
            <w:pPr>
              <w:adjustRightInd w:val="0"/>
              <w:snapToGrid w:val="0"/>
              <w:spacing w:line="320" w:lineRule="exact"/>
              <w:jc w:val="center"/>
              <w:rPr>
                <w:sz w:val="21"/>
                <w:szCs w:val="21"/>
              </w:rPr>
            </w:pPr>
            <w:r>
              <w:rPr>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shd w:val="clear" w:color="auto" w:fill="auto"/>
            <w:vAlign w:val="center"/>
          </w:tcPr>
          <w:p>
            <w:pPr>
              <w:adjustRightInd w:val="0"/>
              <w:snapToGrid w:val="0"/>
              <w:spacing w:line="320" w:lineRule="exact"/>
              <w:jc w:val="center"/>
              <w:rPr>
                <w:sz w:val="21"/>
                <w:szCs w:val="21"/>
              </w:rPr>
            </w:pPr>
            <w:r>
              <w:rPr>
                <w:rFonts w:hint="eastAsia"/>
                <w:sz w:val="21"/>
                <w:szCs w:val="21"/>
              </w:rPr>
              <w:t>孤山铺村</w:t>
            </w:r>
          </w:p>
        </w:tc>
        <w:tc>
          <w:tcPr>
            <w:tcW w:w="534" w:type="pct"/>
            <w:shd w:val="clear" w:color="auto" w:fill="auto"/>
            <w:vAlign w:val="center"/>
          </w:tcPr>
          <w:p>
            <w:pPr>
              <w:adjustRightInd w:val="0"/>
              <w:snapToGrid w:val="0"/>
              <w:spacing w:line="320" w:lineRule="exact"/>
              <w:jc w:val="center"/>
              <w:rPr>
                <w:sz w:val="21"/>
                <w:szCs w:val="21"/>
              </w:rPr>
            </w:pPr>
            <w:r>
              <w:rPr>
                <w:rFonts w:hint="eastAsia"/>
                <w:sz w:val="21"/>
                <w:szCs w:val="21"/>
              </w:rPr>
              <w:t>TSP</w:t>
            </w:r>
          </w:p>
        </w:tc>
        <w:tc>
          <w:tcPr>
            <w:tcW w:w="510" w:type="pct"/>
            <w:shd w:val="clear" w:color="auto" w:fill="auto"/>
          </w:tcPr>
          <w:p>
            <w:pPr>
              <w:adjustRightInd w:val="0"/>
              <w:snapToGrid w:val="0"/>
              <w:spacing w:line="320" w:lineRule="exact"/>
              <w:jc w:val="center"/>
              <w:rPr>
                <w:sz w:val="21"/>
                <w:szCs w:val="21"/>
              </w:rPr>
            </w:pPr>
            <w:r>
              <w:rPr>
                <w:rFonts w:hint="eastAsia"/>
                <w:sz w:val="21"/>
                <w:szCs w:val="21"/>
              </w:rPr>
              <w:t>日平均</w:t>
            </w:r>
          </w:p>
        </w:tc>
        <w:tc>
          <w:tcPr>
            <w:tcW w:w="586" w:type="pct"/>
            <w:shd w:val="clear" w:color="auto" w:fill="auto"/>
            <w:vAlign w:val="center"/>
          </w:tcPr>
          <w:p>
            <w:pPr>
              <w:adjustRightInd w:val="0"/>
              <w:snapToGrid w:val="0"/>
              <w:spacing w:line="320" w:lineRule="exact"/>
              <w:jc w:val="center"/>
              <w:rPr>
                <w:sz w:val="21"/>
                <w:szCs w:val="21"/>
              </w:rPr>
            </w:pPr>
            <w:r>
              <w:rPr>
                <w:rFonts w:hint="eastAsia"/>
                <w:sz w:val="21"/>
                <w:szCs w:val="21"/>
              </w:rPr>
              <w:t>300</w:t>
            </w:r>
          </w:p>
        </w:tc>
        <w:tc>
          <w:tcPr>
            <w:tcW w:w="996" w:type="pct"/>
            <w:shd w:val="clear" w:color="auto" w:fill="auto"/>
            <w:vAlign w:val="center"/>
          </w:tcPr>
          <w:p>
            <w:pPr>
              <w:adjustRightInd w:val="0"/>
              <w:snapToGrid w:val="0"/>
              <w:spacing w:line="320" w:lineRule="exact"/>
              <w:jc w:val="center"/>
              <w:rPr>
                <w:sz w:val="21"/>
                <w:szCs w:val="21"/>
              </w:rPr>
            </w:pPr>
            <w:r>
              <w:rPr>
                <w:rFonts w:hint="eastAsia"/>
                <w:sz w:val="21"/>
                <w:szCs w:val="21"/>
              </w:rPr>
              <w:t>176~227</w:t>
            </w:r>
          </w:p>
        </w:tc>
        <w:tc>
          <w:tcPr>
            <w:tcW w:w="612" w:type="pct"/>
            <w:shd w:val="clear" w:color="auto" w:fill="auto"/>
            <w:vAlign w:val="center"/>
          </w:tcPr>
          <w:p>
            <w:pPr>
              <w:adjustRightInd w:val="0"/>
              <w:snapToGrid w:val="0"/>
              <w:spacing w:line="320" w:lineRule="exact"/>
              <w:jc w:val="center"/>
              <w:rPr>
                <w:sz w:val="21"/>
                <w:szCs w:val="21"/>
              </w:rPr>
            </w:pPr>
            <w:r>
              <w:rPr>
                <w:rFonts w:hint="eastAsia"/>
                <w:sz w:val="21"/>
                <w:szCs w:val="21"/>
              </w:rPr>
              <w:t>75.7</w:t>
            </w:r>
          </w:p>
        </w:tc>
        <w:tc>
          <w:tcPr>
            <w:tcW w:w="567" w:type="pct"/>
            <w:shd w:val="clear" w:color="auto" w:fill="auto"/>
            <w:vAlign w:val="center"/>
          </w:tcPr>
          <w:p>
            <w:pPr>
              <w:adjustRightInd w:val="0"/>
              <w:snapToGrid w:val="0"/>
              <w:spacing w:line="320" w:lineRule="exact"/>
              <w:jc w:val="center"/>
              <w:rPr>
                <w:sz w:val="21"/>
                <w:szCs w:val="21"/>
              </w:rPr>
            </w:pPr>
            <w:r>
              <w:rPr>
                <w:rFonts w:hint="eastAsia"/>
                <w:sz w:val="21"/>
                <w:szCs w:val="21"/>
              </w:rPr>
              <w:t>0</w:t>
            </w:r>
          </w:p>
        </w:tc>
        <w:tc>
          <w:tcPr>
            <w:tcW w:w="609" w:type="pct"/>
            <w:shd w:val="clear" w:color="auto" w:fill="auto"/>
            <w:vAlign w:val="center"/>
          </w:tcPr>
          <w:p>
            <w:pPr>
              <w:adjustRightInd w:val="0"/>
              <w:snapToGrid w:val="0"/>
              <w:spacing w:line="320" w:lineRule="exact"/>
              <w:jc w:val="center"/>
              <w:rPr>
                <w:sz w:val="21"/>
                <w:szCs w:val="21"/>
              </w:rPr>
            </w:pPr>
            <w:r>
              <w:rPr>
                <w:rFonts w:hint="eastAsia"/>
                <w:sz w:val="21"/>
                <w:szCs w:val="21"/>
              </w:rPr>
              <w:t>达标</w:t>
            </w:r>
          </w:p>
        </w:tc>
      </w:tr>
    </w:tbl>
    <w:p>
      <w:pPr>
        <w:spacing w:line="440" w:lineRule="exact"/>
        <w:ind w:firstLine="480" w:firstLineChars="200"/>
      </w:pPr>
      <w:r>
        <w:rPr>
          <w:rFonts w:hint="eastAsia"/>
        </w:rPr>
        <w:t>由上表可知，孤山铺村TSP监测结果能够满足</w:t>
      </w:r>
      <w:r>
        <w:rPr>
          <w:bCs/>
          <w:color w:val="000000"/>
        </w:rPr>
        <w:t>《环境空气质量标准》(GB3095-2012)二级标准</w:t>
      </w:r>
      <w:r>
        <w:rPr>
          <w:rFonts w:hint="eastAsia"/>
        </w:rPr>
        <w:t>要求。</w:t>
      </w:r>
    </w:p>
    <w:p>
      <w:pPr>
        <w:widowControl w:val="0"/>
        <w:adjustRightInd w:val="0"/>
        <w:snapToGrid w:val="0"/>
        <w:spacing w:before="120" w:beforeLines="50" w:after="120" w:afterLines="50"/>
        <w:jc w:val="both"/>
        <w:outlineLvl w:val="1"/>
        <w:rPr>
          <w:b/>
          <w:kern w:val="2"/>
          <w:sz w:val="28"/>
          <w:szCs w:val="28"/>
        </w:rPr>
      </w:pPr>
      <w:bookmarkStart w:id="276" w:name="_Toc8056"/>
      <w:r>
        <w:rPr>
          <w:b/>
          <w:kern w:val="2"/>
          <w:sz w:val="28"/>
          <w:szCs w:val="28"/>
        </w:rPr>
        <w:t>4.2地表水环境质量现状调查与评价</w:t>
      </w:r>
      <w:bookmarkEnd w:id="276"/>
    </w:p>
    <w:p>
      <w:pPr>
        <w:pStyle w:val="361"/>
        <w:spacing w:line="440" w:lineRule="exact"/>
        <w:ind w:firstLineChars="200"/>
        <w:jc w:val="both"/>
        <w:rPr>
          <w:rFonts w:eastAsia="宋体"/>
          <w:bCs/>
          <w:snapToGrid/>
          <w:kern w:val="2"/>
          <w:shd w:val="clear" w:color="auto" w:fill="auto"/>
        </w:rPr>
      </w:pPr>
      <w:r>
        <w:rPr>
          <w:rFonts w:hint="eastAsia" w:eastAsia="宋体"/>
          <w:bCs/>
          <w:snapToGrid/>
          <w:kern w:val="2"/>
          <w:shd w:val="clear" w:color="auto" w:fill="auto"/>
        </w:rPr>
        <w:t>本项目无废水外排，</w:t>
      </w:r>
      <w:r>
        <w:rPr>
          <w:rFonts w:eastAsia="宋体"/>
          <w:bCs/>
          <w:snapToGrid/>
          <w:kern w:val="2"/>
          <w:shd w:val="clear" w:color="auto" w:fill="auto"/>
        </w:rPr>
        <w:t>根据《环境影响评价技术导则 地表水环境》</w:t>
      </w:r>
      <w:r>
        <w:rPr>
          <w:rFonts w:hint="eastAsia" w:eastAsia="宋体"/>
          <w:bCs/>
          <w:snapToGrid/>
          <w:kern w:val="2"/>
          <w:shd w:val="clear" w:color="auto" w:fill="auto"/>
        </w:rPr>
        <w:t>（</w:t>
      </w:r>
      <w:r>
        <w:rPr>
          <w:rFonts w:eastAsia="宋体"/>
          <w:bCs/>
          <w:snapToGrid/>
          <w:kern w:val="2"/>
          <w:shd w:val="clear" w:color="auto" w:fill="auto"/>
        </w:rPr>
        <w:t>HJ2.3-2018</w:t>
      </w:r>
      <w:r>
        <w:rPr>
          <w:rFonts w:hint="eastAsia" w:eastAsia="宋体"/>
          <w:bCs/>
          <w:snapToGrid/>
          <w:kern w:val="2"/>
          <w:shd w:val="clear" w:color="auto" w:fill="auto"/>
        </w:rPr>
        <w:t>）</w:t>
      </w:r>
      <w:r>
        <w:rPr>
          <w:rFonts w:eastAsia="宋体"/>
          <w:bCs/>
          <w:snapToGrid/>
          <w:kern w:val="2"/>
          <w:shd w:val="clear" w:color="auto" w:fill="auto"/>
        </w:rPr>
        <w:t>确定</w:t>
      </w:r>
      <w:r>
        <w:rPr>
          <w:rFonts w:hint="eastAsia" w:eastAsia="宋体"/>
          <w:bCs/>
          <w:snapToGrid/>
          <w:kern w:val="2"/>
          <w:shd w:val="clear" w:color="auto" w:fill="auto"/>
        </w:rPr>
        <w:t>本项目</w:t>
      </w:r>
      <w:r>
        <w:rPr>
          <w:rFonts w:eastAsia="宋体"/>
          <w:bCs/>
          <w:snapToGrid/>
          <w:kern w:val="2"/>
          <w:shd w:val="clear" w:color="auto" w:fill="auto"/>
        </w:rPr>
        <w:t>地表水评价工作等级</w:t>
      </w:r>
      <w:r>
        <w:rPr>
          <w:rFonts w:hint="eastAsia" w:eastAsia="宋体"/>
          <w:bCs/>
          <w:snapToGrid/>
          <w:kern w:val="2"/>
          <w:shd w:val="clear" w:color="auto" w:fill="auto"/>
        </w:rPr>
        <w:t>为</w:t>
      </w:r>
      <w:r>
        <w:rPr>
          <w:rFonts w:eastAsia="宋体"/>
          <w:bCs/>
          <w:snapToGrid/>
          <w:kern w:val="2"/>
          <w:shd w:val="clear" w:color="auto" w:fill="auto"/>
        </w:rPr>
        <w:t>三级</w:t>
      </w:r>
      <w:r>
        <w:rPr>
          <w:rFonts w:hint="eastAsia" w:eastAsia="宋体"/>
          <w:bCs/>
          <w:snapToGrid/>
          <w:kern w:val="2"/>
          <w:shd w:val="clear" w:color="auto" w:fill="auto"/>
        </w:rPr>
        <w:t>B，</w:t>
      </w:r>
      <w:r>
        <w:rPr>
          <w:rFonts w:eastAsia="宋体"/>
          <w:bCs/>
          <w:snapToGrid/>
          <w:kern w:val="2"/>
          <w:shd w:val="clear" w:color="auto" w:fill="auto"/>
        </w:rPr>
        <w:t>只作水环境影响分析</w:t>
      </w:r>
      <w:r>
        <w:rPr>
          <w:rFonts w:hint="eastAsia" w:eastAsia="宋体"/>
          <w:bCs/>
          <w:snapToGrid/>
          <w:kern w:val="2"/>
          <w:shd w:val="clear" w:color="auto" w:fill="auto"/>
        </w:rPr>
        <w:t>，</w:t>
      </w:r>
      <w:r>
        <w:rPr>
          <w:rFonts w:eastAsia="宋体"/>
          <w:bCs/>
          <w:snapToGrid/>
          <w:kern w:val="2"/>
          <w:shd w:val="clear" w:color="auto" w:fill="auto"/>
        </w:rPr>
        <w:t>不进行</w:t>
      </w:r>
      <w:r>
        <w:rPr>
          <w:rFonts w:hint="eastAsia" w:eastAsia="宋体"/>
          <w:bCs/>
          <w:snapToGrid/>
          <w:kern w:val="2"/>
          <w:shd w:val="clear" w:color="auto" w:fill="auto"/>
        </w:rPr>
        <w:t>预测。</w:t>
      </w:r>
    </w:p>
    <w:p>
      <w:pPr>
        <w:pStyle w:val="361"/>
        <w:spacing w:line="440" w:lineRule="exact"/>
        <w:ind w:firstLineChars="200"/>
        <w:jc w:val="both"/>
        <w:rPr>
          <w:rFonts w:eastAsia="宋体"/>
          <w:bCs/>
          <w:snapToGrid/>
          <w:kern w:val="2"/>
          <w:shd w:val="clear" w:color="auto" w:fill="auto"/>
        </w:rPr>
      </w:pPr>
      <w:r>
        <w:rPr>
          <w:rFonts w:hint="eastAsia" w:eastAsia="宋体"/>
          <w:bCs/>
          <w:snapToGrid/>
          <w:kern w:val="2"/>
          <w:shd w:val="clear" w:color="auto" w:fill="auto"/>
        </w:rPr>
        <w:t>本项目</w:t>
      </w:r>
      <w:r>
        <w:rPr>
          <w:rFonts w:eastAsia="宋体"/>
          <w:bCs/>
          <w:snapToGrid/>
          <w:kern w:val="2"/>
          <w:shd w:val="clear" w:color="auto" w:fill="auto"/>
        </w:rPr>
        <w:t>距</w:t>
      </w:r>
      <w:r>
        <w:rPr>
          <w:rFonts w:hint="eastAsia" w:eastAsia="宋体"/>
          <w:bCs/>
          <w:snapToGrid/>
          <w:kern w:val="2"/>
          <w:shd w:val="clear" w:color="auto" w:fill="auto"/>
        </w:rPr>
        <w:t>滹沱河约1100</w:t>
      </w:r>
      <w:r>
        <w:rPr>
          <w:rFonts w:eastAsia="宋体"/>
          <w:bCs/>
          <w:snapToGrid/>
          <w:kern w:val="2"/>
          <w:shd w:val="clear" w:color="auto" w:fill="auto"/>
        </w:rPr>
        <w:t>m</w:t>
      </w:r>
      <w:r>
        <w:rPr>
          <w:rFonts w:hint="eastAsia" w:eastAsia="宋体"/>
          <w:bCs/>
          <w:snapToGrid/>
          <w:kern w:val="2"/>
          <w:shd w:val="clear" w:color="auto" w:fill="auto"/>
        </w:rPr>
        <w:t>，</w:t>
      </w:r>
      <w:r>
        <w:rPr>
          <w:rFonts w:hint="eastAsia" w:eastAsiaTheme="minorEastAsia"/>
        </w:rPr>
        <w:t>处于源头至下茹越水库出口桥段，控制断面为乔儿沟和下茹越水库出口，水质要求为《地表水环境质量标准》(GB3838-2002)中</w:t>
      </w:r>
      <w:r>
        <w:rPr>
          <w:rFonts w:hint="eastAsia" w:asciiTheme="minorEastAsia" w:hAnsiTheme="minorEastAsia" w:eastAsiaTheme="minorEastAsia"/>
        </w:rPr>
        <w:t>Ⅲ</w:t>
      </w:r>
      <w:r>
        <w:rPr>
          <w:rFonts w:hint="eastAsia" w:eastAsiaTheme="minorEastAsia"/>
        </w:rPr>
        <w:t>类标准。</w:t>
      </w:r>
      <w:r>
        <w:rPr>
          <w:rFonts w:hint="eastAsia" w:eastAsia="宋体"/>
          <w:bCs/>
          <w:snapToGrid/>
          <w:kern w:val="2"/>
          <w:shd w:val="clear" w:color="auto" w:fill="auto"/>
        </w:rPr>
        <w:t>根据忻州市生态环境局公布的2018年1~12月地表水环境质量状况，乔儿沟监测结果达到</w:t>
      </w:r>
      <w:r>
        <w:rPr>
          <w:rFonts w:hint="eastAsia" w:ascii="宋体" w:hAnsi="宋体" w:eastAsia="宋体" w:cs="宋体"/>
          <w:bCs/>
          <w:snapToGrid/>
          <w:kern w:val="2"/>
          <w:shd w:val="clear" w:color="auto" w:fill="auto"/>
        </w:rPr>
        <w:t>Ⅱ</w:t>
      </w:r>
      <w:r>
        <w:rPr>
          <w:rFonts w:eastAsia="宋体"/>
          <w:bCs/>
          <w:snapToGrid/>
          <w:kern w:val="2"/>
          <w:shd w:val="clear" w:color="auto" w:fill="auto"/>
        </w:rPr>
        <w:t>类</w:t>
      </w:r>
      <w:r>
        <w:rPr>
          <w:rFonts w:hint="eastAsia" w:eastAsia="宋体"/>
          <w:bCs/>
          <w:snapToGrid/>
          <w:kern w:val="2"/>
          <w:shd w:val="clear" w:color="auto" w:fill="auto"/>
        </w:rPr>
        <w:t>标准要求，地表水环境质量状况良好。</w:t>
      </w:r>
    </w:p>
    <w:p>
      <w:pPr>
        <w:widowControl w:val="0"/>
        <w:adjustRightInd w:val="0"/>
        <w:snapToGrid w:val="0"/>
        <w:spacing w:before="120" w:beforeLines="50" w:after="120" w:afterLines="50"/>
        <w:jc w:val="both"/>
        <w:outlineLvl w:val="1"/>
        <w:rPr>
          <w:b/>
          <w:kern w:val="2"/>
          <w:sz w:val="28"/>
          <w:szCs w:val="28"/>
        </w:rPr>
      </w:pPr>
      <w:bookmarkStart w:id="277" w:name="_Toc13636"/>
      <w:r>
        <w:rPr>
          <w:b/>
          <w:kern w:val="2"/>
          <w:sz w:val="28"/>
          <w:szCs w:val="28"/>
        </w:rPr>
        <w:t>4.</w:t>
      </w:r>
      <w:r>
        <w:rPr>
          <w:rFonts w:hint="eastAsia"/>
          <w:b/>
          <w:kern w:val="2"/>
          <w:sz w:val="28"/>
          <w:szCs w:val="28"/>
        </w:rPr>
        <w:t>3</w:t>
      </w:r>
      <w:r>
        <w:rPr>
          <w:b/>
          <w:kern w:val="2"/>
          <w:sz w:val="28"/>
          <w:szCs w:val="28"/>
        </w:rPr>
        <w:t>声环境环境质量现状调查与评价</w:t>
      </w:r>
      <w:bookmarkEnd w:id="277"/>
    </w:p>
    <w:p>
      <w:pPr>
        <w:widowControl w:val="0"/>
        <w:adjustRightInd w:val="0"/>
        <w:snapToGrid w:val="0"/>
        <w:spacing w:line="440" w:lineRule="exact"/>
        <w:ind w:firstLine="480" w:firstLineChars="200"/>
        <w:jc w:val="both"/>
      </w:pPr>
      <w:r>
        <w:t xml:space="preserve"> 为了反映项目区</w:t>
      </w:r>
      <w:r>
        <w:rPr>
          <w:rFonts w:hint="eastAsia"/>
        </w:rPr>
        <w:t>域</w:t>
      </w:r>
      <w:r>
        <w:t>声环境质量状况，</w:t>
      </w:r>
      <w:r>
        <w:rPr>
          <w:rFonts w:hint="eastAsia"/>
        </w:rPr>
        <w:t>建设单位</w:t>
      </w:r>
      <w:r>
        <w:t>委托山西仪合环境监测有限公司于201</w:t>
      </w:r>
      <w:r>
        <w:rPr>
          <w:rFonts w:hint="eastAsia"/>
        </w:rPr>
        <w:t>9</w:t>
      </w:r>
      <w:r>
        <w:t>年</w:t>
      </w:r>
      <w:r>
        <w:rPr>
          <w:rFonts w:hint="eastAsia"/>
        </w:rPr>
        <w:t>11</w:t>
      </w:r>
      <w:r>
        <w:t>月</w:t>
      </w:r>
      <w:r>
        <w:rPr>
          <w:rFonts w:hint="eastAsia"/>
        </w:rPr>
        <w:t>13</w:t>
      </w:r>
      <w:r>
        <w:t>日对项目所在</w:t>
      </w:r>
      <w:r>
        <w:rPr>
          <w:rFonts w:hint="eastAsia"/>
        </w:rPr>
        <w:t>地</w:t>
      </w:r>
      <w:r>
        <w:t>声环境现状进行了现</w:t>
      </w:r>
      <w:r>
        <w:rPr>
          <w:rFonts w:hint="eastAsia"/>
        </w:rPr>
        <w:t>状</w:t>
      </w:r>
      <w:r>
        <w:t>监测。</w:t>
      </w:r>
    </w:p>
    <w:p>
      <w:pPr>
        <w:widowControl w:val="0"/>
        <w:adjustRightInd w:val="0"/>
        <w:snapToGrid w:val="0"/>
        <w:spacing w:before="120" w:beforeLines="50" w:after="120" w:afterLines="50"/>
        <w:jc w:val="both"/>
        <w:outlineLvl w:val="2"/>
        <w:rPr>
          <w:b/>
          <w:kern w:val="2"/>
        </w:rPr>
      </w:pPr>
      <w:r>
        <w:rPr>
          <w:b/>
          <w:kern w:val="2"/>
        </w:rPr>
        <w:t>4.</w:t>
      </w:r>
      <w:r>
        <w:rPr>
          <w:rFonts w:hint="eastAsia"/>
          <w:b/>
          <w:kern w:val="2"/>
        </w:rPr>
        <w:t>3</w:t>
      </w:r>
      <w:r>
        <w:rPr>
          <w:b/>
          <w:kern w:val="2"/>
        </w:rPr>
        <w:t>.1监测点位</w:t>
      </w:r>
    </w:p>
    <w:p>
      <w:pPr>
        <w:widowControl w:val="0"/>
        <w:spacing w:line="440" w:lineRule="exact"/>
        <w:ind w:firstLine="480" w:firstLineChars="200"/>
      </w:pPr>
      <w:r>
        <w:t>本次噪声监测在</w:t>
      </w:r>
      <w:r>
        <w:rPr>
          <w:rFonts w:hint="eastAsia"/>
        </w:rPr>
        <w:t>厂区（工业场地）</w:t>
      </w:r>
      <w:r>
        <w:t>四周布设</w:t>
      </w:r>
      <w:r>
        <w:rPr>
          <w:rFonts w:hint="eastAsia"/>
        </w:rPr>
        <w:t>4</w:t>
      </w:r>
      <w:r>
        <w:t>个监测点，见图</w:t>
      </w:r>
      <w:r>
        <w:rPr>
          <w:rFonts w:hint="eastAsia"/>
        </w:rPr>
        <w:t>4-3</w:t>
      </w:r>
      <w:r>
        <w:t xml:space="preserve">-1。 </w:t>
      </w:r>
    </w:p>
    <w:p>
      <w:pPr>
        <w:widowControl w:val="0"/>
        <w:jc w:val="center"/>
      </w:pPr>
      <w:r>
        <w:drawing>
          <wp:inline distT="0" distB="0" distL="114300" distR="114300">
            <wp:extent cx="5182235" cy="2604135"/>
            <wp:effectExtent l="0" t="0" r="18415" b="5715"/>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43"/>
                    <a:stretch>
                      <a:fillRect/>
                    </a:stretch>
                  </pic:blipFill>
                  <pic:spPr>
                    <a:xfrm>
                      <a:off x="0" y="0"/>
                      <a:ext cx="5182235" cy="2604135"/>
                    </a:xfrm>
                    <a:prstGeom prst="rect">
                      <a:avLst/>
                    </a:prstGeom>
                    <a:noFill/>
                    <a:ln>
                      <a:noFill/>
                    </a:ln>
                  </pic:spPr>
                </pic:pic>
              </a:graphicData>
            </a:graphic>
          </wp:inline>
        </w:drawing>
      </w:r>
    </w:p>
    <w:p>
      <w:pPr>
        <w:widowControl w:val="0"/>
        <w:ind w:firstLine="3120" w:firstLineChars="1300"/>
        <w:rPr>
          <w:rFonts w:eastAsia="仿宋_GB2312"/>
        </w:rPr>
      </w:pPr>
      <w:r>
        <w:rPr>
          <w:rFonts w:eastAsia="仿宋_GB2312"/>
        </w:rPr>
        <w:t>图4</w:t>
      </w:r>
      <w:r>
        <w:rPr>
          <w:rFonts w:hint="eastAsia" w:eastAsia="仿宋_GB2312"/>
        </w:rPr>
        <w:t>-3</w:t>
      </w:r>
      <w:r>
        <w:rPr>
          <w:rFonts w:eastAsia="仿宋_GB2312"/>
        </w:rPr>
        <w:t>-1噪声监测布点图</w:t>
      </w:r>
    </w:p>
    <w:p>
      <w:pPr>
        <w:widowControl w:val="0"/>
        <w:adjustRightInd w:val="0"/>
        <w:snapToGrid w:val="0"/>
        <w:spacing w:before="120" w:beforeLines="50" w:after="120" w:afterLines="50"/>
        <w:jc w:val="both"/>
        <w:outlineLvl w:val="2"/>
        <w:rPr>
          <w:b/>
          <w:kern w:val="2"/>
        </w:rPr>
      </w:pPr>
      <w:r>
        <w:rPr>
          <w:b/>
          <w:kern w:val="2"/>
        </w:rPr>
        <w:t>4.</w:t>
      </w:r>
      <w:r>
        <w:rPr>
          <w:rFonts w:hint="eastAsia"/>
          <w:b/>
          <w:kern w:val="2"/>
        </w:rPr>
        <w:t>3</w:t>
      </w:r>
      <w:r>
        <w:rPr>
          <w:b/>
          <w:kern w:val="2"/>
        </w:rPr>
        <w:t>.2监测因子</w:t>
      </w:r>
    </w:p>
    <w:p>
      <w:pPr>
        <w:widowControl w:val="0"/>
        <w:adjustRightInd w:val="0"/>
        <w:snapToGrid w:val="0"/>
        <w:spacing w:line="440" w:lineRule="exact"/>
        <w:ind w:firstLine="480" w:firstLineChars="200"/>
        <w:jc w:val="both"/>
      </w:pPr>
      <w:r>
        <w:t>等效连续A声级。</w:t>
      </w:r>
    </w:p>
    <w:p>
      <w:pPr>
        <w:widowControl w:val="0"/>
        <w:adjustRightInd w:val="0"/>
        <w:snapToGrid w:val="0"/>
        <w:spacing w:before="120" w:beforeLines="50" w:after="120" w:afterLines="50"/>
        <w:jc w:val="both"/>
        <w:outlineLvl w:val="2"/>
        <w:rPr>
          <w:b/>
          <w:kern w:val="2"/>
        </w:rPr>
      </w:pPr>
      <w:r>
        <w:rPr>
          <w:b/>
          <w:kern w:val="2"/>
        </w:rPr>
        <w:t>4.</w:t>
      </w:r>
      <w:r>
        <w:rPr>
          <w:rFonts w:hint="eastAsia"/>
          <w:b/>
          <w:kern w:val="2"/>
        </w:rPr>
        <w:t>3</w:t>
      </w:r>
      <w:r>
        <w:rPr>
          <w:b/>
          <w:kern w:val="2"/>
        </w:rPr>
        <w:t>.3监测时间及频次</w:t>
      </w:r>
    </w:p>
    <w:p>
      <w:pPr>
        <w:widowControl w:val="0"/>
        <w:adjustRightInd w:val="0"/>
        <w:snapToGrid w:val="0"/>
        <w:spacing w:line="440" w:lineRule="exact"/>
        <w:ind w:firstLine="480" w:firstLineChars="200"/>
        <w:jc w:val="both"/>
      </w:pPr>
      <w:r>
        <w:rPr>
          <w:rFonts w:hint="eastAsia"/>
        </w:rPr>
        <w:t>各个点位</w:t>
      </w:r>
      <w:r>
        <w:t>监测1天，每天2次，昼夜各1次。</w:t>
      </w:r>
    </w:p>
    <w:p>
      <w:pPr>
        <w:widowControl w:val="0"/>
        <w:adjustRightInd w:val="0"/>
        <w:snapToGrid w:val="0"/>
        <w:spacing w:before="120" w:beforeLines="50" w:after="120" w:afterLines="50"/>
        <w:jc w:val="both"/>
        <w:outlineLvl w:val="2"/>
        <w:rPr>
          <w:b/>
          <w:kern w:val="2"/>
        </w:rPr>
      </w:pPr>
      <w:r>
        <w:rPr>
          <w:b/>
          <w:kern w:val="2"/>
        </w:rPr>
        <w:t>4.</w:t>
      </w:r>
      <w:r>
        <w:rPr>
          <w:rFonts w:hint="eastAsia"/>
          <w:b/>
          <w:kern w:val="2"/>
        </w:rPr>
        <w:t>3</w:t>
      </w:r>
      <w:r>
        <w:rPr>
          <w:b/>
          <w:kern w:val="2"/>
        </w:rPr>
        <w:t>.4评价标准</w:t>
      </w:r>
    </w:p>
    <w:p>
      <w:pPr>
        <w:widowControl w:val="0"/>
        <w:adjustRightInd w:val="0"/>
        <w:snapToGrid w:val="0"/>
        <w:spacing w:line="440" w:lineRule="exact"/>
        <w:ind w:firstLine="480" w:firstLineChars="200"/>
        <w:jc w:val="both"/>
      </w:pPr>
      <w:r>
        <w:t>本项目厂界执行《声环境质量标准》（GB3096-2008）中</w:t>
      </w:r>
      <w:r>
        <w:rPr>
          <w:rFonts w:hint="eastAsia"/>
          <w:lang w:val="en-US" w:eastAsia="zh-CN"/>
        </w:rPr>
        <w:t>1</w:t>
      </w:r>
      <w:r>
        <w:t>类标准（昼间≤</w:t>
      </w:r>
      <w:r>
        <w:rPr>
          <w:rFonts w:hint="eastAsia"/>
          <w:lang w:val="en-US" w:eastAsia="zh-CN"/>
        </w:rPr>
        <w:t>55</w:t>
      </w:r>
      <w:r>
        <w:t>dB（A）、夜间≤</w:t>
      </w:r>
      <w:r>
        <w:rPr>
          <w:rFonts w:hint="eastAsia"/>
          <w:lang w:val="en-US" w:eastAsia="zh-CN"/>
        </w:rPr>
        <w:t>45</w:t>
      </w:r>
      <w:r>
        <w:t>dB（A））。</w:t>
      </w:r>
    </w:p>
    <w:p>
      <w:pPr>
        <w:widowControl w:val="0"/>
        <w:adjustRightInd w:val="0"/>
        <w:snapToGrid w:val="0"/>
        <w:spacing w:before="120" w:beforeLines="50" w:after="120" w:afterLines="50"/>
        <w:jc w:val="both"/>
        <w:outlineLvl w:val="2"/>
        <w:rPr>
          <w:b/>
          <w:kern w:val="2"/>
        </w:rPr>
      </w:pPr>
      <w:r>
        <w:rPr>
          <w:b/>
          <w:kern w:val="2"/>
        </w:rPr>
        <w:t>4.</w:t>
      </w:r>
      <w:r>
        <w:rPr>
          <w:rFonts w:hint="eastAsia"/>
          <w:b/>
          <w:kern w:val="2"/>
        </w:rPr>
        <w:t>3</w:t>
      </w:r>
      <w:r>
        <w:rPr>
          <w:b/>
          <w:kern w:val="2"/>
        </w:rPr>
        <w:t>.5监测结果分析</w:t>
      </w:r>
    </w:p>
    <w:p>
      <w:pPr>
        <w:widowControl w:val="0"/>
        <w:adjustRightInd w:val="0"/>
        <w:snapToGrid w:val="0"/>
        <w:spacing w:line="440" w:lineRule="exact"/>
        <w:ind w:firstLine="480" w:firstLineChars="200"/>
        <w:jc w:val="both"/>
      </w:pPr>
      <w:r>
        <w:t>本次声环境现状</w:t>
      </w:r>
      <w:r>
        <w:rPr>
          <w:rFonts w:hint="eastAsia"/>
        </w:rPr>
        <w:t>监测</w:t>
      </w:r>
      <w:r>
        <w:t>结果详见表4</w:t>
      </w:r>
      <w:r>
        <w:rPr>
          <w:rFonts w:hint="eastAsia"/>
        </w:rPr>
        <w:t>.3</w:t>
      </w:r>
      <w:r>
        <w:t>-1。</w:t>
      </w:r>
    </w:p>
    <w:p>
      <w:pPr>
        <w:widowControl w:val="0"/>
        <w:adjustRightInd w:val="0"/>
        <w:snapToGrid w:val="0"/>
        <w:spacing w:before="120" w:beforeLines="50"/>
        <w:jc w:val="center"/>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 xml:space="preserve">4.3-1 </w:t>
      </w:r>
      <w:r>
        <w:rPr>
          <w:rFonts w:hint="eastAsia" w:ascii="黑体" w:hAnsi="黑体" w:eastAsia="黑体" w:cs="黑体"/>
          <w:sz w:val="21"/>
          <w:szCs w:val="21"/>
        </w:rPr>
        <w:t xml:space="preserve">   声环境现状监测统计结果    单位：dB（A）</w:t>
      </w:r>
    </w:p>
    <w:tbl>
      <w:tblPr>
        <w:tblStyle w:val="88"/>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302"/>
        <w:gridCol w:w="1235"/>
        <w:gridCol w:w="1361"/>
        <w:gridCol w:w="1418"/>
        <w:gridCol w:w="1235"/>
        <w:gridCol w:w="1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1490" w:type="dxa"/>
            <w:vMerge w:val="restart"/>
            <w:vAlign w:val="center"/>
          </w:tcPr>
          <w:p>
            <w:pPr>
              <w:widowControl w:val="0"/>
              <w:spacing w:line="360" w:lineRule="exact"/>
              <w:jc w:val="center"/>
              <w:rPr>
                <w:rFonts w:eastAsiaTheme="minorEastAsia"/>
                <w:sz w:val="21"/>
                <w:szCs w:val="21"/>
              </w:rPr>
            </w:pPr>
            <w:r>
              <w:rPr>
                <w:rFonts w:eastAsiaTheme="minorEastAsia"/>
                <w:sz w:val="21"/>
                <w:szCs w:val="21"/>
              </w:rPr>
              <w:t>监测编号</w:t>
            </w:r>
          </w:p>
        </w:tc>
        <w:tc>
          <w:tcPr>
            <w:tcW w:w="3898" w:type="dxa"/>
            <w:gridSpan w:val="3"/>
            <w:vAlign w:val="center"/>
          </w:tcPr>
          <w:p>
            <w:pPr>
              <w:widowControl w:val="0"/>
              <w:adjustRightInd w:val="0"/>
              <w:snapToGrid w:val="0"/>
              <w:spacing w:line="360" w:lineRule="exact"/>
              <w:jc w:val="center"/>
              <w:rPr>
                <w:rFonts w:eastAsiaTheme="minorEastAsia"/>
                <w:sz w:val="21"/>
                <w:szCs w:val="21"/>
              </w:rPr>
            </w:pPr>
            <w:r>
              <w:rPr>
                <w:rFonts w:eastAsiaTheme="minorEastAsia"/>
                <w:sz w:val="21"/>
                <w:szCs w:val="21"/>
              </w:rPr>
              <w:t>昼间等效声级L</w:t>
            </w:r>
            <w:r>
              <w:rPr>
                <w:rFonts w:eastAsiaTheme="minorEastAsia"/>
                <w:sz w:val="21"/>
                <w:szCs w:val="21"/>
                <w:vertAlign w:val="subscript"/>
              </w:rPr>
              <w:t>eq</w:t>
            </w:r>
            <w:r>
              <w:rPr>
                <w:rFonts w:eastAsiaTheme="minorEastAsia"/>
                <w:sz w:val="21"/>
                <w:szCs w:val="21"/>
              </w:rPr>
              <w:t>(dB(A))</w:t>
            </w:r>
          </w:p>
        </w:tc>
        <w:tc>
          <w:tcPr>
            <w:tcW w:w="3899" w:type="dxa"/>
            <w:gridSpan w:val="3"/>
            <w:vAlign w:val="center"/>
          </w:tcPr>
          <w:p>
            <w:pPr>
              <w:widowControl w:val="0"/>
              <w:adjustRightInd w:val="0"/>
              <w:snapToGrid w:val="0"/>
              <w:spacing w:line="360" w:lineRule="exact"/>
              <w:jc w:val="center"/>
              <w:rPr>
                <w:rFonts w:eastAsiaTheme="minorEastAsia"/>
                <w:sz w:val="21"/>
                <w:szCs w:val="21"/>
              </w:rPr>
            </w:pPr>
            <w:r>
              <w:rPr>
                <w:rFonts w:eastAsiaTheme="minorEastAsia"/>
                <w:sz w:val="21"/>
                <w:szCs w:val="21"/>
              </w:rPr>
              <w:t>夜间等效声级L</w:t>
            </w:r>
            <w:r>
              <w:rPr>
                <w:rFonts w:eastAsiaTheme="minorEastAsia"/>
                <w:sz w:val="21"/>
                <w:szCs w:val="21"/>
                <w:vertAlign w:val="subscript"/>
              </w:rPr>
              <w:t>eq</w:t>
            </w:r>
            <w:r>
              <w:rPr>
                <w:rFonts w:eastAsiaTheme="minorEastAsia"/>
                <w:sz w:val="21"/>
                <w:szCs w:val="21"/>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4" w:hRule="atLeast"/>
          <w:jc w:val="center"/>
        </w:trPr>
        <w:tc>
          <w:tcPr>
            <w:tcW w:w="1490" w:type="dxa"/>
            <w:vMerge w:val="continue"/>
            <w:vAlign w:val="center"/>
          </w:tcPr>
          <w:p>
            <w:pPr>
              <w:widowControl w:val="0"/>
              <w:spacing w:line="360" w:lineRule="exact"/>
              <w:jc w:val="center"/>
              <w:rPr>
                <w:rFonts w:eastAsiaTheme="minorEastAsia"/>
                <w:sz w:val="21"/>
                <w:szCs w:val="21"/>
              </w:rPr>
            </w:pPr>
          </w:p>
        </w:tc>
        <w:tc>
          <w:tcPr>
            <w:tcW w:w="1302" w:type="dxa"/>
            <w:vAlign w:val="center"/>
          </w:tcPr>
          <w:p>
            <w:pPr>
              <w:widowControl w:val="0"/>
              <w:adjustRightInd w:val="0"/>
              <w:snapToGrid w:val="0"/>
              <w:spacing w:line="360" w:lineRule="exact"/>
              <w:jc w:val="center"/>
              <w:rPr>
                <w:rFonts w:eastAsiaTheme="minorEastAsia"/>
                <w:sz w:val="21"/>
                <w:szCs w:val="21"/>
              </w:rPr>
            </w:pPr>
            <w:r>
              <w:rPr>
                <w:rFonts w:eastAsiaTheme="minorEastAsia"/>
                <w:sz w:val="21"/>
                <w:szCs w:val="21"/>
              </w:rPr>
              <w:t>监测值</w:t>
            </w:r>
          </w:p>
        </w:tc>
        <w:tc>
          <w:tcPr>
            <w:tcW w:w="1235" w:type="dxa"/>
            <w:vAlign w:val="center"/>
          </w:tcPr>
          <w:p>
            <w:pPr>
              <w:widowControl w:val="0"/>
              <w:spacing w:line="360" w:lineRule="exact"/>
              <w:jc w:val="center"/>
              <w:rPr>
                <w:rFonts w:eastAsiaTheme="minorEastAsia"/>
                <w:sz w:val="21"/>
                <w:szCs w:val="21"/>
              </w:rPr>
            </w:pPr>
            <w:r>
              <w:rPr>
                <w:rFonts w:eastAsiaTheme="minorEastAsia"/>
                <w:sz w:val="21"/>
                <w:szCs w:val="21"/>
              </w:rPr>
              <w:t>标准值</w:t>
            </w:r>
          </w:p>
        </w:tc>
        <w:tc>
          <w:tcPr>
            <w:tcW w:w="1361" w:type="dxa"/>
            <w:vAlign w:val="center"/>
          </w:tcPr>
          <w:p>
            <w:pPr>
              <w:widowControl w:val="0"/>
              <w:spacing w:line="360" w:lineRule="exact"/>
              <w:jc w:val="center"/>
              <w:rPr>
                <w:rFonts w:eastAsiaTheme="minorEastAsia"/>
                <w:sz w:val="21"/>
                <w:szCs w:val="21"/>
              </w:rPr>
            </w:pPr>
            <w:r>
              <w:rPr>
                <w:rFonts w:eastAsiaTheme="minorEastAsia"/>
                <w:sz w:val="21"/>
                <w:szCs w:val="21"/>
              </w:rPr>
              <w:t>达标情况</w:t>
            </w:r>
          </w:p>
        </w:tc>
        <w:tc>
          <w:tcPr>
            <w:tcW w:w="1418" w:type="dxa"/>
            <w:vAlign w:val="center"/>
          </w:tcPr>
          <w:p>
            <w:pPr>
              <w:widowControl w:val="0"/>
              <w:adjustRightInd w:val="0"/>
              <w:snapToGrid w:val="0"/>
              <w:spacing w:line="360" w:lineRule="exact"/>
              <w:jc w:val="center"/>
              <w:rPr>
                <w:rFonts w:eastAsiaTheme="minorEastAsia"/>
                <w:sz w:val="21"/>
                <w:szCs w:val="21"/>
              </w:rPr>
            </w:pPr>
            <w:r>
              <w:rPr>
                <w:rFonts w:eastAsiaTheme="minorEastAsia"/>
                <w:sz w:val="21"/>
                <w:szCs w:val="21"/>
              </w:rPr>
              <w:t>监测值</w:t>
            </w:r>
          </w:p>
        </w:tc>
        <w:tc>
          <w:tcPr>
            <w:tcW w:w="1235" w:type="dxa"/>
            <w:vAlign w:val="center"/>
          </w:tcPr>
          <w:p>
            <w:pPr>
              <w:widowControl w:val="0"/>
              <w:spacing w:line="360" w:lineRule="exact"/>
              <w:jc w:val="center"/>
              <w:rPr>
                <w:rFonts w:eastAsiaTheme="minorEastAsia"/>
                <w:sz w:val="21"/>
                <w:szCs w:val="21"/>
              </w:rPr>
            </w:pPr>
            <w:r>
              <w:rPr>
                <w:rFonts w:eastAsiaTheme="minorEastAsia"/>
                <w:sz w:val="21"/>
                <w:szCs w:val="21"/>
              </w:rPr>
              <w:t>标准值</w:t>
            </w:r>
          </w:p>
        </w:tc>
        <w:tc>
          <w:tcPr>
            <w:tcW w:w="1246" w:type="dxa"/>
            <w:vAlign w:val="center"/>
          </w:tcPr>
          <w:p>
            <w:pPr>
              <w:widowControl w:val="0"/>
              <w:spacing w:line="360" w:lineRule="exact"/>
              <w:jc w:val="center"/>
              <w:rPr>
                <w:rFonts w:eastAsiaTheme="minorEastAsia"/>
                <w:sz w:val="21"/>
                <w:szCs w:val="21"/>
              </w:rPr>
            </w:pPr>
            <w:r>
              <w:rPr>
                <w:rFonts w:eastAsiaTheme="minorEastAsia"/>
                <w:sz w:val="21"/>
                <w:szCs w:val="21"/>
              </w:rPr>
              <w:t>达标情况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490" w:type="dxa"/>
            <w:vAlign w:val="center"/>
          </w:tcPr>
          <w:p>
            <w:pPr>
              <w:widowControl w:val="0"/>
              <w:spacing w:line="360" w:lineRule="exact"/>
              <w:jc w:val="center"/>
              <w:rPr>
                <w:rFonts w:eastAsiaTheme="minorEastAsia"/>
                <w:sz w:val="21"/>
                <w:szCs w:val="21"/>
              </w:rPr>
            </w:pPr>
            <w:r>
              <w:rPr>
                <w:rFonts w:eastAsiaTheme="minorEastAsia"/>
                <w:sz w:val="21"/>
                <w:szCs w:val="21"/>
              </w:rPr>
              <w:t>1#</w:t>
            </w:r>
            <w:r>
              <w:rPr>
                <w:rFonts w:hint="eastAsia" w:eastAsiaTheme="minorEastAsia"/>
                <w:sz w:val="21"/>
                <w:szCs w:val="21"/>
              </w:rPr>
              <w:t>厂区北侧</w:t>
            </w:r>
          </w:p>
        </w:tc>
        <w:tc>
          <w:tcPr>
            <w:tcW w:w="1302" w:type="dxa"/>
            <w:vAlign w:val="center"/>
          </w:tcPr>
          <w:p>
            <w:pPr>
              <w:pStyle w:val="275"/>
              <w:spacing w:line="360" w:lineRule="exact"/>
              <w:jc w:val="center"/>
              <w:rPr>
                <w:rFonts w:ascii="Times New Roman" w:hAnsi="Times New Roman" w:eastAsia="宋体"/>
                <w:bCs/>
                <w:szCs w:val="21"/>
              </w:rPr>
            </w:pPr>
            <w:r>
              <w:rPr>
                <w:rFonts w:hint="eastAsia" w:ascii="Times New Roman" w:hAnsi="Times New Roman" w:eastAsia="宋体"/>
                <w:bCs/>
                <w:spacing w:val="-11"/>
                <w:szCs w:val="21"/>
              </w:rPr>
              <w:t>44.8</w:t>
            </w:r>
          </w:p>
        </w:tc>
        <w:tc>
          <w:tcPr>
            <w:tcW w:w="1235" w:type="dxa"/>
            <w:vAlign w:val="center"/>
          </w:tcPr>
          <w:p>
            <w:pPr>
              <w:widowControl w:val="0"/>
              <w:spacing w:line="360" w:lineRule="exact"/>
              <w:jc w:val="center"/>
              <w:rPr>
                <w:rFonts w:eastAsiaTheme="minorEastAsia"/>
                <w:sz w:val="21"/>
                <w:szCs w:val="21"/>
              </w:rPr>
            </w:pPr>
            <w:r>
              <w:rPr>
                <w:rFonts w:eastAsiaTheme="minorEastAsia"/>
                <w:sz w:val="21"/>
                <w:szCs w:val="21"/>
              </w:rPr>
              <w:t>60</w:t>
            </w:r>
          </w:p>
        </w:tc>
        <w:tc>
          <w:tcPr>
            <w:tcW w:w="1361" w:type="dxa"/>
            <w:vAlign w:val="center"/>
          </w:tcPr>
          <w:p>
            <w:pPr>
              <w:widowControl w:val="0"/>
              <w:spacing w:line="360" w:lineRule="exact"/>
              <w:jc w:val="center"/>
              <w:rPr>
                <w:rFonts w:eastAsiaTheme="minorEastAsia"/>
                <w:sz w:val="21"/>
                <w:szCs w:val="21"/>
              </w:rPr>
            </w:pPr>
            <w:r>
              <w:rPr>
                <w:rFonts w:eastAsiaTheme="minorEastAsia"/>
                <w:sz w:val="21"/>
                <w:szCs w:val="21"/>
              </w:rPr>
              <w:t>达标</w:t>
            </w:r>
          </w:p>
        </w:tc>
        <w:tc>
          <w:tcPr>
            <w:tcW w:w="1418" w:type="dxa"/>
            <w:vAlign w:val="center"/>
          </w:tcPr>
          <w:p>
            <w:pPr>
              <w:pStyle w:val="275"/>
              <w:spacing w:line="360" w:lineRule="exact"/>
              <w:jc w:val="center"/>
              <w:rPr>
                <w:rFonts w:ascii="Times New Roman" w:hAnsi="Times New Roman" w:eastAsia="宋体"/>
                <w:bCs/>
                <w:szCs w:val="21"/>
              </w:rPr>
            </w:pPr>
            <w:r>
              <w:rPr>
                <w:rFonts w:hint="eastAsia" w:ascii="Times New Roman" w:hAnsi="Times New Roman" w:eastAsia="宋体"/>
                <w:bCs/>
                <w:spacing w:val="-11"/>
                <w:szCs w:val="21"/>
              </w:rPr>
              <w:t>41.0</w:t>
            </w:r>
          </w:p>
        </w:tc>
        <w:tc>
          <w:tcPr>
            <w:tcW w:w="1235" w:type="dxa"/>
            <w:vAlign w:val="center"/>
          </w:tcPr>
          <w:p>
            <w:pPr>
              <w:widowControl w:val="0"/>
              <w:spacing w:line="360" w:lineRule="exact"/>
              <w:jc w:val="center"/>
              <w:rPr>
                <w:rFonts w:eastAsiaTheme="minorEastAsia"/>
                <w:sz w:val="21"/>
                <w:szCs w:val="21"/>
              </w:rPr>
            </w:pPr>
            <w:r>
              <w:rPr>
                <w:rFonts w:eastAsiaTheme="minorEastAsia"/>
                <w:sz w:val="21"/>
                <w:szCs w:val="21"/>
              </w:rPr>
              <w:t>50</w:t>
            </w:r>
          </w:p>
        </w:tc>
        <w:tc>
          <w:tcPr>
            <w:tcW w:w="1246" w:type="dxa"/>
            <w:vAlign w:val="center"/>
          </w:tcPr>
          <w:p>
            <w:pPr>
              <w:widowControl w:val="0"/>
              <w:spacing w:line="360" w:lineRule="exact"/>
              <w:jc w:val="center"/>
              <w:rPr>
                <w:rFonts w:eastAsiaTheme="minorEastAsia"/>
                <w:sz w:val="21"/>
                <w:szCs w:val="21"/>
              </w:rPr>
            </w:pPr>
            <w:r>
              <w:rPr>
                <w:rFonts w:eastAsiaTheme="minorEastAsia"/>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490" w:type="dxa"/>
            <w:vAlign w:val="center"/>
          </w:tcPr>
          <w:p>
            <w:pPr>
              <w:widowControl w:val="0"/>
              <w:spacing w:line="360" w:lineRule="exact"/>
              <w:jc w:val="center"/>
              <w:rPr>
                <w:rFonts w:eastAsiaTheme="minorEastAsia"/>
                <w:sz w:val="21"/>
                <w:szCs w:val="21"/>
              </w:rPr>
            </w:pPr>
            <w:r>
              <w:rPr>
                <w:rFonts w:eastAsiaTheme="minorEastAsia"/>
                <w:sz w:val="21"/>
                <w:szCs w:val="21"/>
              </w:rPr>
              <w:t>2#</w:t>
            </w:r>
            <w:r>
              <w:rPr>
                <w:rFonts w:hint="eastAsia" w:eastAsiaTheme="minorEastAsia"/>
                <w:sz w:val="21"/>
                <w:szCs w:val="21"/>
              </w:rPr>
              <w:t>厂区西侧</w:t>
            </w:r>
          </w:p>
        </w:tc>
        <w:tc>
          <w:tcPr>
            <w:tcW w:w="1302" w:type="dxa"/>
            <w:vAlign w:val="center"/>
          </w:tcPr>
          <w:p>
            <w:pPr>
              <w:pStyle w:val="275"/>
              <w:spacing w:line="360" w:lineRule="exact"/>
              <w:jc w:val="center"/>
              <w:rPr>
                <w:rFonts w:ascii="Times New Roman" w:hAnsi="Times New Roman" w:eastAsia="宋体"/>
                <w:bCs/>
                <w:szCs w:val="21"/>
              </w:rPr>
            </w:pPr>
            <w:r>
              <w:rPr>
                <w:rFonts w:hint="eastAsia" w:ascii="Times New Roman" w:hAnsi="Times New Roman" w:eastAsia="宋体"/>
                <w:bCs/>
                <w:spacing w:val="-11"/>
                <w:szCs w:val="21"/>
              </w:rPr>
              <w:t>44.7</w:t>
            </w:r>
          </w:p>
        </w:tc>
        <w:tc>
          <w:tcPr>
            <w:tcW w:w="1235" w:type="dxa"/>
            <w:vAlign w:val="center"/>
          </w:tcPr>
          <w:p>
            <w:pPr>
              <w:widowControl w:val="0"/>
              <w:spacing w:line="360" w:lineRule="exact"/>
              <w:jc w:val="center"/>
              <w:rPr>
                <w:rFonts w:eastAsiaTheme="minorEastAsia"/>
                <w:sz w:val="21"/>
                <w:szCs w:val="21"/>
              </w:rPr>
            </w:pPr>
            <w:r>
              <w:rPr>
                <w:rFonts w:eastAsiaTheme="minorEastAsia"/>
                <w:sz w:val="21"/>
                <w:szCs w:val="21"/>
              </w:rPr>
              <w:t>60</w:t>
            </w:r>
          </w:p>
        </w:tc>
        <w:tc>
          <w:tcPr>
            <w:tcW w:w="1361" w:type="dxa"/>
            <w:vAlign w:val="center"/>
          </w:tcPr>
          <w:p>
            <w:pPr>
              <w:widowControl w:val="0"/>
              <w:spacing w:line="360" w:lineRule="exact"/>
              <w:jc w:val="center"/>
              <w:rPr>
                <w:rFonts w:eastAsiaTheme="minorEastAsia"/>
                <w:sz w:val="21"/>
                <w:szCs w:val="21"/>
              </w:rPr>
            </w:pPr>
            <w:r>
              <w:rPr>
                <w:rFonts w:eastAsiaTheme="minorEastAsia"/>
                <w:sz w:val="21"/>
                <w:szCs w:val="21"/>
              </w:rPr>
              <w:t>达标</w:t>
            </w:r>
          </w:p>
        </w:tc>
        <w:tc>
          <w:tcPr>
            <w:tcW w:w="1418" w:type="dxa"/>
            <w:vAlign w:val="center"/>
          </w:tcPr>
          <w:p>
            <w:pPr>
              <w:pStyle w:val="275"/>
              <w:spacing w:line="360" w:lineRule="exact"/>
              <w:jc w:val="center"/>
              <w:rPr>
                <w:rFonts w:ascii="Times New Roman" w:hAnsi="Times New Roman" w:eastAsia="宋体"/>
                <w:bCs/>
                <w:szCs w:val="21"/>
              </w:rPr>
            </w:pPr>
            <w:r>
              <w:rPr>
                <w:rFonts w:hint="eastAsia" w:ascii="Times New Roman" w:hAnsi="Times New Roman" w:eastAsia="宋体"/>
                <w:bCs/>
                <w:spacing w:val="-11"/>
                <w:szCs w:val="21"/>
              </w:rPr>
              <w:t>41.1</w:t>
            </w:r>
          </w:p>
        </w:tc>
        <w:tc>
          <w:tcPr>
            <w:tcW w:w="1235" w:type="dxa"/>
            <w:vAlign w:val="center"/>
          </w:tcPr>
          <w:p>
            <w:pPr>
              <w:widowControl w:val="0"/>
              <w:spacing w:line="360" w:lineRule="exact"/>
              <w:jc w:val="center"/>
              <w:rPr>
                <w:rFonts w:eastAsiaTheme="minorEastAsia"/>
                <w:sz w:val="21"/>
                <w:szCs w:val="21"/>
              </w:rPr>
            </w:pPr>
            <w:r>
              <w:rPr>
                <w:rFonts w:eastAsiaTheme="minorEastAsia"/>
                <w:sz w:val="21"/>
                <w:szCs w:val="21"/>
              </w:rPr>
              <w:t>50</w:t>
            </w:r>
          </w:p>
        </w:tc>
        <w:tc>
          <w:tcPr>
            <w:tcW w:w="1246" w:type="dxa"/>
            <w:vAlign w:val="center"/>
          </w:tcPr>
          <w:p>
            <w:pPr>
              <w:widowControl w:val="0"/>
              <w:spacing w:line="360" w:lineRule="exact"/>
              <w:jc w:val="center"/>
              <w:rPr>
                <w:rFonts w:eastAsiaTheme="minorEastAsia"/>
                <w:sz w:val="21"/>
                <w:szCs w:val="21"/>
              </w:rPr>
            </w:pPr>
            <w:r>
              <w:rPr>
                <w:rFonts w:eastAsiaTheme="minorEastAsia"/>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490" w:type="dxa"/>
            <w:vAlign w:val="center"/>
          </w:tcPr>
          <w:p>
            <w:pPr>
              <w:widowControl w:val="0"/>
              <w:spacing w:line="360" w:lineRule="exact"/>
              <w:jc w:val="center"/>
              <w:rPr>
                <w:rFonts w:eastAsiaTheme="minorEastAsia"/>
                <w:sz w:val="21"/>
                <w:szCs w:val="21"/>
              </w:rPr>
            </w:pPr>
            <w:r>
              <w:rPr>
                <w:rFonts w:eastAsiaTheme="minorEastAsia"/>
                <w:sz w:val="21"/>
                <w:szCs w:val="21"/>
              </w:rPr>
              <w:t>3#</w:t>
            </w:r>
            <w:r>
              <w:rPr>
                <w:rFonts w:hint="eastAsia" w:eastAsiaTheme="minorEastAsia"/>
                <w:sz w:val="21"/>
                <w:szCs w:val="21"/>
              </w:rPr>
              <w:t>厂区</w:t>
            </w:r>
            <w:r>
              <w:rPr>
                <w:rFonts w:eastAsiaTheme="minorEastAsia"/>
                <w:sz w:val="21"/>
                <w:szCs w:val="21"/>
              </w:rPr>
              <w:t>南</w:t>
            </w:r>
            <w:r>
              <w:rPr>
                <w:rFonts w:hint="eastAsia" w:eastAsiaTheme="minorEastAsia"/>
                <w:sz w:val="21"/>
                <w:szCs w:val="21"/>
              </w:rPr>
              <w:t>侧</w:t>
            </w:r>
          </w:p>
        </w:tc>
        <w:tc>
          <w:tcPr>
            <w:tcW w:w="1302" w:type="dxa"/>
            <w:vAlign w:val="center"/>
          </w:tcPr>
          <w:p>
            <w:pPr>
              <w:pStyle w:val="275"/>
              <w:spacing w:line="360" w:lineRule="exact"/>
              <w:jc w:val="center"/>
              <w:rPr>
                <w:rFonts w:ascii="Times New Roman" w:hAnsi="Times New Roman" w:eastAsia="宋体"/>
                <w:bCs/>
                <w:szCs w:val="21"/>
              </w:rPr>
            </w:pPr>
            <w:r>
              <w:rPr>
                <w:rFonts w:hint="eastAsia" w:ascii="Times New Roman" w:hAnsi="Times New Roman" w:eastAsia="宋体"/>
                <w:bCs/>
                <w:spacing w:val="-11"/>
                <w:szCs w:val="21"/>
              </w:rPr>
              <w:t>44.0</w:t>
            </w:r>
          </w:p>
        </w:tc>
        <w:tc>
          <w:tcPr>
            <w:tcW w:w="1235" w:type="dxa"/>
            <w:vAlign w:val="center"/>
          </w:tcPr>
          <w:p>
            <w:pPr>
              <w:widowControl w:val="0"/>
              <w:spacing w:line="360" w:lineRule="exact"/>
              <w:jc w:val="center"/>
              <w:rPr>
                <w:rFonts w:eastAsiaTheme="minorEastAsia"/>
                <w:sz w:val="21"/>
                <w:szCs w:val="21"/>
              </w:rPr>
            </w:pPr>
            <w:r>
              <w:rPr>
                <w:rFonts w:eastAsiaTheme="minorEastAsia"/>
                <w:sz w:val="21"/>
                <w:szCs w:val="21"/>
              </w:rPr>
              <w:t>60</w:t>
            </w:r>
          </w:p>
        </w:tc>
        <w:tc>
          <w:tcPr>
            <w:tcW w:w="1361" w:type="dxa"/>
            <w:vAlign w:val="center"/>
          </w:tcPr>
          <w:p>
            <w:pPr>
              <w:widowControl w:val="0"/>
              <w:spacing w:line="360" w:lineRule="exact"/>
              <w:jc w:val="center"/>
              <w:rPr>
                <w:rFonts w:eastAsiaTheme="minorEastAsia"/>
                <w:sz w:val="21"/>
                <w:szCs w:val="21"/>
              </w:rPr>
            </w:pPr>
            <w:r>
              <w:rPr>
                <w:rFonts w:eastAsiaTheme="minorEastAsia"/>
                <w:sz w:val="21"/>
                <w:szCs w:val="21"/>
              </w:rPr>
              <w:t>达标</w:t>
            </w:r>
          </w:p>
        </w:tc>
        <w:tc>
          <w:tcPr>
            <w:tcW w:w="1418" w:type="dxa"/>
            <w:vAlign w:val="center"/>
          </w:tcPr>
          <w:p>
            <w:pPr>
              <w:pStyle w:val="275"/>
              <w:spacing w:line="360" w:lineRule="exact"/>
              <w:jc w:val="center"/>
              <w:rPr>
                <w:rFonts w:ascii="Times New Roman" w:hAnsi="Times New Roman" w:eastAsia="宋体"/>
                <w:bCs/>
                <w:szCs w:val="21"/>
              </w:rPr>
            </w:pPr>
            <w:r>
              <w:rPr>
                <w:rFonts w:hint="eastAsia" w:ascii="Times New Roman" w:hAnsi="Times New Roman" w:eastAsia="宋体"/>
                <w:bCs/>
                <w:spacing w:val="-11"/>
                <w:szCs w:val="21"/>
              </w:rPr>
              <w:t>40.7</w:t>
            </w:r>
          </w:p>
        </w:tc>
        <w:tc>
          <w:tcPr>
            <w:tcW w:w="1235" w:type="dxa"/>
            <w:vAlign w:val="center"/>
          </w:tcPr>
          <w:p>
            <w:pPr>
              <w:widowControl w:val="0"/>
              <w:spacing w:line="360" w:lineRule="exact"/>
              <w:jc w:val="center"/>
              <w:rPr>
                <w:rFonts w:eastAsiaTheme="minorEastAsia"/>
                <w:sz w:val="21"/>
                <w:szCs w:val="21"/>
              </w:rPr>
            </w:pPr>
            <w:r>
              <w:rPr>
                <w:rFonts w:eastAsiaTheme="minorEastAsia"/>
                <w:sz w:val="21"/>
                <w:szCs w:val="21"/>
              </w:rPr>
              <w:t>50</w:t>
            </w:r>
          </w:p>
        </w:tc>
        <w:tc>
          <w:tcPr>
            <w:tcW w:w="1246" w:type="dxa"/>
            <w:vAlign w:val="center"/>
          </w:tcPr>
          <w:p>
            <w:pPr>
              <w:widowControl w:val="0"/>
              <w:spacing w:line="360" w:lineRule="exact"/>
              <w:jc w:val="center"/>
              <w:rPr>
                <w:rFonts w:eastAsiaTheme="minorEastAsia"/>
                <w:sz w:val="21"/>
                <w:szCs w:val="21"/>
              </w:rPr>
            </w:pPr>
            <w:r>
              <w:rPr>
                <w:rFonts w:eastAsiaTheme="minorEastAsia"/>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490" w:type="dxa"/>
            <w:vAlign w:val="center"/>
          </w:tcPr>
          <w:p>
            <w:pPr>
              <w:widowControl w:val="0"/>
              <w:spacing w:line="360" w:lineRule="exact"/>
              <w:jc w:val="center"/>
              <w:rPr>
                <w:rFonts w:eastAsiaTheme="minorEastAsia"/>
                <w:sz w:val="21"/>
                <w:szCs w:val="21"/>
              </w:rPr>
            </w:pPr>
            <w:r>
              <w:rPr>
                <w:rFonts w:eastAsiaTheme="minorEastAsia"/>
                <w:sz w:val="21"/>
                <w:szCs w:val="21"/>
              </w:rPr>
              <w:t>4#</w:t>
            </w:r>
            <w:r>
              <w:rPr>
                <w:rFonts w:hint="eastAsia" w:eastAsiaTheme="minorEastAsia"/>
                <w:sz w:val="21"/>
                <w:szCs w:val="21"/>
              </w:rPr>
              <w:t>厂区东侧</w:t>
            </w:r>
          </w:p>
        </w:tc>
        <w:tc>
          <w:tcPr>
            <w:tcW w:w="1302" w:type="dxa"/>
            <w:vAlign w:val="center"/>
          </w:tcPr>
          <w:p>
            <w:pPr>
              <w:pStyle w:val="275"/>
              <w:spacing w:line="360" w:lineRule="exact"/>
              <w:jc w:val="center"/>
              <w:rPr>
                <w:rFonts w:ascii="Times New Roman" w:hAnsi="Times New Roman" w:eastAsia="宋体"/>
                <w:bCs/>
                <w:szCs w:val="21"/>
              </w:rPr>
            </w:pPr>
            <w:r>
              <w:rPr>
                <w:rFonts w:hint="eastAsia" w:ascii="Times New Roman" w:hAnsi="Times New Roman" w:eastAsia="宋体"/>
                <w:bCs/>
                <w:spacing w:val="-11"/>
                <w:szCs w:val="21"/>
              </w:rPr>
              <w:t>45.6</w:t>
            </w:r>
          </w:p>
        </w:tc>
        <w:tc>
          <w:tcPr>
            <w:tcW w:w="1235" w:type="dxa"/>
            <w:vAlign w:val="center"/>
          </w:tcPr>
          <w:p>
            <w:pPr>
              <w:widowControl w:val="0"/>
              <w:spacing w:line="360" w:lineRule="exact"/>
              <w:jc w:val="center"/>
              <w:rPr>
                <w:rFonts w:eastAsiaTheme="minorEastAsia"/>
                <w:sz w:val="21"/>
                <w:szCs w:val="21"/>
              </w:rPr>
            </w:pPr>
            <w:r>
              <w:rPr>
                <w:rFonts w:eastAsiaTheme="minorEastAsia"/>
                <w:sz w:val="21"/>
                <w:szCs w:val="21"/>
              </w:rPr>
              <w:t>60</w:t>
            </w:r>
          </w:p>
        </w:tc>
        <w:tc>
          <w:tcPr>
            <w:tcW w:w="1361" w:type="dxa"/>
            <w:vAlign w:val="center"/>
          </w:tcPr>
          <w:p>
            <w:pPr>
              <w:widowControl w:val="0"/>
              <w:spacing w:line="360" w:lineRule="exact"/>
              <w:jc w:val="center"/>
              <w:rPr>
                <w:rFonts w:eastAsiaTheme="minorEastAsia"/>
                <w:sz w:val="21"/>
                <w:szCs w:val="21"/>
              </w:rPr>
            </w:pPr>
            <w:r>
              <w:rPr>
                <w:rFonts w:eastAsiaTheme="minorEastAsia"/>
                <w:sz w:val="21"/>
                <w:szCs w:val="21"/>
              </w:rPr>
              <w:t>达标</w:t>
            </w:r>
          </w:p>
        </w:tc>
        <w:tc>
          <w:tcPr>
            <w:tcW w:w="1418" w:type="dxa"/>
            <w:vAlign w:val="center"/>
          </w:tcPr>
          <w:p>
            <w:pPr>
              <w:pStyle w:val="275"/>
              <w:spacing w:line="360" w:lineRule="exact"/>
              <w:jc w:val="center"/>
              <w:rPr>
                <w:rFonts w:ascii="Times New Roman" w:hAnsi="Times New Roman" w:eastAsia="宋体"/>
                <w:bCs/>
                <w:szCs w:val="21"/>
              </w:rPr>
            </w:pPr>
            <w:r>
              <w:rPr>
                <w:rFonts w:hint="eastAsia" w:ascii="Times New Roman" w:hAnsi="Times New Roman" w:eastAsia="宋体"/>
                <w:bCs/>
                <w:spacing w:val="-11"/>
                <w:szCs w:val="21"/>
              </w:rPr>
              <w:t>41.5</w:t>
            </w:r>
          </w:p>
        </w:tc>
        <w:tc>
          <w:tcPr>
            <w:tcW w:w="1235" w:type="dxa"/>
            <w:vAlign w:val="center"/>
          </w:tcPr>
          <w:p>
            <w:pPr>
              <w:widowControl w:val="0"/>
              <w:spacing w:line="360" w:lineRule="exact"/>
              <w:jc w:val="center"/>
              <w:rPr>
                <w:rFonts w:eastAsiaTheme="minorEastAsia"/>
                <w:sz w:val="21"/>
                <w:szCs w:val="21"/>
              </w:rPr>
            </w:pPr>
            <w:r>
              <w:rPr>
                <w:rFonts w:eastAsiaTheme="minorEastAsia"/>
                <w:sz w:val="21"/>
                <w:szCs w:val="21"/>
              </w:rPr>
              <w:t>50</w:t>
            </w:r>
          </w:p>
        </w:tc>
        <w:tc>
          <w:tcPr>
            <w:tcW w:w="1246" w:type="dxa"/>
            <w:vAlign w:val="center"/>
          </w:tcPr>
          <w:p>
            <w:pPr>
              <w:widowControl w:val="0"/>
              <w:spacing w:line="360" w:lineRule="exact"/>
              <w:jc w:val="center"/>
              <w:rPr>
                <w:rFonts w:eastAsiaTheme="minorEastAsia"/>
                <w:sz w:val="21"/>
                <w:szCs w:val="21"/>
              </w:rPr>
            </w:pPr>
            <w:r>
              <w:rPr>
                <w:rFonts w:eastAsiaTheme="minorEastAsia"/>
                <w:sz w:val="21"/>
                <w:szCs w:val="21"/>
              </w:rPr>
              <w:t>达标</w:t>
            </w:r>
          </w:p>
        </w:tc>
      </w:t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tbl>
    <w:p>
      <w:pPr>
        <w:adjustRightInd w:val="0"/>
        <w:snapToGrid w:val="0"/>
        <w:spacing w:line="440" w:lineRule="exact"/>
        <w:ind w:firstLine="480" w:firstLineChars="200"/>
        <w:jc w:val="both"/>
      </w:pPr>
      <w:r>
        <w:t>由以上监测结果可知：项目厂界昼</w:t>
      </w:r>
      <w:r>
        <w:rPr>
          <w:rFonts w:hint="eastAsia"/>
        </w:rPr>
        <w:t>间等效声级在44.0-45.6</w:t>
      </w:r>
      <w:r>
        <w:t>dB（A）</w:t>
      </w:r>
      <w:r>
        <w:rPr>
          <w:rFonts w:hint="eastAsia"/>
        </w:rPr>
        <w:t>之间，夜间等效声级在40.7-41.5</w:t>
      </w:r>
      <w:r>
        <w:t>dB（A）</w:t>
      </w:r>
      <w:r>
        <w:rPr>
          <w:rFonts w:hint="eastAsia"/>
        </w:rPr>
        <w:t>之间，能够满足《声环境质量标准》（GB3096-2008）</w:t>
      </w:r>
      <w:r>
        <w:rPr>
          <w:rFonts w:hint="eastAsia"/>
          <w:lang w:val="en-US" w:eastAsia="zh-CN"/>
        </w:rPr>
        <w:t>1</w:t>
      </w:r>
      <w:r>
        <w:rPr>
          <w:rFonts w:hint="eastAsia"/>
        </w:rPr>
        <w:t>类标准限值，即昼间</w:t>
      </w:r>
      <w:r>
        <w:rPr>
          <w:rFonts w:hint="eastAsia"/>
          <w:lang w:val="en-US" w:eastAsia="zh-CN"/>
        </w:rPr>
        <w:t>55</w:t>
      </w:r>
      <w:r>
        <w:rPr>
          <w:rFonts w:hint="eastAsia"/>
        </w:rPr>
        <w:t>dB（A），夜间</w:t>
      </w:r>
      <w:r>
        <w:rPr>
          <w:rFonts w:hint="eastAsia"/>
          <w:lang w:val="en-US" w:eastAsia="zh-CN"/>
        </w:rPr>
        <w:t>45</w:t>
      </w:r>
      <w:r>
        <w:rPr>
          <w:rFonts w:hint="eastAsia"/>
        </w:rPr>
        <w:t>dB（A）要求。</w:t>
      </w:r>
    </w:p>
    <w:p>
      <w:pPr>
        <w:widowControl w:val="0"/>
        <w:adjustRightInd w:val="0"/>
        <w:snapToGrid w:val="0"/>
        <w:spacing w:before="120" w:beforeLines="50" w:after="120" w:afterLines="50"/>
        <w:jc w:val="both"/>
        <w:outlineLvl w:val="1"/>
        <w:rPr>
          <w:b/>
          <w:kern w:val="2"/>
          <w:sz w:val="28"/>
          <w:szCs w:val="28"/>
        </w:rPr>
      </w:pPr>
      <w:bookmarkStart w:id="278" w:name="_Toc26284"/>
      <w:r>
        <w:rPr>
          <w:b/>
          <w:kern w:val="2"/>
          <w:sz w:val="28"/>
          <w:szCs w:val="28"/>
        </w:rPr>
        <w:t>4.</w:t>
      </w:r>
      <w:r>
        <w:rPr>
          <w:rFonts w:hint="eastAsia"/>
          <w:b/>
          <w:kern w:val="2"/>
          <w:sz w:val="28"/>
          <w:szCs w:val="28"/>
        </w:rPr>
        <w:t>4生态环境</w:t>
      </w:r>
      <w:r>
        <w:rPr>
          <w:b/>
          <w:kern w:val="2"/>
          <w:sz w:val="28"/>
          <w:szCs w:val="28"/>
        </w:rPr>
        <w:t>现状调查与评价</w:t>
      </w:r>
      <w:bookmarkEnd w:id="278"/>
    </w:p>
    <w:p>
      <w:pPr>
        <w:widowControl w:val="0"/>
        <w:adjustRightInd w:val="0"/>
        <w:snapToGrid w:val="0"/>
        <w:spacing w:before="120" w:beforeLines="50" w:after="120" w:afterLines="50"/>
        <w:jc w:val="both"/>
        <w:outlineLvl w:val="2"/>
        <w:rPr>
          <w:b/>
          <w:kern w:val="2"/>
        </w:rPr>
      </w:pPr>
      <w:r>
        <w:rPr>
          <w:b/>
          <w:kern w:val="2"/>
        </w:rPr>
        <w:t>4.</w:t>
      </w:r>
      <w:r>
        <w:rPr>
          <w:rFonts w:hint="eastAsia"/>
          <w:b/>
          <w:kern w:val="2"/>
        </w:rPr>
        <w:t>4</w:t>
      </w:r>
      <w:r>
        <w:rPr>
          <w:b/>
          <w:kern w:val="2"/>
        </w:rPr>
        <w:t>.1</w:t>
      </w:r>
      <w:r>
        <w:rPr>
          <w:rFonts w:hint="eastAsia"/>
          <w:b/>
          <w:kern w:val="2"/>
        </w:rPr>
        <w:t>现状调查与评价方法</w:t>
      </w:r>
    </w:p>
    <w:p>
      <w:pPr>
        <w:pStyle w:val="361"/>
        <w:spacing w:line="440" w:lineRule="exact"/>
        <w:ind w:firstLineChars="200"/>
        <w:jc w:val="both"/>
        <w:rPr>
          <w:rFonts w:ascii="宋体" w:hAnsi="宋体" w:eastAsia="宋体"/>
        </w:rPr>
      </w:pPr>
      <w:r>
        <w:rPr>
          <w:rFonts w:hint="eastAsia" w:ascii="宋体" w:hAnsi="宋体" w:eastAsia="宋体"/>
        </w:rPr>
        <w:t>（1）现状调查方法</w:t>
      </w:r>
    </w:p>
    <w:p>
      <w:pPr>
        <w:pStyle w:val="361"/>
        <w:spacing w:line="440" w:lineRule="exact"/>
        <w:ind w:firstLineChars="200"/>
        <w:jc w:val="both"/>
        <w:rPr>
          <w:rFonts w:ascii="宋体" w:hAnsi="宋体" w:eastAsia="宋体"/>
        </w:rPr>
      </w:pPr>
      <w:r>
        <w:rPr>
          <w:rFonts w:ascii="宋体" w:hAnsi="宋体" w:eastAsia="宋体"/>
        </w:rPr>
        <w:t>生态现状调查是生态现状评价、影响预测的基础和依据</w:t>
      </w:r>
      <w:r>
        <w:rPr>
          <w:rFonts w:hint="eastAsia" w:ascii="宋体" w:hAnsi="宋体" w:eastAsia="宋体"/>
        </w:rPr>
        <w:t>，</w:t>
      </w:r>
      <w:r>
        <w:rPr>
          <w:rFonts w:ascii="宋体" w:hAnsi="宋体" w:eastAsia="宋体"/>
        </w:rPr>
        <w:t>为保证调查的内容和指标能准确反映本项目生态评价范围内的生态背景特征</w:t>
      </w:r>
      <w:r>
        <w:rPr>
          <w:rFonts w:hint="eastAsia" w:ascii="宋体" w:hAnsi="宋体" w:eastAsia="宋体"/>
        </w:rPr>
        <w:t>，</w:t>
      </w:r>
      <w:r>
        <w:rPr>
          <w:rFonts w:ascii="宋体" w:hAnsi="宋体" w:eastAsia="宋体"/>
        </w:rPr>
        <w:t>本次评价选用《环境影响评价技术导则 生态影响》</w:t>
      </w:r>
      <w:r>
        <w:rPr>
          <w:rFonts w:hint="eastAsia" w:ascii="宋体" w:hAnsi="宋体" w:eastAsia="宋体"/>
        </w:rPr>
        <w:t>（</w:t>
      </w:r>
      <w:r>
        <w:rPr>
          <w:rFonts w:ascii="宋体" w:hAnsi="宋体" w:eastAsia="宋体"/>
        </w:rPr>
        <w:t>HJ19-2011</w:t>
      </w:r>
      <w:r>
        <w:rPr>
          <w:rFonts w:hint="eastAsia" w:ascii="宋体" w:hAnsi="宋体" w:eastAsia="宋体"/>
        </w:rPr>
        <w:t>）</w:t>
      </w:r>
      <w:r>
        <w:rPr>
          <w:rFonts w:ascii="宋体" w:hAnsi="宋体" w:eastAsia="宋体"/>
        </w:rPr>
        <w:t>附录A中推荐的生态现状调查方法：资料收集法</w:t>
      </w:r>
      <w:r>
        <w:rPr>
          <w:rFonts w:hint="eastAsia" w:ascii="宋体" w:hAnsi="宋体" w:eastAsia="宋体"/>
        </w:rPr>
        <w:t>和</w:t>
      </w:r>
      <w:r>
        <w:rPr>
          <w:rFonts w:ascii="宋体" w:hAnsi="宋体" w:eastAsia="宋体"/>
        </w:rPr>
        <w:t>遥感</w:t>
      </w:r>
      <w:r>
        <w:rPr>
          <w:rFonts w:hint="eastAsia" w:ascii="宋体" w:hAnsi="宋体" w:eastAsia="宋体"/>
        </w:rPr>
        <w:t>调查</w:t>
      </w:r>
      <w:r>
        <w:rPr>
          <w:rFonts w:ascii="宋体" w:hAnsi="宋体" w:eastAsia="宋体"/>
        </w:rPr>
        <w:t>法</w:t>
      </w:r>
      <w:r>
        <w:rPr>
          <w:rFonts w:hint="eastAsia" w:ascii="宋体" w:hAnsi="宋体" w:eastAsia="宋体"/>
        </w:rPr>
        <w:t>。</w:t>
      </w:r>
    </w:p>
    <w:p>
      <w:pPr>
        <w:pStyle w:val="361"/>
        <w:spacing w:line="440" w:lineRule="exact"/>
        <w:ind w:firstLineChars="200"/>
        <w:jc w:val="both"/>
        <w:rPr>
          <w:rFonts w:ascii="宋体" w:hAnsi="宋体" w:eastAsia="宋体"/>
        </w:rPr>
      </w:pPr>
      <w:r>
        <w:rPr>
          <w:rFonts w:hint="eastAsia" w:ascii="宋体" w:hAnsi="宋体" w:eastAsia="宋体"/>
        </w:rPr>
        <w:t>生态现状调查的内容包括生态背景调查和生态问题调查，本次生态现状调查常用方法包括资料收集法、现场调查法、专家和公众咨询法、遥感调查法等。</w:t>
      </w:r>
    </w:p>
    <w:p>
      <w:pPr>
        <w:pStyle w:val="361"/>
        <w:spacing w:line="440" w:lineRule="exact"/>
        <w:ind w:firstLineChars="200"/>
        <w:jc w:val="both"/>
        <w:rPr>
          <w:rFonts w:ascii="宋体" w:hAnsi="宋体" w:eastAsia="宋体"/>
        </w:rPr>
      </w:pPr>
      <w:r>
        <w:rPr>
          <w:rFonts w:eastAsia="宋体"/>
        </w:rPr>
        <w:t>①</w:t>
      </w:r>
      <w:r>
        <w:rPr>
          <w:rFonts w:hint="eastAsia" w:ascii="宋体" w:hAnsi="宋体" w:eastAsia="宋体"/>
        </w:rPr>
        <w:t>收集资料法</w:t>
      </w:r>
    </w:p>
    <w:p>
      <w:pPr>
        <w:pStyle w:val="361"/>
        <w:spacing w:line="440" w:lineRule="exact"/>
        <w:ind w:firstLineChars="200"/>
        <w:jc w:val="both"/>
        <w:rPr>
          <w:rFonts w:ascii="宋体" w:hAnsi="宋体" w:eastAsia="宋体"/>
        </w:rPr>
      </w:pPr>
      <w:r>
        <w:rPr>
          <w:rFonts w:hint="eastAsia" w:ascii="宋体" w:hAnsi="宋体" w:eastAsia="宋体"/>
        </w:rPr>
        <w:t>对项目所在区域现有基础资料进行收集分析，主要包括：普查地质报告、卫星影像、《中国植被及其地理格局》、《山西植被》、《方山县生态功能区划》、《方山县生态经济区划》以及项目所在地非生物因子特征（气候、土壤、地形地貌、水文地质等），分析项目所经区域各生态要素现状概况，结合现场调查，得出区域物种种群分布、植被类型分布、土地利用及水土流失等现状情况。</w:t>
      </w:r>
    </w:p>
    <w:p>
      <w:pPr>
        <w:pStyle w:val="361"/>
        <w:spacing w:line="440" w:lineRule="exact"/>
        <w:ind w:firstLineChars="200"/>
        <w:jc w:val="both"/>
        <w:rPr>
          <w:rFonts w:ascii="宋体" w:hAnsi="宋体" w:eastAsia="宋体"/>
        </w:rPr>
      </w:pPr>
      <w:r>
        <w:rPr>
          <w:rFonts w:eastAsia="宋体"/>
        </w:rPr>
        <w:t>②</w:t>
      </w:r>
      <w:r>
        <w:rPr>
          <w:rFonts w:hint="eastAsia" w:ascii="宋体" w:hAnsi="宋体" w:eastAsia="宋体"/>
        </w:rPr>
        <w:t>现场勘查法</w:t>
      </w:r>
    </w:p>
    <w:p>
      <w:pPr>
        <w:pStyle w:val="361"/>
        <w:spacing w:line="440" w:lineRule="exact"/>
        <w:ind w:firstLineChars="200"/>
        <w:jc w:val="both"/>
        <w:rPr>
          <w:rFonts w:ascii="宋体" w:hAnsi="宋体" w:eastAsia="宋体"/>
        </w:rPr>
      </w:pPr>
      <w:r>
        <w:rPr>
          <w:rFonts w:hint="eastAsia" w:ascii="宋体" w:hAnsi="宋体" w:eastAsia="宋体"/>
        </w:rPr>
        <w:t>现场勘查遵循整体与重点相结合的调查原则，在综合考虑主导生态因子结构和功能的完整性的同时，突出重点区域和关键时段的调查，明确典型植被类型中主要植物类型组成及盖度。动植物资源采用资料收集、现场调查核实等方法。</w:t>
      </w:r>
    </w:p>
    <w:p>
      <w:pPr>
        <w:pStyle w:val="361"/>
        <w:spacing w:line="440" w:lineRule="exact"/>
        <w:ind w:firstLineChars="200"/>
        <w:jc w:val="both"/>
        <w:rPr>
          <w:rFonts w:ascii="宋体" w:hAnsi="宋体" w:eastAsia="宋体"/>
        </w:rPr>
      </w:pPr>
      <w:r>
        <w:rPr>
          <w:rFonts w:eastAsia="宋体"/>
        </w:rPr>
        <w:t>③</w:t>
      </w:r>
      <w:r>
        <w:rPr>
          <w:rFonts w:hint="eastAsia" w:ascii="宋体" w:hAnsi="宋体" w:eastAsia="宋体"/>
        </w:rPr>
        <w:t>公众咨询法</w:t>
      </w:r>
    </w:p>
    <w:p>
      <w:pPr>
        <w:pStyle w:val="361"/>
        <w:spacing w:line="440" w:lineRule="exact"/>
        <w:ind w:firstLineChars="200"/>
        <w:jc w:val="both"/>
        <w:rPr>
          <w:rFonts w:ascii="宋体" w:hAnsi="宋体" w:eastAsia="宋体"/>
        </w:rPr>
      </w:pPr>
      <w:r>
        <w:rPr>
          <w:rFonts w:hint="eastAsia" w:ascii="宋体" w:hAnsi="宋体" w:eastAsia="宋体"/>
        </w:rPr>
        <w:t>通过走访附近村民、社会团体和管理部门了解附近动植物分布情况，进一步了解项目所在地动物种类及分布以及及珍稀濒危野生动物栖息地分布及活动出没情况。</w:t>
      </w:r>
    </w:p>
    <w:p>
      <w:pPr>
        <w:pStyle w:val="361"/>
        <w:spacing w:line="440" w:lineRule="exact"/>
        <w:ind w:firstLineChars="200"/>
        <w:jc w:val="both"/>
        <w:rPr>
          <w:rFonts w:ascii="宋体" w:hAnsi="宋体" w:eastAsia="宋体"/>
        </w:rPr>
      </w:pPr>
      <w:r>
        <w:rPr>
          <w:rFonts w:eastAsia="宋体"/>
        </w:rPr>
        <w:t>④</w:t>
      </w:r>
      <w:r>
        <w:rPr>
          <w:rFonts w:hint="eastAsia" w:ascii="宋体" w:hAnsi="宋体" w:eastAsia="宋体"/>
        </w:rPr>
        <w:t>遥感调查法</w:t>
      </w:r>
    </w:p>
    <w:p>
      <w:pPr>
        <w:pStyle w:val="361"/>
        <w:spacing w:line="440" w:lineRule="exact"/>
        <w:ind w:firstLineChars="200"/>
        <w:jc w:val="both"/>
        <w:rPr>
          <w:rFonts w:ascii="宋体" w:hAnsi="宋体" w:eastAsia="宋体"/>
        </w:rPr>
      </w:pPr>
      <w:r>
        <w:rPr>
          <w:rFonts w:hint="eastAsia" w:ascii="宋体" w:hAnsi="宋体" w:eastAsia="宋体"/>
        </w:rPr>
        <w:t>遥感解译使用的信息源主要为高分二号遥感影像，多光谱波段的空间分辨率达4m，全色波段影像的空间分辨率达1m，数据获取时间2019年10月，解译时间为2019年11月。利用卫星遥感图像和地理信息系统软件进行地类判读，并进行野外核实调查。</w:t>
      </w:r>
    </w:p>
    <w:p>
      <w:pPr>
        <w:pStyle w:val="361"/>
        <w:spacing w:line="440" w:lineRule="exact"/>
        <w:ind w:firstLineChars="200"/>
        <w:jc w:val="both"/>
        <w:rPr>
          <w:rFonts w:ascii="宋体" w:hAnsi="宋体" w:eastAsia="宋体"/>
        </w:rPr>
      </w:pPr>
      <w:r>
        <w:rPr>
          <w:rFonts w:hint="eastAsia" w:ascii="宋体" w:hAnsi="宋体" w:eastAsia="宋体"/>
        </w:rPr>
        <w:t>（2）现状评价方法</w:t>
      </w:r>
    </w:p>
    <w:p>
      <w:pPr>
        <w:pStyle w:val="367"/>
        <w:spacing w:line="440" w:lineRule="exact"/>
        <w:ind w:firstLine="480" w:firstLineChars="200"/>
        <w:jc w:val="both"/>
        <w:rPr>
          <w:rFonts w:hint="default" w:ascii="Times New Roman" w:eastAsia="宋体"/>
          <w:sz w:val="24"/>
        </w:rPr>
      </w:pPr>
      <w:r>
        <w:rPr>
          <w:rFonts w:ascii="Times New Roman" w:eastAsia="宋体"/>
          <w:sz w:val="24"/>
        </w:rPr>
        <w:t>根据项目所在地的生态环境现状及其特点，生态环境评价采用生产力评价法进行评价，选定土地利用、植被覆盖率、水土流失等因子，应用该方法计算生产力指数，按各指数的实际范围确定相对适合的制定指数。将各因子现状指数及变化程度进行综合，即可反应出环境现状变化的本质。根据评价区实际情况绘制土地利用现状、植被覆盖、土壤侵蚀现状等基础图件。</w:t>
      </w:r>
    </w:p>
    <w:p>
      <w:pPr>
        <w:pStyle w:val="361"/>
        <w:spacing w:line="440" w:lineRule="exact"/>
        <w:ind w:firstLineChars="200"/>
        <w:jc w:val="both"/>
        <w:rPr>
          <w:rFonts w:ascii="宋体" w:hAnsi="宋体" w:eastAsia="宋体"/>
        </w:rPr>
      </w:pPr>
      <w:r>
        <w:rPr>
          <w:rFonts w:hint="eastAsia" w:ascii="宋体" w:hAnsi="宋体" w:eastAsia="宋体"/>
        </w:rPr>
        <w:t>（3）评价范围内评价因子筛选</w:t>
      </w:r>
    </w:p>
    <w:p>
      <w:pPr>
        <w:spacing w:line="440" w:lineRule="exact"/>
        <w:ind w:firstLine="480" w:firstLineChars="200"/>
      </w:pPr>
      <w:r>
        <w:t>采矿开采行为对生态系统的影响主要为露天采矿开挖扰动地表，清除地表植被，造成生物多样性和生态系统功能的损失，加剧水土流失。</w:t>
      </w:r>
    </w:p>
    <w:p>
      <w:pPr>
        <w:pStyle w:val="367"/>
        <w:spacing w:line="440" w:lineRule="exact"/>
        <w:ind w:firstLine="480" w:firstLineChars="200"/>
        <w:jc w:val="both"/>
        <w:rPr>
          <w:rFonts w:hint="default" w:ascii="Times New Roman" w:eastAsia="宋体"/>
          <w:sz w:val="24"/>
        </w:rPr>
      </w:pPr>
      <w:r>
        <w:rPr>
          <w:rFonts w:ascii="Times New Roman" w:eastAsia="宋体"/>
          <w:sz w:val="24"/>
        </w:rPr>
        <w:t>评价区范围内主要的生态系统类型是农田生态系统和城市生态系统，因此选取土地利用、植被覆盖率和水土流失作为评价因子。其具体评价方法为：</w:t>
      </w:r>
    </w:p>
    <w:p>
      <w:pPr>
        <w:pStyle w:val="367"/>
        <w:spacing w:line="440" w:lineRule="exact"/>
        <w:ind w:firstLine="480" w:firstLineChars="200"/>
        <w:jc w:val="both"/>
        <w:rPr>
          <w:rFonts w:hint="default" w:ascii="Times New Roman" w:eastAsia="宋体"/>
          <w:sz w:val="24"/>
        </w:rPr>
      </w:pPr>
      <w:r>
        <w:rPr>
          <w:rFonts w:ascii="Times New Roman" w:eastAsia="宋体"/>
          <w:sz w:val="24"/>
        </w:rPr>
        <w:t>1）土地利用</w:t>
      </w:r>
    </w:p>
    <w:p>
      <w:pPr>
        <w:pStyle w:val="367"/>
        <w:spacing w:line="440" w:lineRule="exact"/>
        <w:ind w:firstLine="480" w:firstLineChars="200"/>
        <w:jc w:val="both"/>
        <w:rPr>
          <w:rFonts w:hint="default" w:ascii="Times New Roman" w:eastAsia="宋体"/>
          <w:sz w:val="24"/>
        </w:rPr>
      </w:pPr>
      <w:r>
        <w:rPr>
          <w:rFonts w:ascii="Times New Roman" w:eastAsia="宋体"/>
          <w:sz w:val="24"/>
        </w:rPr>
        <w:t>生物生长量是指生物在单位面积和单位时间所产生的有机物质的重量，亦指生产的速度，以t/(hm</w:t>
      </w:r>
      <w:r>
        <w:rPr>
          <w:rFonts w:ascii="Times New Roman" w:eastAsia="宋体"/>
          <w:sz w:val="24"/>
          <w:vertAlign w:val="superscript"/>
        </w:rPr>
        <w:t>2</w:t>
      </w:r>
      <w:r>
        <w:rPr>
          <w:rFonts w:ascii="Times New Roman" w:eastAsia="宋体"/>
          <w:sz w:val="24"/>
        </w:rPr>
        <w:t>.a)表示。</w:t>
      </w:r>
    </w:p>
    <w:p>
      <w:pPr>
        <w:pStyle w:val="367"/>
        <w:spacing w:line="440" w:lineRule="exact"/>
        <w:ind w:firstLine="480" w:firstLineChars="200"/>
        <w:jc w:val="both"/>
        <w:rPr>
          <w:rFonts w:hint="default" w:ascii="Times New Roman" w:eastAsia="宋体"/>
          <w:sz w:val="24"/>
        </w:rPr>
      </w:pPr>
      <w:r>
        <w:rPr>
          <w:rFonts w:ascii="Times New Roman" w:eastAsia="宋体"/>
          <w:sz w:val="24"/>
        </w:rPr>
        <w:t>以测定绿色植物的生长快慢、或其它指标来代表生物的生产力，以Pa表示：</w:t>
      </w:r>
    </w:p>
    <w:p>
      <w:pPr>
        <w:pStyle w:val="367"/>
        <w:spacing w:line="440" w:lineRule="exact"/>
        <w:ind w:firstLine="480" w:firstLineChars="200"/>
        <w:jc w:val="both"/>
        <w:rPr>
          <w:rFonts w:hint="default" w:ascii="Times New Roman" w:eastAsia="宋体"/>
          <w:sz w:val="24"/>
        </w:rPr>
      </w:pPr>
      <w:r>
        <w:rPr>
          <w:rFonts w:ascii="Times New Roman" w:eastAsia="宋体"/>
          <w:sz w:val="24"/>
        </w:rPr>
        <w:t>Pa=Ba/Bmo</w:t>
      </w:r>
    </w:p>
    <w:p>
      <w:pPr>
        <w:pStyle w:val="367"/>
        <w:spacing w:line="440" w:lineRule="exact"/>
        <w:ind w:firstLine="480" w:firstLineChars="200"/>
        <w:jc w:val="both"/>
        <w:rPr>
          <w:rFonts w:hint="default" w:ascii="Times New Roman" w:eastAsia="宋体"/>
          <w:sz w:val="24"/>
        </w:rPr>
      </w:pPr>
      <w:r>
        <w:rPr>
          <w:rFonts w:ascii="Times New Roman" w:eastAsia="宋体"/>
          <w:sz w:val="24"/>
        </w:rPr>
        <w:t>式中：Ba——生长量；</w:t>
      </w:r>
    </w:p>
    <w:p>
      <w:pPr>
        <w:pStyle w:val="367"/>
        <w:spacing w:line="440" w:lineRule="exact"/>
        <w:ind w:firstLine="480" w:firstLineChars="200"/>
        <w:jc w:val="both"/>
        <w:rPr>
          <w:rFonts w:hint="default" w:ascii="Times New Roman" w:eastAsia="宋体"/>
          <w:sz w:val="24"/>
        </w:rPr>
      </w:pPr>
      <w:r>
        <w:rPr>
          <w:rFonts w:ascii="Times New Roman" w:eastAsia="宋体"/>
          <w:sz w:val="24"/>
        </w:rPr>
        <w:t>Bmo——标定生物量。</w:t>
      </w:r>
    </w:p>
    <w:p>
      <w:pPr>
        <w:pStyle w:val="367"/>
        <w:spacing w:line="440" w:lineRule="exact"/>
        <w:ind w:firstLine="480" w:firstLineChars="200"/>
        <w:jc w:val="both"/>
        <w:rPr>
          <w:rFonts w:hint="default" w:ascii="Times New Roman" w:eastAsia="宋体"/>
          <w:sz w:val="24"/>
        </w:rPr>
      </w:pPr>
      <w:r>
        <w:rPr>
          <w:rFonts w:ascii="Times New Roman" w:eastAsia="宋体"/>
          <w:sz w:val="24"/>
        </w:rPr>
        <w:t>Pa值越大，则土地利用功能的变化就越好。</w:t>
      </w:r>
    </w:p>
    <w:p>
      <w:pPr>
        <w:spacing w:line="440" w:lineRule="exact"/>
        <w:ind w:firstLine="480" w:firstLineChars="200"/>
        <w:jc w:val="both"/>
        <w:rPr>
          <w:rFonts w:ascii="宋体" w:hAnsi="宋体" w:cs="宋体"/>
        </w:rPr>
      </w:pPr>
      <w:r>
        <w:rPr>
          <w:rFonts w:hint="eastAsia" w:ascii="宋体" w:hAnsi="宋体" w:cs="宋体"/>
        </w:rPr>
        <w:t>采用S•帕特索尔发计算生物生产力：</w:t>
      </w:r>
    </w:p>
    <w:p>
      <w:pPr>
        <w:spacing w:line="440" w:lineRule="exact"/>
        <w:ind w:firstLine="480" w:firstLineChars="200"/>
        <w:jc w:val="both"/>
        <w:rPr>
          <w:rFonts w:ascii="宋体" w:hAnsi="宋体" w:cs="宋体"/>
        </w:rPr>
      </w:pPr>
      <w:r>
        <w:rPr>
          <w:rFonts w:hint="eastAsia" w:ascii="宋体" w:hAnsi="宋体" w:cs="宋体"/>
        </w:rPr>
        <w:t>Ba=Tm•P•G•S/（120•Tr）</w:t>
      </w:r>
    </w:p>
    <w:p>
      <w:pPr>
        <w:spacing w:line="440" w:lineRule="exact"/>
        <w:ind w:firstLine="480" w:firstLineChars="200"/>
        <w:jc w:val="both"/>
        <w:rPr>
          <w:rFonts w:ascii="宋体" w:hAnsi="宋体" w:cs="宋体"/>
        </w:rPr>
      </w:pPr>
      <w:r>
        <w:rPr>
          <w:rFonts w:hint="eastAsia" w:ascii="宋体" w:hAnsi="宋体" w:cs="宋体"/>
        </w:rPr>
        <w:t>式中：Ba—生物生产力，t/（hm</w:t>
      </w:r>
      <w:r>
        <w:rPr>
          <w:rFonts w:hint="eastAsia" w:ascii="宋体" w:hAnsi="宋体" w:cs="宋体"/>
          <w:vertAlign w:val="superscript"/>
        </w:rPr>
        <w:t>2</w:t>
      </w:r>
      <w:r>
        <w:rPr>
          <w:rFonts w:hint="eastAsia" w:ascii="宋体" w:hAnsi="宋体" w:cs="宋体"/>
        </w:rPr>
        <w:t>•a）</w:t>
      </w:r>
    </w:p>
    <w:p>
      <w:pPr>
        <w:spacing w:line="440" w:lineRule="exact"/>
        <w:ind w:firstLine="480" w:firstLineChars="200"/>
        <w:jc w:val="both"/>
        <w:rPr>
          <w:rFonts w:ascii="宋体" w:hAnsi="宋体" w:cs="宋体"/>
        </w:rPr>
      </w:pPr>
      <w:r>
        <w:rPr>
          <w:rFonts w:hint="eastAsia" w:ascii="宋体" w:hAnsi="宋体" w:cs="宋体"/>
        </w:rPr>
        <w:t xml:space="preserve">      Tm—最热月平均气温（℃）；</w:t>
      </w:r>
    </w:p>
    <w:p>
      <w:pPr>
        <w:spacing w:line="440" w:lineRule="exact"/>
        <w:ind w:firstLine="480" w:firstLineChars="200"/>
        <w:jc w:val="both"/>
        <w:rPr>
          <w:rFonts w:ascii="宋体" w:hAnsi="宋体" w:cs="宋体"/>
        </w:rPr>
      </w:pPr>
      <w:r>
        <w:rPr>
          <w:rFonts w:hint="eastAsia" w:ascii="宋体" w:hAnsi="宋体" w:cs="宋体"/>
        </w:rPr>
        <w:t>P—降水量（cm）；</w:t>
      </w:r>
    </w:p>
    <w:p>
      <w:pPr>
        <w:spacing w:line="440" w:lineRule="exact"/>
        <w:ind w:firstLine="480" w:firstLineChars="200"/>
        <w:jc w:val="both"/>
        <w:rPr>
          <w:rFonts w:ascii="宋体" w:hAnsi="宋体" w:cs="宋体"/>
        </w:rPr>
      </w:pPr>
      <w:r>
        <w:rPr>
          <w:rFonts w:hint="eastAsia" w:ascii="宋体" w:hAnsi="宋体" w:cs="宋体"/>
        </w:rPr>
        <w:t>G—生长期的持续时间（月）；</w:t>
      </w:r>
    </w:p>
    <w:p>
      <w:pPr>
        <w:spacing w:line="440" w:lineRule="exact"/>
        <w:ind w:firstLine="480" w:firstLineChars="200"/>
        <w:jc w:val="both"/>
        <w:rPr>
          <w:rFonts w:ascii="宋体" w:hAnsi="宋体" w:cs="宋体"/>
        </w:rPr>
      </w:pPr>
      <w:r>
        <w:rPr>
          <w:rFonts w:hint="eastAsia" w:ascii="宋体" w:hAnsi="宋体" w:cs="宋体"/>
        </w:rPr>
        <w:t>S—区域太阳辐射量与极地太阳辐射量之比；</w:t>
      </w:r>
    </w:p>
    <w:p>
      <w:pPr>
        <w:spacing w:line="440" w:lineRule="exact"/>
        <w:ind w:firstLine="480" w:firstLineChars="200"/>
        <w:jc w:val="both"/>
        <w:rPr>
          <w:rFonts w:ascii="宋体" w:hAnsi="宋体" w:cs="宋体"/>
        </w:rPr>
      </w:pPr>
      <w:r>
        <w:rPr>
          <w:rFonts w:hint="eastAsia" w:ascii="宋体" w:hAnsi="宋体" w:cs="宋体"/>
        </w:rPr>
        <w:t>Tr—最热月与最冷月的月平均气温之差（℃）。</w:t>
      </w:r>
    </w:p>
    <w:p>
      <w:pPr>
        <w:pStyle w:val="367"/>
        <w:spacing w:line="440" w:lineRule="exact"/>
        <w:ind w:firstLine="480" w:firstLineChars="200"/>
        <w:jc w:val="both"/>
        <w:rPr>
          <w:rFonts w:hint="default" w:ascii="Times New Roman" w:eastAsia="宋体"/>
          <w:sz w:val="24"/>
        </w:rPr>
      </w:pPr>
      <w:r>
        <w:rPr>
          <w:rFonts w:ascii="Times New Roman" w:eastAsia="宋体"/>
          <w:sz w:val="24"/>
        </w:rPr>
        <w:t>2）植被覆盖率</w:t>
      </w:r>
    </w:p>
    <w:p>
      <w:pPr>
        <w:pStyle w:val="367"/>
        <w:spacing w:line="440" w:lineRule="exact"/>
        <w:ind w:firstLine="480" w:firstLineChars="200"/>
        <w:jc w:val="both"/>
        <w:rPr>
          <w:rFonts w:hint="default" w:ascii="Times New Roman" w:eastAsia="宋体"/>
          <w:sz w:val="24"/>
        </w:rPr>
      </w:pPr>
      <w:r>
        <w:rPr>
          <w:rFonts w:ascii="Times New Roman" w:eastAsia="宋体"/>
          <w:sz w:val="24"/>
        </w:rPr>
        <w:t>可假设标定植被覆盖率为100%，通过计算现状植被覆盖率与标定植被覆盖率的比值来求得标定相对植被覆盖率。</w:t>
      </w:r>
    </w:p>
    <w:p>
      <w:pPr>
        <w:pStyle w:val="367"/>
        <w:spacing w:line="440" w:lineRule="exact"/>
        <w:ind w:firstLine="480" w:firstLineChars="200"/>
        <w:jc w:val="both"/>
        <w:rPr>
          <w:rFonts w:hint="default" w:ascii="Times New Roman" w:eastAsia="宋体"/>
          <w:sz w:val="24"/>
        </w:rPr>
      </w:pPr>
      <w:r>
        <w:rPr>
          <w:rFonts w:ascii="Times New Roman" w:eastAsia="宋体"/>
          <w:sz w:val="24"/>
        </w:rPr>
        <w:t>3）水土流失</w:t>
      </w:r>
    </w:p>
    <w:p>
      <w:pPr>
        <w:pStyle w:val="367"/>
        <w:spacing w:line="440" w:lineRule="exact"/>
        <w:ind w:firstLine="480" w:firstLineChars="200"/>
        <w:jc w:val="both"/>
        <w:rPr>
          <w:rFonts w:hint="default" w:ascii="Times New Roman" w:eastAsia="宋体"/>
          <w:sz w:val="24"/>
        </w:rPr>
      </w:pPr>
      <w:r>
        <w:rPr>
          <w:rFonts w:ascii="Times New Roman" w:eastAsia="宋体"/>
          <w:sz w:val="24"/>
        </w:rPr>
        <w:t>采矿范围内的水土流失是由于采矿引起地表植被扰动，使一些地区土壤理化性状发生变化，土壤保水保肥能力下降，植被生长环境恶化，根部固定植株能力降低，土壤松动，在暴雨的冲刷下产生水土流失。</w:t>
      </w:r>
    </w:p>
    <w:p>
      <w:pPr>
        <w:pStyle w:val="367"/>
        <w:spacing w:line="440" w:lineRule="exact"/>
        <w:ind w:firstLine="480" w:firstLineChars="200"/>
        <w:jc w:val="both"/>
        <w:rPr>
          <w:rFonts w:hint="default" w:ascii="Times New Roman" w:eastAsia="宋体"/>
          <w:sz w:val="24"/>
        </w:rPr>
      </w:pPr>
      <w:r>
        <w:rPr>
          <w:rFonts w:ascii="Times New Roman" w:eastAsia="宋体"/>
          <w:sz w:val="24"/>
        </w:rPr>
        <w:t>通过计算出总的水土流失侵蚀模数以后，确定该地区的标定水土流失侵蚀模数，计算其减水减沙量(为了便于同其它因子比较、分析整体变化)，按公式：</w:t>
      </w:r>
    </w:p>
    <w:p>
      <w:pPr>
        <w:pStyle w:val="367"/>
        <w:spacing w:line="440" w:lineRule="exact"/>
        <w:ind w:firstLine="480" w:firstLineChars="200"/>
        <w:jc w:val="both"/>
        <w:rPr>
          <w:rFonts w:hint="default" w:ascii="Times New Roman" w:eastAsia="宋体"/>
          <w:sz w:val="24"/>
        </w:rPr>
      </w:pPr>
      <w:r>
        <w:rPr>
          <w:rFonts w:ascii="Times New Roman" w:eastAsia="宋体"/>
          <w:sz w:val="24"/>
        </w:rPr>
        <w:t>Pb=(Bbo—Bb)/Bbo</w:t>
      </w:r>
    </w:p>
    <w:p>
      <w:pPr>
        <w:pStyle w:val="367"/>
        <w:spacing w:line="440" w:lineRule="exact"/>
        <w:ind w:firstLine="480" w:firstLineChars="200"/>
        <w:jc w:val="both"/>
        <w:rPr>
          <w:rFonts w:hint="default" w:ascii="Times New Roman" w:eastAsia="宋体"/>
          <w:sz w:val="24"/>
        </w:rPr>
      </w:pPr>
      <w:r>
        <w:rPr>
          <w:rFonts w:ascii="Times New Roman" w:eastAsia="宋体"/>
          <w:sz w:val="24"/>
        </w:rPr>
        <w:t>式中：Bb——水土流失侵蚀模数；</w:t>
      </w:r>
    </w:p>
    <w:p>
      <w:pPr>
        <w:pStyle w:val="367"/>
        <w:spacing w:line="440" w:lineRule="exact"/>
        <w:ind w:firstLine="480" w:firstLineChars="200"/>
        <w:jc w:val="both"/>
        <w:rPr>
          <w:rFonts w:hint="default" w:ascii="Times New Roman" w:eastAsia="宋体"/>
          <w:sz w:val="24"/>
        </w:rPr>
      </w:pPr>
      <w:r>
        <w:rPr>
          <w:rFonts w:ascii="Times New Roman" w:eastAsia="宋体"/>
          <w:sz w:val="24"/>
        </w:rPr>
        <w:t>Bbo——标定水土流失侵蚀模数；</w:t>
      </w:r>
    </w:p>
    <w:p>
      <w:pPr>
        <w:pStyle w:val="367"/>
        <w:spacing w:line="440" w:lineRule="exact"/>
        <w:ind w:firstLine="480" w:firstLineChars="200"/>
        <w:jc w:val="both"/>
        <w:rPr>
          <w:rFonts w:hint="default" w:ascii="Times New Roman" w:eastAsia="宋体"/>
          <w:sz w:val="24"/>
        </w:rPr>
      </w:pPr>
      <w:r>
        <w:rPr>
          <w:rFonts w:ascii="Times New Roman" w:eastAsia="宋体"/>
          <w:sz w:val="24"/>
        </w:rPr>
        <w:t>Pb越大，则水土流失量越小。</w:t>
      </w:r>
    </w:p>
    <w:p>
      <w:pPr>
        <w:widowControl w:val="0"/>
        <w:adjustRightInd w:val="0"/>
        <w:snapToGrid w:val="0"/>
        <w:spacing w:before="120" w:beforeLines="50" w:after="120" w:afterLines="50"/>
        <w:jc w:val="both"/>
        <w:outlineLvl w:val="2"/>
        <w:rPr>
          <w:b/>
          <w:kern w:val="2"/>
        </w:rPr>
      </w:pPr>
      <w:r>
        <w:rPr>
          <w:b/>
          <w:kern w:val="2"/>
        </w:rPr>
        <w:t>4.</w:t>
      </w:r>
      <w:r>
        <w:rPr>
          <w:rFonts w:hint="eastAsia"/>
          <w:b/>
          <w:kern w:val="2"/>
        </w:rPr>
        <w:t>4</w:t>
      </w:r>
      <w:r>
        <w:rPr>
          <w:b/>
          <w:kern w:val="2"/>
        </w:rPr>
        <w:t>.</w:t>
      </w:r>
      <w:r>
        <w:rPr>
          <w:rFonts w:hint="eastAsia"/>
          <w:b/>
          <w:kern w:val="2"/>
        </w:rPr>
        <w:t>2现状调查范围</w:t>
      </w:r>
    </w:p>
    <w:p>
      <w:pPr>
        <w:pStyle w:val="361"/>
        <w:jc w:val="both"/>
        <w:rPr>
          <w:rFonts w:eastAsia="宋体"/>
        </w:rPr>
      </w:pPr>
      <w:r>
        <w:rPr>
          <w:rFonts w:eastAsia="宋体"/>
        </w:rPr>
        <w:t>本项目生态现状调查范围与生态评价范围一致</w:t>
      </w:r>
      <w:r>
        <w:rPr>
          <w:rFonts w:hint="eastAsia" w:eastAsia="宋体"/>
        </w:rPr>
        <w:t>，</w:t>
      </w:r>
      <w:r>
        <w:rPr>
          <w:rFonts w:eastAsia="宋体"/>
        </w:rPr>
        <w:t>确定为</w:t>
      </w:r>
      <w:r>
        <w:rPr>
          <w:rFonts w:hint="eastAsia" w:eastAsia="宋体"/>
        </w:rPr>
        <w:t>矿区</w:t>
      </w:r>
      <w:r>
        <w:rPr>
          <w:rFonts w:eastAsia="宋体"/>
        </w:rPr>
        <w:t>边界外扩</w:t>
      </w:r>
      <w:r>
        <w:rPr>
          <w:rFonts w:hint="eastAsia" w:eastAsia="宋体"/>
        </w:rPr>
        <w:t>2</w:t>
      </w:r>
      <w:r>
        <w:rPr>
          <w:rFonts w:eastAsia="宋体"/>
        </w:rPr>
        <w:t>00m以内的区域</w:t>
      </w:r>
      <w:r>
        <w:rPr>
          <w:rFonts w:hint="eastAsia" w:eastAsia="宋体"/>
        </w:rPr>
        <w:t>，</w:t>
      </w:r>
      <w:r>
        <w:rPr>
          <w:rFonts w:eastAsia="宋体"/>
        </w:rPr>
        <w:t>总计</w:t>
      </w:r>
      <w:r>
        <w:rPr>
          <w:rFonts w:hint="eastAsia" w:eastAsia="宋体"/>
        </w:rPr>
        <w:t>36.21</w:t>
      </w:r>
      <w:r>
        <w:rPr>
          <w:rFonts w:eastAsia="宋体"/>
        </w:rPr>
        <w:t>hm</w:t>
      </w:r>
      <w:r>
        <w:rPr>
          <w:rFonts w:eastAsia="宋体"/>
          <w:vertAlign w:val="superscript"/>
        </w:rPr>
        <w:t>2</w:t>
      </w:r>
      <w:r>
        <w:rPr>
          <w:rFonts w:hint="eastAsia" w:eastAsia="宋体"/>
        </w:rPr>
        <w:t>。</w:t>
      </w:r>
    </w:p>
    <w:p>
      <w:pPr>
        <w:widowControl w:val="0"/>
        <w:adjustRightInd w:val="0"/>
        <w:snapToGrid w:val="0"/>
        <w:spacing w:before="120" w:beforeLines="50" w:after="120" w:afterLines="50"/>
        <w:jc w:val="both"/>
        <w:outlineLvl w:val="2"/>
        <w:rPr>
          <w:b/>
          <w:kern w:val="2"/>
        </w:rPr>
      </w:pPr>
      <w:r>
        <w:rPr>
          <w:b/>
          <w:kern w:val="2"/>
        </w:rPr>
        <w:t>4.</w:t>
      </w:r>
      <w:r>
        <w:rPr>
          <w:rFonts w:hint="eastAsia"/>
          <w:b/>
          <w:kern w:val="2"/>
        </w:rPr>
        <w:t>4</w:t>
      </w:r>
      <w:r>
        <w:rPr>
          <w:b/>
          <w:kern w:val="2"/>
        </w:rPr>
        <w:t>.</w:t>
      </w:r>
      <w:r>
        <w:rPr>
          <w:rFonts w:hint="eastAsia"/>
          <w:b/>
          <w:kern w:val="2"/>
        </w:rPr>
        <w:t>3矿区现有环境问题和整改措施</w:t>
      </w:r>
    </w:p>
    <w:p>
      <w:pPr>
        <w:pStyle w:val="361"/>
        <w:jc w:val="both"/>
        <w:rPr>
          <w:rFonts w:eastAsia="宋体"/>
        </w:rPr>
      </w:pPr>
      <w:r>
        <w:rPr>
          <w:rFonts w:hint="eastAsia" w:eastAsia="宋体"/>
        </w:rPr>
        <w:t>本项目矿山已进行初步开采，根据现场勘查结果，本项目存在的环境问题主要有：</w:t>
      </w:r>
    </w:p>
    <w:p>
      <w:pPr>
        <w:pStyle w:val="361"/>
        <w:numPr>
          <w:ilvl w:val="0"/>
          <w:numId w:val="4"/>
        </w:numPr>
        <w:jc w:val="both"/>
        <w:rPr>
          <w:rFonts w:eastAsia="宋体"/>
        </w:rPr>
      </w:pPr>
      <w:r>
        <w:rPr>
          <w:rFonts w:hint="eastAsia" w:eastAsia="宋体"/>
        </w:rPr>
        <w:t>采空区存在少量排土堆放，未设排土场，本次评价要求建设排土场，堆土后期用于土地复垦和生态恢复。</w:t>
      </w:r>
    </w:p>
    <w:p>
      <w:pPr>
        <w:pStyle w:val="361"/>
        <w:numPr>
          <w:ilvl w:val="0"/>
          <w:numId w:val="4"/>
        </w:numPr>
        <w:jc w:val="both"/>
        <w:rPr>
          <w:rFonts w:eastAsia="宋体"/>
        </w:rPr>
      </w:pPr>
      <w:r>
        <w:rPr>
          <w:rFonts w:hint="eastAsia" w:eastAsia="宋体"/>
          <w:lang w:eastAsia="zh-CN"/>
        </w:rPr>
        <w:t>项目占地范围内存在较多成品砖堆放，评价要求企业及时进行清理，并在运营期结束后，按照要求将占地全部复垦为耕地。</w:t>
      </w:r>
    </w:p>
    <w:p>
      <w:pPr>
        <w:widowControl w:val="0"/>
        <w:adjustRightInd w:val="0"/>
        <w:snapToGrid w:val="0"/>
        <w:spacing w:before="120" w:beforeLines="50" w:after="120" w:afterLines="50"/>
        <w:jc w:val="both"/>
        <w:outlineLvl w:val="2"/>
        <w:rPr>
          <w:rFonts w:ascii="宋体" w:hAnsi="宋体"/>
        </w:rPr>
      </w:pPr>
      <w:r>
        <w:rPr>
          <w:b/>
          <w:kern w:val="2"/>
        </w:rPr>
        <w:t>4.</w:t>
      </w:r>
      <w:r>
        <w:rPr>
          <w:rFonts w:hint="eastAsia"/>
          <w:b/>
          <w:kern w:val="2"/>
        </w:rPr>
        <w:t>4</w:t>
      </w:r>
      <w:r>
        <w:rPr>
          <w:b/>
          <w:kern w:val="2"/>
        </w:rPr>
        <w:t>.</w:t>
      </w:r>
      <w:r>
        <w:rPr>
          <w:rFonts w:hint="eastAsia"/>
          <w:b/>
          <w:kern w:val="2"/>
        </w:rPr>
        <w:t>4生态系统类型调查与评价</w:t>
      </w:r>
    </w:p>
    <w:p>
      <w:pPr>
        <w:pStyle w:val="361"/>
        <w:widowControl w:val="0"/>
        <w:spacing w:line="440" w:lineRule="exact"/>
        <w:ind w:firstLineChars="200"/>
        <w:jc w:val="both"/>
        <w:rPr>
          <w:rFonts w:ascii="宋体" w:hAnsi="宋体" w:eastAsia="宋体"/>
        </w:rPr>
      </w:pPr>
      <w:r>
        <w:rPr>
          <w:rFonts w:hint="eastAsia" w:ascii="宋体" w:hAnsi="宋体" w:eastAsia="宋体"/>
        </w:rPr>
        <w:t>根据遥感影像解析和实地调查，评价区生态系统类型主要为人工生态系统，包括农田生态系统和城市生态系统。评价区生态系统类型及分布情况见表</w:t>
      </w:r>
      <w:r>
        <w:rPr>
          <w:rFonts w:eastAsia="宋体"/>
        </w:rPr>
        <w:t>4.4-1。</w:t>
      </w:r>
    </w:p>
    <w:p>
      <w:pPr>
        <w:pStyle w:val="361"/>
        <w:spacing w:before="120" w:beforeLines="50" w:line="240" w:lineRule="auto"/>
        <w:ind w:firstLine="0"/>
        <w:jc w:val="center"/>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4.4-1</w:t>
      </w:r>
      <w:r>
        <w:rPr>
          <w:rFonts w:hint="eastAsia" w:ascii="黑体" w:hAnsi="黑体" w:eastAsia="黑体" w:cs="黑体"/>
          <w:sz w:val="21"/>
          <w:szCs w:val="21"/>
        </w:rPr>
        <w:t xml:space="preserve"> 评价区生态系统类型及特征</w:t>
      </w:r>
    </w:p>
    <w:tbl>
      <w:tblPr>
        <w:tblStyle w:val="88"/>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679"/>
        <w:gridCol w:w="3157"/>
        <w:gridCol w:w="4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Align w:val="center"/>
          </w:tcPr>
          <w:p>
            <w:pPr>
              <w:widowControl w:val="0"/>
              <w:adjustRightInd w:val="0"/>
              <w:snapToGrid w:val="0"/>
              <w:spacing w:line="360" w:lineRule="exact"/>
              <w:jc w:val="center"/>
              <w:rPr>
                <w:kern w:val="2"/>
                <w:sz w:val="21"/>
                <w:szCs w:val="20"/>
              </w:rPr>
            </w:pPr>
            <w:r>
              <w:rPr>
                <w:kern w:val="2"/>
                <w:sz w:val="21"/>
                <w:szCs w:val="20"/>
              </w:rPr>
              <w:t>序号</w:t>
            </w:r>
          </w:p>
        </w:tc>
        <w:tc>
          <w:tcPr>
            <w:tcW w:w="844" w:type="pct"/>
            <w:vAlign w:val="center"/>
          </w:tcPr>
          <w:p>
            <w:pPr>
              <w:widowControl w:val="0"/>
              <w:adjustRightInd w:val="0"/>
              <w:snapToGrid w:val="0"/>
              <w:spacing w:line="360" w:lineRule="exact"/>
              <w:jc w:val="center"/>
              <w:rPr>
                <w:kern w:val="2"/>
                <w:sz w:val="21"/>
                <w:szCs w:val="20"/>
              </w:rPr>
            </w:pPr>
            <w:r>
              <w:rPr>
                <w:kern w:val="2"/>
                <w:sz w:val="21"/>
                <w:szCs w:val="20"/>
              </w:rPr>
              <w:t>生态系统类型</w:t>
            </w:r>
          </w:p>
        </w:tc>
        <w:tc>
          <w:tcPr>
            <w:tcW w:w="1587" w:type="pct"/>
            <w:vAlign w:val="center"/>
          </w:tcPr>
          <w:p>
            <w:pPr>
              <w:widowControl w:val="0"/>
              <w:adjustRightInd w:val="0"/>
              <w:snapToGrid w:val="0"/>
              <w:spacing w:line="360" w:lineRule="exact"/>
              <w:jc w:val="center"/>
              <w:rPr>
                <w:kern w:val="2"/>
                <w:sz w:val="21"/>
                <w:szCs w:val="20"/>
              </w:rPr>
            </w:pPr>
            <w:r>
              <w:rPr>
                <w:rFonts w:hint="eastAsia"/>
                <w:kern w:val="2"/>
                <w:sz w:val="21"/>
                <w:szCs w:val="20"/>
              </w:rPr>
              <w:t>详细分类</w:t>
            </w:r>
          </w:p>
        </w:tc>
        <w:tc>
          <w:tcPr>
            <w:tcW w:w="2226" w:type="pct"/>
            <w:vAlign w:val="center"/>
          </w:tcPr>
          <w:p>
            <w:pPr>
              <w:widowControl w:val="0"/>
              <w:adjustRightInd w:val="0"/>
              <w:snapToGrid w:val="0"/>
              <w:spacing w:line="360" w:lineRule="exact"/>
              <w:jc w:val="center"/>
              <w:rPr>
                <w:kern w:val="2"/>
                <w:sz w:val="21"/>
                <w:szCs w:val="20"/>
              </w:rPr>
            </w:pPr>
            <w:r>
              <w:rPr>
                <w:kern w:val="2"/>
                <w:sz w:val="21"/>
                <w:szCs w:val="20"/>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restart"/>
            <w:vAlign w:val="center"/>
          </w:tcPr>
          <w:p>
            <w:pPr>
              <w:widowControl w:val="0"/>
              <w:adjustRightInd w:val="0"/>
              <w:snapToGrid w:val="0"/>
              <w:spacing w:line="360" w:lineRule="exact"/>
              <w:jc w:val="center"/>
              <w:rPr>
                <w:kern w:val="2"/>
                <w:sz w:val="21"/>
                <w:szCs w:val="20"/>
              </w:rPr>
            </w:pPr>
            <w:r>
              <w:rPr>
                <w:rFonts w:hint="eastAsia"/>
                <w:kern w:val="2"/>
                <w:sz w:val="21"/>
                <w:szCs w:val="20"/>
              </w:rPr>
              <w:t>1</w:t>
            </w:r>
          </w:p>
        </w:tc>
        <w:tc>
          <w:tcPr>
            <w:tcW w:w="844" w:type="pct"/>
            <w:vMerge w:val="restart"/>
            <w:vAlign w:val="center"/>
          </w:tcPr>
          <w:p>
            <w:pPr>
              <w:widowControl w:val="0"/>
              <w:adjustRightInd w:val="0"/>
              <w:snapToGrid w:val="0"/>
              <w:spacing w:line="360" w:lineRule="exact"/>
              <w:jc w:val="center"/>
              <w:rPr>
                <w:kern w:val="2"/>
                <w:sz w:val="21"/>
                <w:szCs w:val="20"/>
              </w:rPr>
            </w:pPr>
            <w:r>
              <w:rPr>
                <w:rFonts w:hint="eastAsia"/>
                <w:kern w:val="2"/>
                <w:sz w:val="21"/>
                <w:szCs w:val="20"/>
              </w:rPr>
              <w:t>人工生态系统</w:t>
            </w:r>
          </w:p>
        </w:tc>
        <w:tc>
          <w:tcPr>
            <w:tcW w:w="1587" w:type="pct"/>
            <w:vAlign w:val="center"/>
          </w:tcPr>
          <w:p>
            <w:pPr>
              <w:widowControl w:val="0"/>
              <w:adjustRightInd w:val="0"/>
              <w:snapToGrid w:val="0"/>
              <w:spacing w:line="360" w:lineRule="exact"/>
              <w:jc w:val="center"/>
              <w:rPr>
                <w:kern w:val="2"/>
                <w:sz w:val="21"/>
                <w:szCs w:val="20"/>
              </w:rPr>
            </w:pPr>
            <w:r>
              <w:rPr>
                <w:rFonts w:hint="eastAsia"/>
                <w:kern w:val="2"/>
                <w:sz w:val="21"/>
                <w:szCs w:val="20"/>
              </w:rPr>
              <w:t>农田生态系统</w:t>
            </w:r>
          </w:p>
        </w:tc>
        <w:tc>
          <w:tcPr>
            <w:tcW w:w="2226" w:type="pct"/>
            <w:vAlign w:val="center"/>
          </w:tcPr>
          <w:p>
            <w:pPr>
              <w:widowControl w:val="0"/>
              <w:adjustRightInd w:val="0"/>
              <w:snapToGrid w:val="0"/>
              <w:spacing w:line="360" w:lineRule="exact"/>
              <w:jc w:val="both"/>
              <w:rPr>
                <w:kern w:val="2"/>
                <w:sz w:val="21"/>
                <w:szCs w:val="20"/>
              </w:rPr>
            </w:pPr>
            <w:r>
              <w:rPr>
                <w:rFonts w:hint="eastAsia"/>
                <w:kern w:val="2"/>
                <w:sz w:val="21"/>
                <w:szCs w:val="20"/>
              </w:rPr>
              <w:t>分散</w:t>
            </w:r>
            <w:r>
              <w:rPr>
                <w:kern w:val="2"/>
                <w:sz w:val="21"/>
                <w:szCs w:val="20"/>
              </w:rPr>
              <w:t>分布于</w:t>
            </w:r>
            <w:r>
              <w:rPr>
                <w:rFonts w:hint="eastAsia"/>
                <w:kern w:val="2"/>
                <w:sz w:val="21"/>
                <w:szCs w:val="20"/>
              </w:rPr>
              <w:t>整个评价区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vAlign w:val="center"/>
          </w:tcPr>
          <w:p>
            <w:pPr>
              <w:widowControl w:val="0"/>
              <w:adjustRightInd w:val="0"/>
              <w:snapToGrid w:val="0"/>
              <w:spacing w:line="360" w:lineRule="exact"/>
              <w:jc w:val="center"/>
              <w:rPr>
                <w:kern w:val="2"/>
                <w:sz w:val="21"/>
                <w:szCs w:val="20"/>
              </w:rPr>
            </w:pPr>
          </w:p>
        </w:tc>
        <w:tc>
          <w:tcPr>
            <w:tcW w:w="844" w:type="pct"/>
            <w:vMerge w:val="continue"/>
            <w:vAlign w:val="center"/>
          </w:tcPr>
          <w:p>
            <w:pPr>
              <w:widowControl w:val="0"/>
              <w:adjustRightInd w:val="0"/>
              <w:snapToGrid w:val="0"/>
              <w:spacing w:line="360" w:lineRule="exact"/>
              <w:jc w:val="center"/>
              <w:rPr>
                <w:kern w:val="2"/>
                <w:sz w:val="21"/>
                <w:szCs w:val="20"/>
              </w:rPr>
            </w:pPr>
          </w:p>
        </w:tc>
        <w:tc>
          <w:tcPr>
            <w:tcW w:w="1587" w:type="pct"/>
            <w:vAlign w:val="center"/>
          </w:tcPr>
          <w:p>
            <w:pPr>
              <w:widowControl w:val="0"/>
              <w:adjustRightInd w:val="0"/>
              <w:snapToGrid w:val="0"/>
              <w:spacing w:line="360" w:lineRule="exact"/>
              <w:jc w:val="center"/>
              <w:rPr>
                <w:kern w:val="2"/>
                <w:sz w:val="21"/>
                <w:szCs w:val="20"/>
              </w:rPr>
            </w:pPr>
            <w:r>
              <w:rPr>
                <w:rFonts w:hint="eastAsia"/>
                <w:kern w:val="2"/>
                <w:sz w:val="21"/>
                <w:szCs w:val="20"/>
              </w:rPr>
              <w:t>城市生态系统</w:t>
            </w:r>
          </w:p>
        </w:tc>
        <w:tc>
          <w:tcPr>
            <w:tcW w:w="2226" w:type="pct"/>
            <w:vAlign w:val="center"/>
          </w:tcPr>
          <w:p>
            <w:pPr>
              <w:widowControl w:val="0"/>
              <w:adjustRightInd w:val="0"/>
              <w:snapToGrid w:val="0"/>
              <w:spacing w:line="360" w:lineRule="exact"/>
              <w:jc w:val="both"/>
              <w:rPr>
                <w:kern w:val="2"/>
                <w:sz w:val="21"/>
                <w:szCs w:val="20"/>
              </w:rPr>
            </w:pPr>
            <w:r>
              <w:rPr>
                <w:kern w:val="2"/>
                <w:sz w:val="21"/>
                <w:szCs w:val="20"/>
              </w:rPr>
              <w:t>主要分布于评价范围的</w:t>
            </w:r>
            <w:r>
              <w:rPr>
                <w:rFonts w:hint="eastAsia"/>
                <w:kern w:val="2"/>
                <w:sz w:val="21"/>
                <w:szCs w:val="20"/>
              </w:rPr>
              <w:t>中部，西南侧和西北侧</w:t>
            </w:r>
          </w:p>
        </w:tc>
      </w:tr>
    </w:tbl>
    <w:p>
      <w:pPr>
        <w:widowControl w:val="0"/>
        <w:adjustRightInd w:val="0"/>
        <w:snapToGrid w:val="0"/>
        <w:spacing w:before="120" w:beforeLines="50" w:after="120" w:afterLines="50"/>
        <w:jc w:val="both"/>
        <w:outlineLvl w:val="2"/>
        <w:rPr>
          <w:b/>
          <w:kern w:val="2"/>
        </w:rPr>
      </w:pPr>
      <w:r>
        <w:rPr>
          <w:b/>
          <w:kern w:val="2"/>
        </w:rPr>
        <w:t>4.</w:t>
      </w:r>
      <w:r>
        <w:rPr>
          <w:rFonts w:hint="eastAsia"/>
          <w:b/>
          <w:kern w:val="2"/>
        </w:rPr>
        <w:t>4</w:t>
      </w:r>
      <w:r>
        <w:rPr>
          <w:b/>
          <w:kern w:val="2"/>
        </w:rPr>
        <w:t>.</w:t>
      </w:r>
      <w:r>
        <w:rPr>
          <w:rFonts w:hint="eastAsia"/>
          <w:b/>
          <w:kern w:val="2"/>
        </w:rPr>
        <w:t>5土地利用现状调查与评价</w:t>
      </w:r>
    </w:p>
    <w:p>
      <w:pPr>
        <w:pStyle w:val="361"/>
        <w:rPr>
          <w:rFonts w:ascii="宋体" w:hAnsi="宋体" w:eastAsia="宋体"/>
        </w:rPr>
      </w:pPr>
      <w:r>
        <w:rPr>
          <w:rFonts w:hint="eastAsia" w:ascii="宋体" w:hAnsi="宋体" w:eastAsia="宋体"/>
        </w:rPr>
        <w:t>（1）土地利用现状调查</w:t>
      </w:r>
    </w:p>
    <w:p>
      <w:pPr>
        <w:pStyle w:val="361"/>
        <w:spacing w:line="440" w:lineRule="exact"/>
        <w:ind w:firstLineChars="200"/>
        <w:jc w:val="both"/>
        <w:rPr>
          <w:rFonts w:eastAsia="宋体"/>
        </w:rPr>
      </w:pPr>
      <w:r>
        <w:rPr>
          <w:rFonts w:eastAsia="宋体"/>
        </w:rPr>
        <w:t>本项目评价范围</w:t>
      </w:r>
      <w:r>
        <w:rPr>
          <w:rFonts w:hint="eastAsia" w:eastAsia="宋体"/>
        </w:rPr>
        <w:t>占地面积</w:t>
      </w:r>
      <w:r>
        <w:rPr>
          <w:rFonts w:eastAsia="宋体"/>
        </w:rPr>
        <w:t>总计为</w:t>
      </w:r>
      <w:r>
        <w:rPr>
          <w:rFonts w:hint="eastAsia" w:eastAsia="宋体"/>
        </w:rPr>
        <w:t>36.21</w:t>
      </w:r>
      <w:r>
        <w:rPr>
          <w:rFonts w:eastAsia="宋体"/>
        </w:rPr>
        <w:t>hm</w:t>
      </w:r>
      <w:r>
        <w:rPr>
          <w:rFonts w:eastAsia="宋体"/>
          <w:vertAlign w:val="superscript"/>
        </w:rPr>
        <w:t>2</w:t>
      </w:r>
      <w:r>
        <w:rPr>
          <w:rFonts w:eastAsia="宋体"/>
        </w:rPr>
        <w:t>，评价范围内土地利用类型分为4类</w:t>
      </w:r>
      <w:r>
        <w:rPr>
          <w:rFonts w:hint="eastAsia" w:eastAsia="宋体"/>
        </w:rPr>
        <w:t>，分别为耕地、内陆滩涂、工矿仓储用地和交通运输占地。</w:t>
      </w:r>
    </w:p>
    <w:p>
      <w:pPr>
        <w:pStyle w:val="361"/>
        <w:spacing w:line="440" w:lineRule="exact"/>
        <w:ind w:firstLineChars="200"/>
        <w:jc w:val="both"/>
        <w:rPr>
          <w:rFonts w:eastAsia="宋体"/>
        </w:rPr>
      </w:pPr>
      <w:r>
        <w:rPr>
          <w:rFonts w:hint="eastAsia" w:eastAsia="宋体"/>
        </w:rPr>
        <w:t>本</w:t>
      </w:r>
      <w:r>
        <w:rPr>
          <w:rFonts w:eastAsia="宋体"/>
        </w:rPr>
        <w:t>项目占地</w:t>
      </w:r>
      <w:r>
        <w:rPr>
          <w:rFonts w:hint="eastAsia" w:eastAsia="宋体"/>
        </w:rPr>
        <w:t>面积</w:t>
      </w:r>
      <w:r>
        <w:rPr>
          <w:rFonts w:eastAsia="宋体"/>
        </w:rPr>
        <w:t>总计5.</w:t>
      </w:r>
      <w:r>
        <w:rPr>
          <w:rFonts w:hint="eastAsia" w:eastAsia="宋体"/>
        </w:rPr>
        <w:t>20</w:t>
      </w:r>
      <w:r>
        <w:rPr>
          <w:rFonts w:eastAsia="宋体"/>
        </w:rPr>
        <w:t>hm</w:t>
      </w:r>
      <w:r>
        <w:rPr>
          <w:rFonts w:eastAsia="宋体"/>
          <w:vertAlign w:val="superscript"/>
        </w:rPr>
        <w:t>2</w:t>
      </w:r>
      <w:r>
        <w:rPr>
          <w:rFonts w:eastAsia="宋体"/>
        </w:rPr>
        <w:t>，</w:t>
      </w:r>
      <w:r>
        <w:rPr>
          <w:rFonts w:hint="eastAsia" w:eastAsia="宋体"/>
        </w:rPr>
        <w:t>其中矿区面积5.08</w:t>
      </w:r>
      <w:r>
        <w:rPr>
          <w:rFonts w:eastAsia="宋体"/>
        </w:rPr>
        <w:t>hm</w:t>
      </w:r>
      <w:r>
        <w:rPr>
          <w:rFonts w:eastAsia="宋体"/>
          <w:vertAlign w:val="superscript"/>
        </w:rPr>
        <w:t>2</w:t>
      </w:r>
      <w:r>
        <w:rPr>
          <w:rFonts w:eastAsia="宋体"/>
        </w:rPr>
        <w:t>，</w:t>
      </w:r>
      <w:r>
        <w:rPr>
          <w:rFonts w:hint="eastAsia" w:eastAsia="宋体"/>
        </w:rPr>
        <w:t>矿区外道路占地面积0.02</w:t>
      </w:r>
      <w:r>
        <w:rPr>
          <w:rFonts w:eastAsia="宋体"/>
        </w:rPr>
        <w:t>hm</w:t>
      </w:r>
      <w:r>
        <w:rPr>
          <w:rFonts w:eastAsia="宋体"/>
          <w:vertAlign w:val="superscript"/>
        </w:rPr>
        <w:t>2</w:t>
      </w:r>
      <w:r>
        <w:rPr>
          <w:rFonts w:eastAsia="宋体"/>
        </w:rPr>
        <w:t>，</w:t>
      </w:r>
      <w:r>
        <w:rPr>
          <w:rFonts w:hint="eastAsia" w:eastAsia="宋体"/>
        </w:rPr>
        <w:t>矿区外办公生活用房0.1h</w:t>
      </w:r>
      <w:r>
        <w:rPr>
          <w:rFonts w:eastAsia="宋体"/>
        </w:rPr>
        <w:t>m</w:t>
      </w:r>
      <w:r>
        <w:rPr>
          <w:rFonts w:eastAsia="宋体"/>
          <w:vertAlign w:val="superscript"/>
        </w:rPr>
        <w:t>2</w:t>
      </w:r>
      <w:r>
        <w:rPr>
          <w:rFonts w:eastAsia="宋体"/>
        </w:rPr>
        <w:t>，项目占地范围内土地利用类型分为3类</w:t>
      </w:r>
      <w:r>
        <w:rPr>
          <w:rFonts w:hint="eastAsia" w:eastAsia="宋体"/>
        </w:rPr>
        <w:t>，分别为耕地、工矿仓储用地和交通运输占地</w:t>
      </w:r>
      <w:r>
        <w:rPr>
          <w:rFonts w:eastAsia="宋体"/>
        </w:rPr>
        <w:t>。</w:t>
      </w:r>
    </w:p>
    <w:p>
      <w:pPr>
        <w:pStyle w:val="361"/>
        <w:spacing w:line="440" w:lineRule="exact"/>
        <w:ind w:firstLineChars="200"/>
        <w:jc w:val="both"/>
        <w:rPr>
          <w:rFonts w:eastAsia="宋体"/>
        </w:rPr>
      </w:pPr>
      <w:r>
        <w:rPr>
          <w:rFonts w:eastAsia="宋体"/>
        </w:rPr>
        <w:t>评价范围内土地利用现状统计情况见表4.4-2，项目占地范围内土地利用现状统计情况见表4.4-3</w:t>
      </w:r>
      <w:r>
        <w:rPr>
          <w:rFonts w:hint="eastAsia" w:eastAsia="宋体"/>
        </w:rPr>
        <w:t>。</w:t>
      </w:r>
    </w:p>
    <w:p>
      <w:pPr>
        <w:widowControl w:val="0"/>
        <w:spacing w:before="120" w:beforeLines="50"/>
        <w:jc w:val="center"/>
        <w:rPr>
          <w:rFonts w:ascii="黑体" w:hAnsi="黑体" w:eastAsia="黑体" w:cs="黑体"/>
          <w:bCs/>
          <w:kern w:val="2"/>
        </w:rPr>
      </w:pPr>
      <w:r>
        <w:rPr>
          <w:rFonts w:hint="eastAsia" w:ascii="黑体" w:hAnsi="黑体" w:eastAsia="黑体" w:cs="黑体"/>
          <w:bCs/>
          <w:kern w:val="2"/>
          <w:sz w:val="21"/>
        </w:rPr>
        <w:t>表</w:t>
      </w:r>
      <w:r>
        <w:rPr>
          <w:rFonts w:eastAsia="黑体"/>
          <w:bCs/>
          <w:kern w:val="2"/>
          <w:sz w:val="21"/>
        </w:rPr>
        <w:t xml:space="preserve">4.4-2 </w:t>
      </w:r>
      <w:r>
        <w:rPr>
          <w:rFonts w:hint="eastAsia" w:ascii="黑体" w:hAnsi="黑体" w:eastAsia="黑体" w:cs="黑体"/>
          <w:bCs/>
          <w:kern w:val="2"/>
          <w:sz w:val="21"/>
        </w:rPr>
        <w:t xml:space="preserve">  评价区土地利用现状</w:t>
      </w:r>
    </w:p>
    <w:tbl>
      <w:tblPr>
        <w:tblStyle w:val="8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6"/>
        <w:gridCol w:w="5704"/>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Align w:val="center"/>
          </w:tcPr>
          <w:p>
            <w:pPr>
              <w:widowControl w:val="0"/>
              <w:adjustRightInd w:val="0"/>
              <w:snapToGrid w:val="0"/>
              <w:spacing w:line="360" w:lineRule="exact"/>
              <w:jc w:val="center"/>
              <w:rPr>
                <w:kern w:val="2"/>
                <w:sz w:val="21"/>
                <w:szCs w:val="20"/>
              </w:rPr>
            </w:pPr>
            <w:r>
              <w:rPr>
                <w:kern w:val="2"/>
                <w:sz w:val="21"/>
                <w:szCs w:val="20"/>
              </w:rPr>
              <w:t>类型</w:t>
            </w:r>
          </w:p>
        </w:tc>
        <w:tc>
          <w:tcPr>
            <w:tcW w:w="2865" w:type="pct"/>
            <w:vAlign w:val="center"/>
          </w:tcPr>
          <w:p>
            <w:pPr>
              <w:widowControl w:val="0"/>
              <w:adjustRightInd w:val="0"/>
              <w:snapToGrid w:val="0"/>
              <w:spacing w:line="360" w:lineRule="exact"/>
              <w:jc w:val="center"/>
              <w:rPr>
                <w:kern w:val="2"/>
                <w:sz w:val="21"/>
                <w:szCs w:val="20"/>
              </w:rPr>
            </w:pPr>
            <w:r>
              <w:rPr>
                <w:kern w:val="2"/>
                <w:sz w:val="21"/>
                <w:szCs w:val="20"/>
              </w:rPr>
              <w:t>占地</w:t>
            </w:r>
            <w:r>
              <w:rPr>
                <w:rFonts w:hint="eastAsia"/>
                <w:kern w:val="2"/>
                <w:sz w:val="21"/>
                <w:szCs w:val="20"/>
              </w:rPr>
              <w:t>面积</w:t>
            </w:r>
            <w:r>
              <w:rPr>
                <w:kern w:val="2"/>
                <w:sz w:val="21"/>
                <w:szCs w:val="20"/>
              </w:rPr>
              <w:t>(</w:t>
            </w:r>
            <w:r>
              <w:rPr>
                <w:sz w:val="21"/>
                <w:szCs w:val="21"/>
              </w:rPr>
              <w:t>hm</w:t>
            </w:r>
            <w:r>
              <w:rPr>
                <w:sz w:val="21"/>
                <w:szCs w:val="21"/>
                <w:vertAlign w:val="superscript"/>
              </w:rPr>
              <w:t>2</w:t>
            </w:r>
            <w:r>
              <w:rPr>
                <w:kern w:val="2"/>
                <w:sz w:val="21"/>
                <w:szCs w:val="20"/>
              </w:rPr>
              <w:t>)</w:t>
            </w:r>
          </w:p>
        </w:tc>
        <w:tc>
          <w:tcPr>
            <w:tcW w:w="1126" w:type="pct"/>
            <w:vAlign w:val="center"/>
          </w:tcPr>
          <w:p>
            <w:pPr>
              <w:widowControl w:val="0"/>
              <w:adjustRightInd w:val="0"/>
              <w:snapToGrid w:val="0"/>
              <w:spacing w:line="360" w:lineRule="exact"/>
              <w:jc w:val="center"/>
              <w:rPr>
                <w:kern w:val="2"/>
                <w:sz w:val="21"/>
                <w:szCs w:val="20"/>
              </w:rPr>
            </w:pPr>
            <w:r>
              <w:rPr>
                <w:kern w:val="2"/>
                <w:sz w:val="21"/>
                <w:szCs w:val="20"/>
              </w:rPr>
              <w:t>占评价范围(%)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Align w:val="center"/>
          </w:tcPr>
          <w:p>
            <w:pPr>
              <w:widowControl w:val="0"/>
              <w:adjustRightInd w:val="0"/>
              <w:snapToGrid w:val="0"/>
              <w:spacing w:line="360" w:lineRule="exact"/>
              <w:jc w:val="center"/>
              <w:rPr>
                <w:kern w:val="2"/>
                <w:sz w:val="21"/>
                <w:szCs w:val="20"/>
              </w:rPr>
            </w:pPr>
            <w:r>
              <w:rPr>
                <w:rFonts w:hint="eastAsia"/>
                <w:kern w:val="2"/>
                <w:sz w:val="21"/>
                <w:szCs w:val="20"/>
              </w:rPr>
              <w:t>耕地</w:t>
            </w:r>
          </w:p>
        </w:tc>
        <w:tc>
          <w:tcPr>
            <w:tcW w:w="2865" w:type="pct"/>
            <w:vAlign w:val="center"/>
          </w:tcPr>
          <w:p>
            <w:pPr>
              <w:widowControl w:val="0"/>
              <w:adjustRightInd w:val="0"/>
              <w:snapToGrid w:val="0"/>
              <w:spacing w:line="360" w:lineRule="exact"/>
              <w:jc w:val="center"/>
              <w:rPr>
                <w:kern w:val="2"/>
                <w:sz w:val="21"/>
                <w:szCs w:val="20"/>
              </w:rPr>
            </w:pPr>
            <w:r>
              <w:rPr>
                <w:rFonts w:hint="eastAsia"/>
                <w:kern w:val="2"/>
                <w:sz w:val="21"/>
                <w:szCs w:val="20"/>
              </w:rPr>
              <w:t>24.82</w:t>
            </w:r>
          </w:p>
        </w:tc>
        <w:tc>
          <w:tcPr>
            <w:tcW w:w="1126" w:type="pct"/>
            <w:vAlign w:val="center"/>
          </w:tcPr>
          <w:p>
            <w:pPr>
              <w:widowControl w:val="0"/>
              <w:adjustRightInd w:val="0"/>
              <w:snapToGrid w:val="0"/>
              <w:spacing w:line="360" w:lineRule="exact"/>
              <w:jc w:val="center"/>
              <w:rPr>
                <w:kern w:val="2"/>
                <w:sz w:val="21"/>
                <w:szCs w:val="20"/>
              </w:rPr>
            </w:pPr>
            <w:r>
              <w:rPr>
                <w:rFonts w:hint="eastAsia"/>
                <w:kern w:val="2"/>
                <w:sz w:val="21"/>
                <w:szCs w:val="20"/>
              </w:rPr>
              <w:t>68.54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Align w:val="center"/>
          </w:tcPr>
          <w:p>
            <w:pPr>
              <w:widowControl w:val="0"/>
              <w:adjustRightInd w:val="0"/>
              <w:snapToGrid w:val="0"/>
              <w:spacing w:line="360" w:lineRule="exact"/>
              <w:jc w:val="center"/>
              <w:rPr>
                <w:kern w:val="2"/>
                <w:sz w:val="21"/>
                <w:szCs w:val="20"/>
              </w:rPr>
            </w:pPr>
            <w:r>
              <w:rPr>
                <w:rFonts w:hint="eastAsia"/>
                <w:kern w:val="2"/>
                <w:sz w:val="21"/>
                <w:szCs w:val="20"/>
              </w:rPr>
              <w:t>内陆滩涂</w:t>
            </w:r>
          </w:p>
        </w:tc>
        <w:tc>
          <w:tcPr>
            <w:tcW w:w="2865" w:type="pct"/>
            <w:vAlign w:val="center"/>
          </w:tcPr>
          <w:p>
            <w:pPr>
              <w:widowControl w:val="0"/>
              <w:adjustRightInd w:val="0"/>
              <w:snapToGrid w:val="0"/>
              <w:spacing w:line="360" w:lineRule="exact"/>
              <w:jc w:val="center"/>
              <w:rPr>
                <w:kern w:val="2"/>
                <w:sz w:val="21"/>
                <w:szCs w:val="20"/>
              </w:rPr>
            </w:pPr>
            <w:r>
              <w:rPr>
                <w:rFonts w:hint="eastAsia"/>
                <w:kern w:val="2"/>
                <w:sz w:val="21"/>
                <w:szCs w:val="20"/>
              </w:rPr>
              <w:t>1.52</w:t>
            </w:r>
          </w:p>
        </w:tc>
        <w:tc>
          <w:tcPr>
            <w:tcW w:w="1126" w:type="pct"/>
            <w:vAlign w:val="center"/>
          </w:tcPr>
          <w:p>
            <w:pPr>
              <w:widowControl w:val="0"/>
              <w:adjustRightInd w:val="0"/>
              <w:snapToGrid w:val="0"/>
              <w:spacing w:line="360" w:lineRule="exact"/>
              <w:jc w:val="center"/>
              <w:rPr>
                <w:kern w:val="2"/>
                <w:sz w:val="21"/>
                <w:szCs w:val="20"/>
              </w:rPr>
            </w:pPr>
            <w:r>
              <w:rPr>
                <w:rFonts w:hint="eastAsia"/>
                <w:kern w:val="2"/>
                <w:sz w:val="21"/>
                <w:szCs w:val="20"/>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Align w:val="center"/>
          </w:tcPr>
          <w:p>
            <w:pPr>
              <w:widowControl w:val="0"/>
              <w:adjustRightInd w:val="0"/>
              <w:snapToGrid w:val="0"/>
              <w:spacing w:line="360" w:lineRule="exact"/>
              <w:jc w:val="center"/>
              <w:rPr>
                <w:kern w:val="2"/>
                <w:sz w:val="21"/>
                <w:szCs w:val="20"/>
              </w:rPr>
            </w:pPr>
            <w:r>
              <w:rPr>
                <w:rFonts w:hint="eastAsia"/>
                <w:kern w:val="2"/>
                <w:sz w:val="21"/>
                <w:szCs w:val="20"/>
              </w:rPr>
              <w:t>工矿仓储用地</w:t>
            </w:r>
          </w:p>
        </w:tc>
        <w:tc>
          <w:tcPr>
            <w:tcW w:w="2865" w:type="pct"/>
            <w:vAlign w:val="center"/>
          </w:tcPr>
          <w:p>
            <w:pPr>
              <w:widowControl w:val="0"/>
              <w:adjustRightInd w:val="0"/>
              <w:snapToGrid w:val="0"/>
              <w:spacing w:line="360" w:lineRule="exact"/>
              <w:jc w:val="center"/>
              <w:rPr>
                <w:kern w:val="2"/>
                <w:sz w:val="21"/>
                <w:szCs w:val="20"/>
              </w:rPr>
            </w:pPr>
            <w:r>
              <w:rPr>
                <w:rFonts w:hint="eastAsia"/>
                <w:kern w:val="2"/>
                <w:sz w:val="21"/>
                <w:szCs w:val="20"/>
              </w:rPr>
              <w:t>9.25</w:t>
            </w:r>
          </w:p>
        </w:tc>
        <w:tc>
          <w:tcPr>
            <w:tcW w:w="1126" w:type="pct"/>
            <w:vAlign w:val="center"/>
          </w:tcPr>
          <w:p>
            <w:pPr>
              <w:widowControl w:val="0"/>
              <w:adjustRightInd w:val="0"/>
              <w:snapToGrid w:val="0"/>
              <w:spacing w:line="360" w:lineRule="exact"/>
              <w:jc w:val="center"/>
              <w:rPr>
                <w:kern w:val="2"/>
                <w:sz w:val="21"/>
                <w:szCs w:val="20"/>
              </w:rPr>
            </w:pPr>
            <w:r>
              <w:rPr>
                <w:rFonts w:hint="eastAsia"/>
                <w:kern w:val="2"/>
                <w:sz w:val="21"/>
                <w:szCs w:val="20"/>
              </w:rPr>
              <w:t>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Align w:val="center"/>
          </w:tcPr>
          <w:p>
            <w:pPr>
              <w:widowControl w:val="0"/>
              <w:adjustRightInd w:val="0"/>
              <w:snapToGrid w:val="0"/>
              <w:spacing w:line="360" w:lineRule="exact"/>
              <w:jc w:val="center"/>
              <w:rPr>
                <w:kern w:val="2"/>
                <w:sz w:val="21"/>
                <w:szCs w:val="20"/>
              </w:rPr>
            </w:pPr>
            <w:r>
              <w:rPr>
                <w:rFonts w:hint="eastAsia"/>
                <w:kern w:val="2"/>
                <w:sz w:val="21"/>
                <w:szCs w:val="20"/>
              </w:rPr>
              <w:t>交通运输占地</w:t>
            </w:r>
          </w:p>
        </w:tc>
        <w:tc>
          <w:tcPr>
            <w:tcW w:w="2865" w:type="pct"/>
            <w:vAlign w:val="center"/>
          </w:tcPr>
          <w:p>
            <w:pPr>
              <w:widowControl w:val="0"/>
              <w:adjustRightInd w:val="0"/>
              <w:snapToGrid w:val="0"/>
              <w:spacing w:line="360" w:lineRule="exact"/>
              <w:jc w:val="center"/>
              <w:rPr>
                <w:kern w:val="2"/>
                <w:sz w:val="21"/>
                <w:szCs w:val="20"/>
              </w:rPr>
            </w:pPr>
            <w:r>
              <w:rPr>
                <w:rFonts w:hint="eastAsia"/>
                <w:kern w:val="2"/>
                <w:sz w:val="21"/>
                <w:szCs w:val="20"/>
              </w:rPr>
              <w:t>0.62</w:t>
            </w:r>
          </w:p>
        </w:tc>
        <w:tc>
          <w:tcPr>
            <w:tcW w:w="1126" w:type="pct"/>
            <w:vAlign w:val="center"/>
          </w:tcPr>
          <w:p>
            <w:pPr>
              <w:widowControl w:val="0"/>
              <w:adjustRightInd w:val="0"/>
              <w:snapToGrid w:val="0"/>
              <w:spacing w:line="360" w:lineRule="exact"/>
              <w:jc w:val="center"/>
              <w:rPr>
                <w:kern w:val="2"/>
                <w:sz w:val="21"/>
                <w:szCs w:val="20"/>
              </w:rPr>
            </w:pPr>
            <w:r>
              <w:rPr>
                <w:rFonts w:hint="eastAsia"/>
                <w:kern w:val="2"/>
                <w:sz w:val="21"/>
                <w:szCs w:val="20"/>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Align w:val="center"/>
          </w:tcPr>
          <w:p>
            <w:pPr>
              <w:widowControl w:val="0"/>
              <w:adjustRightInd w:val="0"/>
              <w:snapToGrid w:val="0"/>
              <w:spacing w:line="360" w:lineRule="exact"/>
              <w:jc w:val="center"/>
              <w:rPr>
                <w:kern w:val="2"/>
                <w:sz w:val="21"/>
                <w:szCs w:val="20"/>
              </w:rPr>
            </w:pPr>
            <w:r>
              <w:rPr>
                <w:rFonts w:hint="eastAsia"/>
                <w:kern w:val="2"/>
                <w:sz w:val="21"/>
                <w:szCs w:val="20"/>
              </w:rPr>
              <w:t>总计</w:t>
            </w:r>
          </w:p>
        </w:tc>
        <w:tc>
          <w:tcPr>
            <w:tcW w:w="2865" w:type="pct"/>
            <w:vAlign w:val="center"/>
          </w:tcPr>
          <w:p>
            <w:pPr>
              <w:widowControl w:val="0"/>
              <w:adjustRightInd w:val="0"/>
              <w:snapToGrid w:val="0"/>
              <w:spacing w:line="360" w:lineRule="exact"/>
              <w:jc w:val="center"/>
              <w:rPr>
                <w:kern w:val="2"/>
                <w:sz w:val="21"/>
                <w:szCs w:val="20"/>
              </w:rPr>
            </w:pPr>
            <w:r>
              <w:rPr>
                <w:rFonts w:hint="eastAsia"/>
                <w:kern w:val="2"/>
                <w:sz w:val="21"/>
                <w:szCs w:val="20"/>
              </w:rPr>
              <w:t>36.21</w:t>
            </w:r>
          </w:p>
        </w:tc>
        <w:tc>
          <w:tcPr>
            <w:tcW w:w="1126" w:type="pct"/>
            <w:vAlign w:val="center"/>
          </w:tcPr>
          <w:p>
            <w:pPr>
              <w:widowControl w:val="0"/>
              <w:adjustRightInd w:val="0"/>
              <w:snapToGrid w:val="0"/>
              <w:spacing w:line="360" w:lineRule="exact"/>
              <w:jc w:val="center"/>
              <w:rPr>
                <w:kern w:val="2"/>
                <w:sz w:val="21"/>
                <w:szCs w:val="20"/>
              </w:rPr>
            </w:pPr>
            <w:r>
              <w:rPr>
                <w:rFonts w:hint="eastAsia"/>
                <w:kern w:val="2"/>
                <w:sz w:val="21"/>
                <w:szCs w:val="20"/>
              </w:rPr>
              <w:t>100.00%</w:t>
            </w:r>
          </w:p>
        </w:tc>
      </w:tr>
    </w:tbl>
    <w:p>
      <w:pPr>
        <w:widowControl w:val="0"/>
        <w:spacing w:before="120" w:beforeLines="50"/>
        <w:jc w:val="center"/>
        <w:rPr>
          <w:rFonts w:ascii="黑体" w:hAnsi="黑体" w:eastAsia="黑体" w:cs="黑体"/>
          <w:bCs/>
          <w:kern w:val="2"/>
        </w:rPr>
      </w:pPr>
      <w:r>
        <w:rPr>
          <w:rFonts w:hint="eastAsia" w:ascii="黑体" w:hAnsi="黑体" w:eastAsia="黑体" w:cs="黑体"/>
          <w:bCs/>
          <w:kern w:val="2"/>
          <w:sz w:val="21"/>
        </w:rPr>
        <w:t>表</w:t>
      </w:r>
      <w:r>
        <w:rPr>
          <w:rFonts w:eastAsia="黑体"/>
          <w:bCs/>
          <w:kern w:val="2"/>
          <w:sz w:val="21"/>
        </w:rPr>
        <w:t>4.4-</w:t>
      </w:r>
      <w:r>
        <w:rPr>
          <w:rFonts w:hint="eastAsia" w:eastAsia="黑体"/>
          <w:bCs/>
          <w:kern w:val="2"/>
          <w:sz w:val="21"/>
        </w:rPr>
        <w:t>3</w:t>
      </w:r>
      <w:r>
        <w:rPr>
          <w:rFonts w:eastAsia="黑体"/>
          <w:bCs/>
          <w:kern w:val="2"/>
          <w:sz w:val="21"/>
        </w:rPr>
        <w:t xml:space="preserve"> </w:t>
      </w:r>
      <w:r>
        <w:rPr>
          <w:rFonts w:hint="eastAsia" w:ascii="黑体" w:hAnsi="黑体" w:eastAsia="黑体" w:cs="黑体"/>
          <w:bCs/>
          <w:kern w:val="2"/>
          <w:sz w:val="21"/>
        </w:rPr>
        <w:t xml:space="preserve">  项目占地范围内土地利用现状</w:t>
      </w:r>
    </w:p>
    <w:tbl>
      <w:tblPr>
        <w:tblStyle w:val="8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935"/>
        <w:gridCol w:w="3794"/>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5" w:type="pct"/>
            <w:vAlign w:val="center"/>
          </w:tcPr>
          <w:p>
            <w:pPr>
              <w:widowControl w:val="0"/>
              <w:adjustRightInd w:val="0"/>
              <w:snapToGrid w:val="0"/>
              <w:spacing w:line="360" w:lineRule="exact"/>
              <w:jc w:val="center"/>
              <w:rPr>
                <w:kern w:val="2"/>
                <w:sz w:val="21"/>
                <w:szCs w:val="20"/>
              </w:rPr>
            </w:pPr>
            <w:r>
              <w:rPr>
                <w:kern w:val="2"/>
                <w:sz w:val="21"/>
                <w:szCs w:val="20"/>
              </w:rPr>
              <w:t>类型</w:t>
            </w:r>
          </w:p>
        </w:tc>
        <w:tc>
          <w:tcPr>
            <w:tcW w:w="972" w:type="pct"/>
            <w:vAlign w:val="center"/>
          </w:tcPr>
          <w:p>
            <w:pPr>
              <w:widowControl w:val="0"/>
              <w:adjustRightInd w:val="0"/>
              <w:snapToGrid w:val="0"/>
              <w:spacing w:line="360" w:lineRule="exact"/>
              <w:jc w:val="center"/>
              <w:rPr>
                <w:kern w:val="2"/>
                <w:sz w:val="21"/>
                <w:szCs w:val="20"/>
              </w:rPr>
            </w:pPr>
            <w:r>
              <w:rPr>
                <w:kern w:val="2"/>
                <w:sz w:val="21"/>
                <w:szCs w:val="20"/>
              </w:rPr>
              <w:t>占地</w:t>
            </w:r>
            <w:r>
              <w:rPr>
                <w:rFonts w:hint="eastAsia"/>
                <w:kern w:val="2"/>
                <w:sz w:val="21"/>
                <w:szCs w:val="20"/>
              </w:rPr>
              <w:t>面积</w:t>
            </w:r>
            <w:r>
              <w:rPr>
                <w:kern w:val="2"/>
                <w:sz w:val="21"/>
                <w:szCs w:val="20"/>
              </w:rPr>
              <w:t>(</w:t>
            </w:r>
            <w:r>
              <w:rPr>
                <w:sz w:val="21"/>
                <w:szCs w:val="21"/>
              </w:rPr>
              <w:t>hm</w:t>
            </w:r>
            <w:r>
              <w:rPr>
                <w:sz w:val="21"/>
                <w:szCs w:val="21"/>
                <w:vertAlign w:val="superscript"/>
              </w:rPr>
              <w:t>2</w:t>
            </w:r>
            <w:r>
              <w:rPr>
                <w:kern w:val="2"/>
                <w:sz w:val="21"/>
                <w:szCs w:val="20"/>
              </w:rPr>
              <w:t>)</w:t>
            </w:r>
          </w:p>
        </w:tc>
        <w:tc>
          <w:tcPr>
            <w:tcW w:w="1906" w:type="pct"/>
            <w:vAlign w:val="center"/>
          </w:tcPr>
          <w:p>
            <w:pPr>
              <w:widowControl w:val="0"/>
              <w:adjustRightInd w:val="0"/>
              <w:snapToGrid w:val="0"/>
              <w:spacing w:line="360" w:lineRule="exact"/>
              <w:jc w:val="center"/>
              <w:rPr>
                <w:kern w:val="2"/>
                <w:sz w:val="21"/>
                <w:szCs w:val="20"/>
              </w:rPr>
            </w:pPr>
            <w:r>
              <w:rPr>
                <w:rFonts w:hint="eastAsia"/>
                <w:kern w:val="2"/>
                <w:sz w:val="21"/>
                <w:szCs w:val="20"/>
              </w:rPr>
              <w:t>分布</w:t>
            </w:r>
          </w:p>
        </w:tc>
        <w:tc>
          <w:tcPr>
            <w:tcW w:w="1126" w:type="pct"/>
            <w:vAlign w:val="center"/>
          </w:tcPr>
          <w:p>
            <w:pPr>
              <w:widowControl w:val="0"/>
              <w:adjustRightInd w:val="0"/>
              <w:snapToGrid w:val="0"/>
              <w:spacing w:line="360" w:lineRule="exact"/>
              <w:jc w:val="center"/>
              <w:rPr>
                <w:kern w:val="2"/>
                <w:sz w:val="21"/>
                <w:szCs w:val="20"/>
              </w:rPr>
            </w:pPr>
            <w:r>
              <w:rPr>
                <w:kern w:val="2"/>
                <w:sz w:val="21"/>
                <w:szCs w:val="20"/>
              </w:rPr>
              <w:t>占</w:t>
            </w:r>
            <w:r>
              <w:rPr>
                <w:rFonts w:hint="eastAsia"/>
                <w:kern w:val="2"/>
                <w:sz w:val="21"/>
                <w:szCs w:val="20"/>
              </w:rPr>
              <w:t>项目占地范围</w:t>
            </w:r>
            <w:r>
              <w:rPr>
                <w:kern w:val="2"/>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5" w:type="pct"/>
            <w:vAlign w:val="center"/>
          </w:tcPr>
          <w:p>
            <w:pPr>
              <w:widowControl w:val="0"/>
              <w:adjustRightInd w:val="0"/>
              <w:snapToGrid w:val="0"/>
              <w:spacing w:line="360" w:lineRule="exact"/>
              <w:jc w:val="center"/>
              <w:rPr>
                <w:kern w:val="2"/>
                <w:sz w:val="21"/>
                <w:szCs w:val="20"/>
              </w:rPr>
            </w:pPr>
            <w:r>
              <w:rPr>
                <w:rFonts w:hint="eastAsia"/>
                <w:kern w:val="2"/>
                <w:sz w:val="21"/>
                <w:szCs w:val="20"/>
              </w:rPr>
              <w:t>耕地</w:t>
            </w:r>
          </w:p>
        </w:tc>
        <w:tc>
          <w:tcPr>
            <w:tcW w:w="972" w:type="pct"/>
            <w:vAlign w:val="center"/>
          </w:tcPr>
          <w:p>
            <w:pPr>
              <w:widowControl w:val="0"/>
              <w:adjustRightInd w:val="0"/>
              <w:snapToGrid w:val="0"/>
              <w:spacing w:line="360" w:lineRule="exact"/>
              <w:jc w:val="center"/>
              <w:rPr>
                <w:kern w:val="2"/>
                <w:sz w:val="21"/>
                <w:szCs w:val="20"/>
              </w:rPr>
            </w:pPr>
            <w:r>
              <w:rPr>
                <w:rFonts w:hint="eastAsia"/>
                <w:kern w:val="2"/>
                <w:sz w:val="21"/>
                <w:szCs w:val="20"/>
              </w:rPr>
              <w:t>2.25</w:t>
            </w:r>
          </w:p>
        </w:tc>
        <w:tc>
          <w:tcPr>
            <w:tcW w:w="1906" w:type="pct"/>
            <w:vAlign w:val="center"/>
          </w:tcPr>
          <w:p>
            <w:pPr>
              <w:widowControl w:val="0"/>
              <w:adjustRightInd w:val="0"/>
              <w:snapToGrid w:val="0"/>
              <w:spacing w:line="360" w:lineRule="exact"/>
              <w:jc w:val="center"/>
              <w:rPr>
                <w:kern w:val="2"/>
                <w:sz w:val="21"/>
                <w:szCs w:val="20"/>
              </w:rPr>
            </w:pPr>
            <w:r>
              <w:rPr>
                <w:rFonts w:hint="eastAsia"/>
                <w:kern w:val="2"/>
                <w:sz w:val="21"/>
                <w:szCs w:val="20"/>
              </w:rPr>
              <w:t>其中1.19hm</w:t>
            </w:r>
            <w:r>
              <w:rPr>
                <w:rFonts w:hint="eastAsia"/>
                <w:kern w:val="2"/>
                <w:sz w:val="21"/>
                <w:szCs w:val="20"/>
                <w:vertAlign w:val="superscript"/>
              </w:rPr>
              <w:t>2</w:t>
            </w:r>
            <w:r>
              <w:rPr>
                <w:rFonts w:hint="eastAsia"/>
                <w:kern w:val="2"/>
                <w:sz w:val="21"/>
                <w:szCs w:val="20"/>
              </w:rPr>
              <w:t>为本项目设计开采区</w:t>
            </w:r>
          </w:p>
        </w:tc>
        <w:tc>
          <w:tcPr>
            <w:tcW w:w="1126" w:type="pct"/>
            <w:vAlign w:val="center"/>
          </w:tcPr>
          <w:p>
            <w:pPr>
              <w:widowControl w:val="0"/>
              <w:adjustRightInd w:val="0"/>
              <w:snapToGrid w:val="0"/>
              <w:spacing w:line="360" w:lineRule="exact"/>
              <w:jc w:val="center"/>
              <w:rPr>
                <w:kern w:val="2"/>
                <w:sz w:val="21"/>
                <w:szCs w:val="20"/>
              </w:rPr>
            </w:pPr>
            <w:r>
              <w:rPr>
                <w:rFonts w:hint="eastAsia"/>
                <w:kern w:val="2"/>
                <w:sz w:val="21"/>
                <w:szCs w:val="20"/>
              </w:rPr>
              <w:t>43.27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5" w:type="pct"/>
            <w:vAlign w:val="center"/>
          </w:tcPr>
          <w:p>
            <w:pPr>
              <w:widowControl w:val="0"/>
              <w:adjustRightInd w:val="0"/>
              <w:snapToGrid w:val="0"/>
              <w:spacing w:line="360" w:lineRule="exact"/>
              <w:jc w:val="center"/>
              <w:rPr>
                <w:kern w:val="2"/>
                <w:sz w:val="21"/>
                <w:szCs w:val="20"/>
              </w:rPr>
            </w:pPr>
            <w:r>
              <w:rPr>
                <w:rFonts w:hint="eastAsia"/>
                <w:kern w:val="2"/>
                <w:sz w:val="21"/>
                <w:szCs w:val="20"/>
              </w:rPr>
              <w:t>工矿仓储用地</w:t>
            </w:r>
          </w:p>
        </w:tc>
        <w:tc>
          <w:tcPr>
            <w:tcW w:w="972" w:type="pct"/>
            <w:vAlign w:val="center"/>
          </w:tcPr>
          <w:p>
            <w:pPr>
              <w:widowControl w:val="0"/>
              <w:adjustRightInd w:val="0"/>
              <w:snapToGrid w:val="0"/>
              <w:spacing w:line="360" w:lineRule="exact"/>
              <w:jc w:val="center"/>
              <w:rPr>
                <w:kern w:val="2"/>
                <w:sz w:val="21"/>
                <w:szCs w:val="20"/>
              </w:rPr>
            </w:pPr>
            <w:r>
              <w:rPr>
                <w:rFonts w:hint="eastAsia"/>
                <w:kern w:val="2"/>
                <w:sz w:val="21"/>
                <w:szCs w:val="20"/>
              </w:rPr>
              <w:t>2.86</w:t>
            </w:r>
          </w:p>
        </w:tc>
        <w:tc>
          <w:tcPr>
            <w:tcW w:w="1906" w:type="pct"/>
            <w:vAlign w:val="center"/>
          </w:tcPr>
          <w:p>
            <w:pPr>
              <w:widowControl w:val="0"/>
              <w:adjustRightInd w:val="0"/>
              <w:snapToGrid w:val="0"/>
              <w:spacing w:line="360" w:lineRule="exact"/>
              <w:jc w:val="center"/>
              <w:rPr>
                <w:kern w:val="2"/>
                <w:sz w:val="21"/>
                <w:szCs w:val="20"/>
              </w:rPr>
            </w:pPr>
            <w:r>
              <w:rPr>
                <w:rFonts w:hint="eastAsia"/>
                <w:kern w:val="2"/>
                <w:sz w:val="21"/>
                <w:szCs w:val="20"/>
              </w:rPr>
              <w:t>办公生活用房、工业广场、排土场和运输道路和采空区等区域</w:t>
            </w:r>
          </w:p>
        </w:tc>
        <w:tc>
          <w:tcPr>
            <w:tcW w:w="1126" w:type="pct"/>
            <w:vAlign w:val="center"/>
          </w:tcPr>
          <w:p>
            <w:pPr>
              <w:widowControl w:val="0"/>
              <w:adjustRightInd w:val="0"/>
              <w:snapToGrid w:val="0"/>
              <w:spacing w:line="360" w:lineRule="exact"/>
              <w:jc w:val="center"/>
              <w:rPr>
                <w:kern w:val="2"/>
                <w:sz w:val="21"/>
                <w:szCs w:val="20"/>
              </w:rPr>
            </w:pPr>
            <w:r>
              <w:rPr>
                <w:rFonts w:hint="eastAsia"/>
                <w:kern w:val="2"/>
                <w:sz w:val="21"/>
                <w:szCs w:val="20"/>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5" w:type="pct"/>
            <w:vAlign w:val="center"/>
          </w:tcPr>
          <w:p>
            <w:pPr>
              <w:widowControl w:val="0"/>
              <w:adjustRightInd w:val="0"/>
              <w:snapToGrid w:val="0"/>
              <w:spacing w:line="360" w:lineRule="exact"/>
              <w:jc w:val="center"/>
              <w:rPr>
                <w:kern w:val="2"/>
                <w:sz w:val="21"/>
                <w:szCs w:val="20"/>
              </w:rPr>
            </w:pPr>
            <w:r>
              <w:rPr>
                <w:rFonts w:hint="eastAsia"/>
                <w:kern w:val="2"/>
                <w:sz w:val="21"/>
                <w:szCs w:val="20"/>
              </w:rPr>
              <w:t>交通运输占地</w:t>
            </w:r>
          </w:p>
        </w:tc>
        <w:tc>
          <w:tcPr>
            <w:tcW w:w="972" w:type="pct"/>
            <w:vAlign w:val="center"/>
          </w:tcPr>
          <w:p>
            <w:pPr>
              <w:widowControl w:val="0"/>
              <w:adjustRightInd w:val="0"/>
              <w:snapToGrid w:val="0"/>
              <w:spacing w:line="360" w:lineRule="exact"/>
              <w:jc w:val="center"/>
              <w:rPr>
                <w:kern w:val="2"/>
                <w:sz w:val="21"/>
                <w:szCs w:val="20"/>
              </w:rPr>
            </w:pPr>
            <w:r>
              <w:rPr>
                <w:rFonts w:hint="eastAsia"/>
                <w:kern w:val="2"/>
                <w:sz w:val="21"/>
                <w:szCs w:val="20"/>
              </w:rPr>
              <w:t>0.09</w:t>
            </w:r>
          </w:p>
        </w:tc>
        <w:tc>
          <w:tcPr>
            <w:tcW w:w="1906" w:type="pct"/>
            <w:vAlign w:val="center"/>
          </w:tcPr>
          <w:p>
            <w:pPr>
              <w:widowControl w:val="0"/>
              <w:adjustRightInd w:val="0"/>
              <w:snapToGrid w:val="0"/>
              <w:spacing w:line="360" w:lineRule="exact"/>
              <w:jc w:val="center"/>
              <w:rPr>
                <w:kern w:val="2"/>
                <w:sz w:val="21"/>
                <w:szCs w:val="20"/>
              </w:rPr>
            </w:pPr>
            <w:r>
              <w:rPr>
                <w:rFonts w:hint="eastAsia"/>
                <w:kern w:val="2"/>
                <w:sz w:val="21"/>
                <w:szCs w:val="20"/>
              </w:rPr>
              <w:t>矿区内现有乡村道路</w:t>
            </w:r>
          </w:p>
        </w:tc>
        <w:tc>
          <w:tcPr>
            <w:tcW w:w="1126" w:type="pct"/>
            <w:vAlign w:val="center"/>
          </w:tcPr>
          <w:p>
            <w:pPr>
              <w:widowControl w:val="0"/>
              <w:adjustRightInd w:val="0"/>
              <w:snapToGrid w:val="0"/>
              <w:spacing w:line="360" w:lineRule="exact"/>
              <w:jc w:val="center"/>
              <w:rPr>
                <w:kern w:val="2"/>
                <w:sz w:val="21"/>
                <w:szCs w:val="20"/>
              </w:rPr>
            </w:pPr>
            <w:r>
              <w:rPr>
                <w:rFonts w:hint="eastAsia"/>
                <w:kern w:val="2"/>
                <w:sz w:val="21"/>
                <w:szCs w:val="20"/>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5" w:type="pct"/>
            <w:vAlign w:val="center"/>
          </w:tcPr>
          <w:p>
            <w:pPr>
              <w:widowControl w:val="0"/>
              <w:adjustRightInd w:val="0"/>
              <w:snapToGrid w:val="0"/>
              <w:spacing w:line="360" w:lineRule="exact"/>
              <w:jc w:val="center"/>
              <w:rPr>
                <w:kern w:val="2"/>
                <w:sz w:val="21"/>
                <w:szCs w:val="20"/>
              </w:rPr>
            </w:pPr>
            <w:r>
              <w:rPr>
                <w:rFonts w:hint="eastAsia"/>
                <w:kern w:val="2"/>
                <w:sz w:val="21"/>
                <w:szCs w:val="20"/>
              </w:rPr>
              <w:t>总计</w:t>
            </w:r>
          </w:p>
        </w:tc>
        <w:tc>
          <w:tcPr>
            <w:tcW w:w="972" w:type="pct"/>
            <w:vAlign w:val="center"/>
          </w:tcPr>
          <w:p>
            <w:pPr>
              <w:widowControl w:val="0"/>
              <w:adjustRightInd w:val="0"/>
              <w:snapToGrid w:val="0"/>
              <w:spacing w:line="360" w:lineRule="exact"/>
              <w:jc w:val="center"/>
              <w:rPr>
                <w:kern w:val="2"/>
                <w:sz w:val="21"/>
                <w:szCs w:val="20"/>
              </w:rPr>
            </w:pPr>
            <w:r>
              <w:rPr>
                <w:rFonts w:hint="eastAsia"/>
                <w:kern w:val="2"/>
                <w:sz w:val="21"/>
                <w:szCs w:val="20"/>
              </w:rPr>
              <w:t>5.20</w:t>
            </w:r>
          </w:p>
        </w:tc>
        <w:tc>
          <w:tcPr>
            <w:tcW w:w="1906" w:type="pct"/>
            <w:vAlign w:val="center"/>
          </w:tcPr>
          <w:p>
            <w:pPr>
              <w:widowControl w:val="0"/>
              <w:adjustRightInd w:val="0"/>
              <w:snapToGrid w:val="0"/>
              <w:spacing w:line="360" w:lineRule="exact"/>
              <w:jc w:val="center"/>
              <w:rPr>
                <w:kern w:val="2"/>
                <w:sz w:val="21"/>
                <w:szCs w:val="20"/>
              </w:rPr>
            </w:pPr>
            <w:r>
              <w:rPr>
                <w:rFonts w:hint="eastAsia"/>
                <w:kern w:val="2"/>
                <w:sz w:val="21"/>
                <w:szCs w:val="20"/>
              </w:rPr>
              <w:t>--</w:t>
            </w:r>
          </w:p>
        </w:tc>
        <w:tc>
          <w:tcPr>
            <w:tcW w:w="1126" w:type="pct"/>
            <w:vAlign w:val="center"/>
          </w:tcPr>
          <w:p>
            <w:pPr>
              <w:widowControl w:val="0"/>
              <w:adjustRightInd w:val="0"/>
              <w:snapToGrid w:val="0"/>
              <w:spacing w:line="360" w:lineRule="exact"/>
              <w:jc w:val="center"/>
              <w:rPr>
                <w:kern w:val="2"/>
                <w:sz w:val="21"/>
                <w:szCs w:val="20"/>
              </w:rPr>
            </w:pPr>
            <w:r>
              <w:rPr>
                <w:rFonts w:hint="eastAsia"/>
                <w:kern w:val="2"/>
                <w:sz w:val="21"/>
                <w:szCs w:val="20"/>
              </w:rPr>
              <w:t>100</w:t>
            </w:r>
          </w:p>
        </w:tc>
      </w:tr>
    </w:tbl>
    <w:p>
      <w:pPr>
        <w:pStyle w:val="361"/>
        <w:rPr>
          <w:rFonts w:ascii="宋体" w:hAnsi="宋体" w:eastAsia="宋体"/>
        </w:rPr>
      </w:pPr>
      <w:r>
        <w:rPr>
          <w:rFonts w:hint="eastAsia" w:ascii="宋体" w:hAnsi="宋体" w:eastAsia="宋体"/>
        </w:rPr>
        <w:t>（2）土地利用现状评价</w:t>
      </w:r>
    </w:p>
    <w:p>
      <w:pPr>
        <w:pStyle w:val="361"/>
        <w:spacing w:line="440" w:lineRule="exact"/>
        <w:ind w:firstLineChars="200"/>
        <w:jc w:val="both"/>
        <w:rPr>
          <w:rFonts w:ascii="宋体" w:hAnsi="宋体" w:eastAsia="宋体"/>
        </w:rPr>
      </w:pPr>
      <w:r>
        <w:rPr>
          <w:rFonts w:eastAsia="宋体"/>
        </w:rPr>
        <w:t>评价区土地资源总面积为</w:t>
      </w:r>
      <w:r>
        <w:rPr>
          <w:rFonts w:hint="eastAsia" w:eastAsia="宋体"/>
        </w:rPr>
        <w:t>36.21</w:t>
      </w:r>
      <w:r>
        <w:rPr>
          <w:rFonts w:eastAsia="宋体"/>
        </w:rPr>
        <w:t>hm</w:t>
      </w:r>
      <w:r>
        <w:rPr>
          <w:rFonts w:eastAsia="宋体"/>
          <w:vertAlign w:val="superscript"/>
        </w:rPr>
        <w:t>2</w:t>
      </w:r>
      <w:r>
        <w:rPr>
          <w:rFonts w:hint="eastAsia" w:eastAsia="宋体"/>
        </w:rPr>
        <w:t>。</w:t>
      </w:r>
      <w:r>
        <w:rPr>
          <w:rFonts w:eastAsia="宋体"/>
        </w:rPr>
        <w:t>其中</w:t>
      </w:r>
      <w:r>
        <w:rPr>
          <w:rFonts w:hint="eastAsia" w:eastAsia="宋体"/>
        </w:rPr>
        <w:t>耕地</w:t>
      </w:r>
      <w:r>
        <w:rPr>
          <w:rFonts w:eastAsia="宋体"/>
        </w:rPr>
        <w:t>比例最高，占评价区总面积的</w:t>
      </w:r>
      <w:r>
        <w:rPr>
          <w:rFonts w:hint="eastAsia" w:eastAsia="宋体"/>
        </w:rPr>
        <w:t>68.54</w:t>
      </w:r>
      <w:r>
        <w:rPr>
          <w:rFonts w:eastAsia="宋体"/>
        </w:rPr>
        <w:t>%</w:t>
      </w:r>
      <w:r>
        <w:rPr>
          <w:rFonts w:hint="eastAsia" w:eastAsia="宋体"/>
        </w:rPr>
        <w:t>，分散</w:t>
      </w:r>
      <w:r>
        <w:rPr>
          <w:rFonts w:eastAsia="宋体"/>
        </w:rPr>
        <w:t>分布于整个评价区；</w:t>
      </w:r>
      <w:r>
        <w:rPr>
          <w:rFonts w:hint="eastAsia" w:eastAsia="宋体"/>
        </w:rPr>
        <w:t>工矿仓储用地占地面积9.25</w:t>
      </w:r>
      <w:r>
        <w:rPr>
          <w:rFonts w:eastAsia="宋体"/>
        </w:rPr>
        <w:t>hm</w:t>
      </w:r>
      <w:r>
        <w:rPr>
          <w:rFonts w:eastAsia="宋体"/>
          <w:vertAlign w:val="superscript"/>
        </w:rPr>
        <w:t>2</w:t>
      </w:r>
      <w:r>
        <w:rPr>
          <w:rFonts w:hint="eastAsia" w:eastAsia="宋体"/>
        </w:rPr>
        <w:t>，占评价区总面积的25.55%，主要分布于评价区的中部；内涂滩涂占地面积1.52</w:t>
      </w:r>
      <w:r>
        <w:rPr>
          <w:rFonts w:eastAsia="宋体"/>
        </w:rPr>
        <w:t>hm</w:t>
      </w:r>
      <w:r>
        <w:rPr>
          <w:rFonts w:eastAsia="宋体"/>
          <w:vertAlign w:val="superscript"/>
        </w:rPr>
        <w:t>2</w:t>
      </w:r>
      <w:r>
        <w:rPr>
          <w:rFonts w:hint="eastAsia" w:eastAsia="宋体"/>
        </w:rPr>
        <w:t>，占评价区总面积的4.20%，主要分布于评价区的南侧；交通运输占地面积0.62</w:t>
      </w:r>
      <w:r>
        <w:rPr>
          <w:rFonts w:eastAsia="宋体"/>
        </w:rPr>
        <w:t>hm</w:t>
      </w:r>
      <w:r>
        <w:rPr>
          <w:rFonts w:eastAsia="宋体"/>
          <w:vertAlign w:val="superscript"/>
        </w:rPr>
        <w:t>2</w:t>
      </w:r>
      <w:r>
        <w:rPr>
          <w:rFonts w:hint="eastAsia" w:eastAsia="宋体"/>
        </w:rPr>
        <w:t>，占评价区总面积的1.71%，分散分布于整个评价区。</w:t>
      </w:r>
      <w:r>
        <w:rPr>
          <w:rFonts w:hint="eastAsia" w:ascii="宋体" w:hAnsi="宋体" w:eastAsia="宋体"/>
        </w:rPr>
        <w:t>评价区土地利用现状图见图4-4-1.</w:t>
      </w:r>
    </w:p>
    <w:p>
      <w:pPr>
        <w:pStyle w:val="361"/>
        <w:spacing w:line="440" w:lineRule="exact"/>
        <w:ind w:firstLineChars="200"/>
        <w:jc w:val="both"/>
        <w:rPr>
          <w:rFonts w:ascii="宋体" w:hAnsi="宋体" w:eastAsia="宋体"/>
        </w:rPr>
      </w:pPr>
      <w:r>
        <w:rPr>
          <w:rFonts w:hint="eastAsia" w:eastAsia="宋体"/>
        </w:rPr>
        <w:t>项目占地范围内</w:t>
      </w:r>
      <w:r>
        <w:rPr>
          <w:rFonts w:eastAsia="宋体"/>
        </w:rPr>
        <w:t>土地资源总面积为5.</w:t>
      </w:r>
      <w:r>
        <w:rPr>
          <w:rFonts w:hint="eastAsia" w:eastAsia="宋体"/>
        </w:rPr>
        <w:t>20</w:t>
      </w:r>
      <w:r>
        <w:rPr>
          <w:rFonts w:eastAsia="宋体"/>
        </w:rPr>
        <w:t>hm</w:t>
      </w:r>
      <w:r>
        <w:rPr>
          <w:rFonts w:eastAsia="宋体"/>
          <w:vertAlign w:val="superscript"/>
        </w:rPr>
        <w:t>2</w:t>
      </w:r>
      <w:r>
        <w:rPr>
          <w:rFonts w:eastAsia="宋体"/>
        </w:rPr>
        <w:t>，其中耕地占地面积2.2</w:t>
      </w:r>
      <w:r>
        <w:rPr>
          <w:rFonts w:hint="eastAsia" w:eastAsia="宋体"/>
        </w:rPr>
        <w:t>5</w:t>
      </w:r>
      <w:r>
        <w:rPr>
          <w:rFonts w:eastAsia="宋体"/>
        </w:rPr>
        <w:t>hm</w:t>
      </w:r>
      <w:r>
        <w:rPr>
          <w:rFonts w:eastAsia="宋体"/>
          <w:vertAlign w:val="superscript"/>
        </w:rPr>
        <w:t>2</w:t>
      </w:r>
      <w:r>
        <w:rPr>
          <w:rFonts w:hint="eastAsia" w:eastAsia="宋体"/>
        </w:rPr>
        <w:t>，占项目占地范围的43.27%，主要分布于矿区的北部和东部；工矿仓储用地面积2.86</w:t>
      </w:r>
      <w:r>
        <w:rPr>
          <w:rFonts w:eastAsia="宋体"/>
        </w:rPr>
        <w:t>hm</w:t>
      </w:r>
      <w:r>
        <w:rPr>
          <w:rFonts w:eastAsia="宋体"/>
          <w:vertAlign w:val="superscript"/>
        </w:rPr>
        <w:t>2</w:t>
      </w:r>
      <w:r>
        <w:rPr>
          <w:rFonts w:hint="eastAsia" w:eastAsia="宋体"/>
        </w:rPr>
        <w:t>，占项目占地范围的55.0%，主要分布于矿区的西南侧，办公生活用房、排土场、工业广场和运输道路等占地全部为工矿仓储用地；交通运输占地面积0.09</w:t>
      </w:r>
      <w:r>
        <w:rPr>
          <w:rFonts w:eastAsia="宋体"/>
        </w:rPr>
        <w:t>hm</w:t>
      </w:r>
      <w:r>
        <w:rPr>
          <w:rFonts w:eastAsia="宋体"/>
          <w:vertAlign w:val="superscript"/>
        </w:rPr>
        <w:t>2</w:t>
      </w:r>
      <w:r>
        <w:rPr>
          <w:rFonts w:hint="eastAsia" w:eastAsia="宋体"/>
        </w:rPr>
        <w:t>，占矿区总面积的1.73%，主要分布于矿区的东西两侧</w:t>
      </w:r>
      <w:r>
        <w:rPr>
          <w:rFonts w:hint="eastAsia" w:ascii="宋体" w:hAnsi="宋体" w:eastAsia="宋体"/>
        </w:rPr>
        <w:t>。</w:t>
      </w:r>
    </w:p>
    <w:p>
      <w:pPr>
        <w:pStyle w:val="361"/>
        <w:spacing w:line="440" w:lineRule="exact"/>
        <w:ind w:firstLineChars="200"/>
        <w:jc w:val="both"/>
        <w:rPr>
          <w:rFonts w:ascii="宋体" w:hAnsi="宋体" w:eastAsia="宋体"/>
        </w:rPr>
      </w:pPr>
      <w:r>
        <w:rPr>
          <w:rFonts w:hint="eastAsia" w:ascii="宋体" w:hAnsi="宋体" w:eastAsia="宋体"/>
        </w:rPr>
        <w:t>（3）土地利用现状值</w:t>
      </w:r>
    </w:p>
    <w:p>
      <w:pPr>
        <w:adjustRightInd w:val="0"/>
        <w:snapToGrid w:val="0"/>
        <w:spacing w:line="440" w:lineRule="exact"/>
        <w:ind w:firstLine="480" w:firstLineChars="200"/>
        <w:jc w:val="both"/>
        <w:rPr>
          <w:snapToGrid w:val="0"/>
          <w:shd w:val="clear" w:color="auto" w:fill="FFFFFF"/>
        </w:rPr>
      </w:pPr>
      <w:r>
        <w:rPr>
          <w:snapToGrid w:val="0"/>
          <w:shd w:val="clear" w:color="auto" w:fill="FFFFFF"/>
        </w:rPr>
        <w:t>评价通过各类型土地植被的生物量来表征土地利用现状值</w:t>
      </w:r>
      <w:r>
        <w:rPr>
          <w:rFonts w:hint="eastAsia"/>
          <w:snapToGrid w:val="0"/>
          <w:shd w:val="clear" w:color="auto" w:fill="FFFFFF"/>
        </w:rPr>
        <w:t>。</w:t>
      </w:r>
      <w:r>
        <w:rPr>
          <w:snapToGrid w:val="0"/>
          <w:shd w:val="clear" w:color="auto" w:fill="FFFFFF"/>
        </w:rPr>
        <w:t>生物量是指生物在单位面积和单位时间所产生的有机物质的重量</w:t>
      </w:r>
      <w:r>
        <w:rPr>
          <w:rFonts w:hint="eastAsia"/>
          <w:snapToGrid w:val="0"/>
          <w:shd w:val="clear" w:color="auto" w:fill="FFFFFF"/>
        </w:rPr>
        <w:t>，</w:t>
      </w:r>
      <w:r>
        <w:rPr>
          <w:snapToGrid w:val="0"/>
          <w:shd w:val="clear" w:color="auto" w:fill="FFFFFF"/>
        </w:rPr>
        <w:t>亦指生产的速度</w:t>
      </w:r>
      <w:r>
        <w:rPr>
          <w:rFonts w:hint="eastAsia"/>
          <w:snapToGrid w:val="0"/>
          <w:shd w:val="clear" w:color="auto" w:fill="FFFFFF"/>
        </w:rPr>
        <w:t>，</w:t>
      </w:r>
      <w:r>
        <w:rPr>
          <w:snapToGrid w:val="0"/>
          <w:shd w:val="clear" w:color="auto" w:fill="FFFFFF"/>
        </w:rPr>
        <w:t>以t/(</w:t>
      </w:r>
      <w:r>
        <w:rPr>
          <w:rFonts w:hint="eastAsia"/>
          <w:snapToGrid w:val="0"/>
          <w:shd w:val="clear" w:color="auto" w:fill="FFFFFF"/>
        </w:rPr>
        <w:t>h</w:t>
      </w:r>
      <w:r>
        <w:rPr>
          <w:snapToGrid w:val="0"/>
          <w:shd w:val="clear" w:color="auto" w:fill="FFFFFF"/>
        </w:rPr>
        <w:t>m</w:t>
      </w:r>
      <w:r>
        <w:rPr>
          <w:snapToGrid w:val="0"/>
          <w:shd w:val="clear" w:color="auto" w:fill="FFFFFF"/>
          <w:vertAlign w:val="superscript"/>
        </w:rPr>
        <w:t>2</w:t>
      </w:r>
      <w:r>
        <w:rPr>
          <w:snapToGrid w:val="0"/>
          <w:shd w:val="clear" w:color="auto" w:fill="FFFFFF"/>
        </w:rPr>
        <w:t>.a)表示</w:t>
      </w:r>
      <w:r>
        <w:rPr>
          <w:rFonts w:hint="eastAsia"/>
          <w:snapToGrid w:val="0"/>
          <w:shd w:val="clear" w:color="auto" w:fill="FFFFFF"/>
        </w:rPr>
        <w:t>。</w:t>
      </w:r>
    </w:p>
    <w:p>
      <w:pPr>
        <w:adjustRightInd w:val="0"/>
        <w:snapToGrid w:val="0"/>
        <w:spacing w:line="440" w:lineRule="exact"/>
        <w:ind w:firstLine="480" w:firstLineChars="200"/>
        <w:jc w:val="both"/>
        <w:rPr>
          <w:snapToGrid w:val="0"/>
          <w:shd w:val="clear" w:color="auto" w:fill="FFFFFF"/>
        </w:rPr>
      </w:pPr>
      <w:r>
        <w:rPr>
          <w:snapToGrid w:val="0"/>
          <w:shd w:val="clear" w:color="auto" w:fill="FFFFFF"/>
        </w:rPr>
        <w:t>以测定绿色植物的生长快慢或其它指标来代表生物的生产力</w:t>
      </w:r>
      <w:r>
        <w:rPr>
          <w:rFonts w:hint="eastAsia"/>
          <w:snapToGrid w:val="0"/>
          <w:shd w:val="clear" w:color="auto" w:fill="FFFFFF"/>
        </w:rPr>
        <w:t>，</w:t>
      </w:r>
      <w:r>
        <w:rPr>
          <w:snapToGrid w:val="0"/>
          <w:shd w:val="clear" w:color="auto" w:fill="FFFFFF"/>
        </w:rPr>
        <w:t>以Pa表示：</w:t>
      </w:r>
      <w:r>
        <w:rPr>
          <w:bCs/>
          <w:snapToGrid w:val="0"/>
          <w:shd w:val="clear" w:color="auto" w:fill="FFFFFF"/>
        </w:rPr>
        <w:t>Pa=Ba/Bmo</w:t>
      </w:r>
      <w:r>
        <w:rPr>
          <w:rFonts w:hint="eastAsia"/>
          <w:bCs/>
          <w:snapToGrid w:val="0"/>
          <w:shd w:val="clear" w:color="auto" w:fill="FFFFFF"/>
        </w:rPr>
        <w:t>，</w:t>
      </w:r>
      <w:r>
        <w:rPr>
          <w:snapToGrid w:val="0"/>
          <w:shd w:val="clear" w:color="auto" w:fill="FFFFFF"/>
        </w:rPr>
        <w:t>式中：Ba——生物量</w:t>
      </w:r>
      <w:r>
        <w:rPr>
          <w:rFonts w:hint="eastAsia"/>
          <w:snapToGrid w:val="0"/>
          <w:shd w:val="clear" w:color="auto" w:fill="FFFFFF"/>
        </w:rPr>
        <w:t>，</w:t>
      </w:r>
      <w:r>
        <w:rPr>
          <w:snapToGrid w:val="0"/>
          <w:shd w:val="clear" w:color="auto" w:fill="FFFFFF"/>
        </w:rPr>
        <w:t>Bmo——标定生物量</w:t>
      </w:r>
      <w:r>
        <w:rPr>
          <w:rFonts w:hint="eastAsia"/>
          <w:snapToGrid w:val="0"/>
          <w:shd w:val="clear" w:color="auto" w:fill="FFFFFF"/>
        </w:rPr>
        <w:t>，</w:t>
      </w:r>
      <w:r>
        <w:rPr>
          <w:snapToGrid w:val="0"/>
          <w:shd w:val="clear" w:color="auto" w:fill="FFFFFF"/>
        </w:rPr>
        <w:t>Pa值越大</w:t>
      </w:r>
      <w:r>
        <w:rPr>
          <w:rFonts w:hint="eastAsia"/>
          <w:snapToGrid w:val="0"/>
          <w:shd w:val="clear" w:color="auto" w:fill="FFFFFF"/>
        </w:rPr>
        <w:t>，</w:t>
      </w:r>
      <w:r>
        <w:rPr>
          <w:snapToGrid w:val="0"/>
          <w:shd w:val="clear" w:color="auto" w:fill="FFFFFF"/>
        </w:rPr>
        <w:t>则土地利用功能的变化就越好</w:t>
      </w:r>
      <w:r>
        <w:rPr>
          <w:rFonts w:hint="eastAsia"/>
          <w:snapToGrid w:val="0"/>
          <w:shd w:val="clear" w:color="auto" w:fill="FFFFFF"/>
        </w:rPr>
        <w:t>。</w:t>
      </w:r>
    </w:p>
    <w:p>
      <w:pPr>
        <w:adjustRightInd w:val="0"/>
        <w:snapToGrid w:val="0"/>
        <w:spacing w:line="440" w:lineRule="exact"/>
        <w:ind w:firstLine="480" w:firstLineChars="200"/>
        <w:jc w:val="both"/>
        <w:rPr>
          <w:snapToGrid w:val="0"/>
          <w:shd w:val="clear" w:color="auto" w:fill="FFFFFF"/>
        </w:rPr>
      </w:pPr>
      <w:r>
        <w:rPr>
          <w:snapToGrid w:val="0"/>
          <w:shd w:val="clear" w:color="auto" w:fill="FFFFFF"/>
        </w:rPr>
        <w:t>本项目评价范围内土地生物量计算结果见表4</w:t>
      </w:r>
      <w:r>
        <w:rPr>
          <w:rFonts w:hint="eastAsia"/>
          <w:snapToGrid w:val="0"/>
          <w:shd w:val="clear" w:color="auto" w:fill="FFFFFF"/>
        </w:rPr>
        <w:t>.4</w:t>
      </w:r>
      <w:r>
        <w:rPr>
          <w:snapToGrid w:val="0"/>
          <w:shd w:val="clear" w:color="auto" w:fill="FFFFFF"/>
        </w:rPr>
        <w:t>-</w:t>
      </w:r>
      <w:r>
        <w:rPr>
          <w:rFonts w:hint="eastAsia"/>
          <w:snapToGrid w:val="0"/>
          <w:shd w:val="clear" w:color="auto" w:fill="FFFFFF"/>
        </w:rPr>
        <w:t>4。</w:t>
      </w:r>
    </w:p>
    <w:p>
      <w:pPr>
        <w:adjustRightInd w:val="0"/>
        <w:snapToGrid w:val="0"/>
        <w:spacing w:before="120" w:beforeLines="50"/>
        <w:jc w:val="center"/>
        <w:rPr>
          <w:snapToGrid w:val="0"/>
          <w:sz w:val="21"/>
          <w:szCs w:val="21"/>
          <w:shd w:val="clear" w:color="auto" w:fill="FFFFFF"/>
        </w:rPr>
      </w:pPr>
      <w:r>
        <w:rPr>
          <w:rFonts w:hint="eastAsia" w:ascii="黑体" w:hAnsi="黑体" w:eastAsia="黑体" w:cs="黑体"/>
          <w:bCs/>
          <w:snapToGrid w:val="0"/>
          <w:sz w:val="21"/>
          <w:szCs w:val="21"/>
          <w:shd w:val="clear" w:color="auto" w:fill="FFFFFF"/>
        </w:rPr>
        <w:t>表</w:t>
      </w:r>
      <w:r>
        <w:rPr>
          <w:bCs/>
          <w:snapToGrid w:val="0"/>
          <w:sz w:val="21"/>
          <w:szCs w:val="21"/>
          <w:shd w:val="clear" w:color="auto" w:fill="FFFFFF"/>
        </w:rPr>
        <w:t>4</w:t>
      </w:r>
      <w:r>
        <w:rPr>
          <w:rFonts w:hint="eastAsia"/>
          <w:bCs/>
          <w:snapToGrid w:val="0"/>
          <w:sz w:val="21"/>
          <w:szCs w:val="21"/>
          <w:shd w:val="clear" w:color="auto" w:fill="FFFFFF"/>
        </w:rPr>
        <w:t>.4</w:t>
      </w:r>
      <w:r>
        <w:rPr>
          <w:bCs/>
          <w:snapToGrid w:val="0"/>
          <w:sz w:val="21"/>
          <w:szCs w:val="21"/>
          <w:shd w:val="clear" w:color="auto" w:fill="FFFFFF"/>
        </w:rPr>
        <w:t>-</w:t>
      </w:r>
      <w:r>
        <w:rPr>
          <w:rFonts w:hint="eastAsia"/>
          <w:bCs/>
          <w:snapToGrid w:val="0"/>
          <w:sz w:val="21"/>
          <w:szCs w:val="21"/>
          <w:shd w:val="clear" w:color="auto" w:fill="FFFFFF"/>
        </w:rPr>
        <w:t>4</w:t>
      </w:r>
      <w:r>
        <w:rPr>
          <w:bCs/>
          <w:snapToGrid w:val="0"/>
          <w:sz w:val="21"/>
          <w:szCs w:val="21"/>
          <w:shd w:val="clear" w:color="auto" w:fill="FFFFFF"/>
        </w:rPr>
        <w:t xml:space="preserve">  </w:t>
      </w:r>
      <w:r>
        <w:rPr>
          <w:rFonts w:hint="eastAsia" w:ascii="黑体" w:hAnsi="黑体" w:eastAsia="黑体" w:cs="黑体"/>
          <w:bCs/>
          <w:snapToGrid w:val="0"/>
          <w:sz w:val="21"/>
          <w:szCs w:val="21"/>
          <w:shd w:val="clear" w:color="auto" w:fill="FFFFFF"/>
        </w:rPr>
        <w:t>区域土地生物量</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7"/>
        <w:gridCol w:w="2748"/>
        <w:gridCol w:w="2056"/>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79" w:type="pct"/>
            <w:noWrap/>
            <w:vAlign w:val="center"/>
          </w:tcPr>
          <w:p>
            <w:pPr>
              <w:adjustRightInd w:val="0"/>
              <w:snapToGrid w:val="0"/>
              <w:spacing w:line="360" w:lineRule="exact"/>
              <w:jc w:val="center"/>
              <w:rPr>
                <w:sz w:val="21"/>
                <w:szCs w:val="20"/>
              </w:rPr>
            </w:pPr>
            <w:r>
              <w:rPr>
                <w:rFonts w:hint="eastAsia"/>
                <w:sz w:val="21"/>
                <w:szCs w:val="20"/>
              </w:rPr>
              <w:t>类别</w:t>
            </w:r>
          </w:p>
        </w:tc>
        <w:tc>
          <w:tcPr>
            <w:tcW w:w="1379" w:type="pct"/>
            <w:noWrap/>
            <w:vAlign w:val="center"/>
          </w:tcPr>
          <w:p>
            <w:pPr>
              <w:adjustRightInd w:val="0"/>
              <w:snapToGrid w:val="0"/>
              <w:spacing w:line="360" w:lineRule="exact"/>
              <w:jc w:val="center"/>
              <w:rPr>
                <w:sz w:val="21"/>
                <w:szCs w:val="20"/>
              </w:rPr>
            </w:pPr>
            <w:r>
              <w:rPr>
                <w:sz w:val="21"/>
                <w:szCs w:val="20"/>
              </w:rPr>
              <w:t>用地类型</w:t>
            </w:r>
          </w:p>
        </w:tc>
        <w:tc>
          <w:tcPr>
            <w:tcW w:w="1032" w:type="pct"/>
            <w:noWrap/>
            <w:vAlign w:val="center"/>
          </w:tcPr>
          <w:p>
            <w:pPr>
              <w:adjustRightInd w:val="0"/>
              <w:snapToGrid w:val="0"/>
              <w:spacing w:line="360" w:lineRule="exact"/>
              <w:jc w:val="center"/>
              <w:rPr>
                <w:sz w:val="21"/>
                <w:szCs w:val="20"/>
              </w:rPr>
            </w:pPr>
            <w:r>
              <w:rPr>
                <w:sz w:val="21"/>
                <w:szCs w:val="20"/>
              </w:rPr>
              <w:t>面积</w:t>
            </w:r>
            <w:r>
              <w:rPr>
                <w:rFonts w:hint="eastAsia"/>
                <w:sz w:val="21"/>
                <w:szCs w:val="20"/>
              </w:rPr>
              <w:t>（</w:t>
            </w:r>
            <w:r>
              <w:rPr>
                <w:sz w:val="21"/>
                <w:szCs w:val="20"/>
              </w:rPr>
              <w:t>hm</w:t>
            </w:r>
            <w:r>
              <w:rPr>
                <w:sz w:val="21"/>
                <w:szCs w:val="21"/>
                <w:vertAlign w:val="superscript"/>
              </w:rPr>
              <w:t>2</w:t>
            </w:r>
            <w:r>
              <w:rPr>
                <w:rFonts w:hint="eastAsia"/>
                <w:sz w:val="21"/>
                <w:szCs w:val="20"/>
              </w:rPr>
              <w:t>）</w:t>
            </w:r>
          </w:p>
        </w:tc>
        <w:tc>
          <w:tcPr>
            <w:tcW w:w="1208" w:type="pct"/>
            <w:noWrap/>
            <w:vAlign w:val="center"/>
          </w:tcPr>
          <w:p>
            <w:pPr>
              <w:adjustRightInd w:val="0"/>
              <w:snapToGrid w:val="0"/>
              <w:spacing w:line="360" w:lineRule="exact"/>
              <w:jc w:val="center"/>
              <w:rPr>
                <w:sz w:val="21"/>
                <w:szCs w:val="20"/>
              </w:rPr>
            </w:pPr>
            <w:r>
              <w:rPr>
                <w:sz w:val="21"/>
                <w:szCs w:val="21"/>
              </w:rPr>
              <w:t>生物量</w:t>
            </w:r>
            <w:r>
              <w:rPr>
                <w:rFonts w:hint="eastAsia"/>
                <w:sz w:val="21"/>
                <w:szCs w:val="21"/>
              </w:rPr>
              <w:t>[</w:t>
            </w:r>
            <w:r>
              <w:rPr>
                <w:sz w:val="21"/>
                <w:szCs w:val="21"/>
              </w:rPr>
              <w:t>t/</w:t>
            </w:r>
            <w:r>
              <w:rPr>
                <w:rFonts w:hint="eastAsia"/>
                <w:sz w:val="21"/>
                <w:szCs w:val="21"/>
              </w:rPr>
              <w:t>(</w:t>
            </w:r>
            <w:r>
              <w:rPr>
                <w:sz w:val="21"/>
                <w:szCs w:val="21"/>
              </w:rPr>
              <w:t>hm</w:t>
            </w:r>
            <w:r>
              <w:rPr>
                <w:sz w:val="21"/>
                <w:szCs w:val="21"/>
                <w:vertAlign w:val="superscript"/>
              </w:rPr>
              <w:t>2</w:t>
            </w:r>
            <w:r>
              <w:rPr>
                <w:sz w:val="21"/>
                <w:szCs w:val="21"/>
              </w:rPr>
              <w:t>.a</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79" w:type="pct"/>
            <w:vMerge w:val="restart"/>
            <w:vAlign w:val="center"/>
          </w:tcPr>
          <w:p>
            <w:pPr>
              <w:adjustRightInd w:val="0"/>
              <w:snapToGrid w:val="0"/>
              <w:spacing w:line="360" w:lineRule="exact"/>
              <w:jc w:val="center"/>
              <w:rPr>
                <w:sz w:val="21"/>
                <w:szCs w:val="20"/>
              </w:rPr>
            </w:pPr>
            <w:r>
              <w:rPr>
                <w:rFonts w:hint="eastAsia"/>
                <w:sz w:val="21"/>
                <w:szCs w:val="20"/>
              </w:rPr>
              <w:t>评价范围</w:t>
            </w:r>
          </w:p>
        </w:tc>
        <w:tc>
          <w:tcPr>
            <w:tcW w:w="1379" w:type="pct"/>
            <w:vAlign w:val="center"/>
          </w:tcPr>
          <w:p>
            <w:pPr>
              <w:adjustRightInd w:val="0"/>
              <w:snapToGrid w:val="0"/>
              <w:spacing w:line="360" w:lineRule="exact"/>
              <w:jc w:val="center"/>
              <w:rPr>
                <w:sz w:val="21"/>
                <w:szCs w:val="20"/>
              </w:rPr>
            </w:pPr>
            <w:r>
              <w:rPr>
                <w:sz w:val="21"/>
                <w:szCs w:val="20"/>
              </w:rPr>
              <w:t>耕地</w:t>
            </w:r>
          </w:p>
        </w:tc>
        <w:tc>
          <w:tcPr>
            <w:tcW w:w="2056" w:type="dxa"/>
            <w:noWrap/>
            <w:vAlign w:val="center"/>
          </w:tcPr>
          <w:p>
            <w:pPr>
              <w:adjustRightInd w:val="0"/>
              <w:snapToGrid w:val="0"/>
              <w:spacing w:line="360" w:lineRule="exact"/>
              <w:jc w:val="center"/>
              <w:rPr>
                <w:sz w:val="21"/>
                <w:szCs w:val="20"/>
              </w:rPr>
            </w:pPr>
            <w:r>
              <w:rPr>
                <w:rFonts w:hint="eastAsia"/>
                <w:kern w:val="2"/>
                <w:sz w:val="21"/>
                <w:szCs w:val="20"/>
              </w:rPr>
              <w:t>24.82</w:t>
            </w:r>
          </w:p>
        </w:tc>
        <w:tc>
          <w:tcPr>
            <w:tcW w:w="1208" w:type="pct"/>
            <w:noWrap/>
            <w:vAlign w:val="center"/>
          </w:tcPr>
          <w:p>
            <w:pPr>
              <w:adjustRightInd w:val="0"/>
              <w:snapToGrid w:val="0"/>
              <w:spacing w:line="360" w:lineRule="exact"/>
              <w:jc w:val="center"/>
              <w:rPr>
                <w:sz w:val="21"/>
                <w:szCs w:val="20"/>
              </w:rPr>
            </w:pPr>
            <w:r>
              <w:rPr>
                <w:rFonts w:hint="eastAsia"/>
                <w:sz w:val="21"/>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79" w:type="pct"/>
            <w:vMerge w:val="continue"/>
            <w:vAlign w:val="center"/>
          </w:tcPr>
          <w:p>
            <w:pPr>
              <w:adjustRightInd w:val="0"/>
              <w:snapToGrid w:val="0"/>
              <w:spacing w:line="360" w:lineRule="exact"/>
              <w:jc w:val="center"/>
              <w:rPr>
                <w:sz w:val="21"/>
                <w:szCs w:val="20"/>
              </w:rPr>
            </w:pPr>
          </w:p>
        </w:tc>
        <w:tc>
          <w:tcPr>
            <w:tcW w:w="1379" w:type="pct"/>
            <w:vAlign w:val="center"/>
          </w:tcPr>
          <w:p>
            <w:pPr>
              <w:adjustRightInd w:val="0"/>
              <w:snapToGrid w:val="0"/>
              <w:spacing w:line="360" w:lineRule="exact"/>
              <w:jc w:val="center"/>
              <w:rPr>
                <w:sz w:val="21"/>
                <w:szCs w:val="20"/>
              </w:rPr>
            </w:pPr>
            <w:r>
              <w:rPr>
                <w:rFonts w:hint="eastAsia"/>
                <w:sz w:val="21"/>
                <w:szCs w:val="20"/>
              </w:rPr>
              <w:t>内陆滩涂</w:t>
            </w:r>
          </w:p>
        </w:tc>
        <w:tc>
          <w:tcPr>
            <w:tcW w:w="2056" w:type="dxa"/>
            <w:noWrap/>
            <w:vAlign w:val="center"/>
          </w:tcPr>
          <w:p>
            <w:pPr>
              <w:adjustRightInd w:val="0"/>
              <w:snapToGrid w:val="0"/>
              <w:spacing w:line="360" w:lineRule="exact"/>
              <w:jc w:val="center"/>
              <w:rPr>
                <w:sz w:val="21"/>
                <w:szCs w:val="20"/>
                <w:lang w:bidi="ar"/>
              </w:rPr>
            </w:pPr>
            <w:r>
              <w:rPr>
                <w:rFonts w:hint="eastAsia"/>
                <w:kern w:val="2"/>
                <w:sz w:val="21"/>
                <w:szCs w:val="20"/>
              </w:rPr>
              <w:t>1.52</w:t>
            </w:r>
          </w:p>
        </w:tc>
        <w:tc>
          <w:tcPr>
            <w:tcW w:w="1208" w:type="pct"/>
            <w:noWrap/>
            <w:vAlign w:val="center"/>
          </w:tcPr>
          <w:p>
            <w:pPr>
              <w:adjustRightInd w:val="0"/>
              <w:snapToGrid w:val="0"/>
              <w:spacing w:line="360" w:lineRule="exact"/>
              <w:jc w:val="center"/>
              <w:rPr>
                <w:sz w:val="21"/>
                <w:szCs w:val="20"/>
              </w:rPr>
            </w:pPr>
            <w:r>
              <w:rPr>
                <w:rFonts w:hint="eastAsia"/>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79" w:type="pct"/>
            <w:vMerge w:val="continue"/>
            <w:vAlign w:val="center"/>
          </w:tcPr>
          <w:p>
            <w:pPr>
              <w:adjustRightInd w:val="0"/>
              <w:snapToGrid w:val="0"/>
              <w:spacing w:line="360" w:lineRule="exact"/>
              <w:jc w:val="center"/>
              <w:rPr>
                <w:sz w:val="21"/>
                <w:szCs w:val="20"/>
              </w:rPr>
            </w:pPr>
          </w:p>
        </w:tc>
        <w:tc>
          <w:tcPr>
            <w:tcW w:w="1379" w:type="pct"/>
            <w:vAlign w:val="center"/>
          </w:tcPr>
          <w:p>
            <w:pPr>
              <w:adjustRightInd w:val="0"/>
              <w:snapToGrid w:val="0"/>
              <w:spacing w:line="360" w:lineRule="exact"/>
              <w:jc w:val="center"/>
              <w:rPr>
                <w:sz w:val="21"/>
                <w:szCs w:val="20"/>
              </w:rPr>
            </w:pPr>
            <w:r>
              <w:rPr>
                <w:sz w:val="21"/>
                <w:szCs w:val="20"/>
              </w:rPr>
              <w:t>工矿仓储用地</w:t>
            </w:r>
          </w:p>
        </w:tc>
        <w:tc>
          <w:tcPr>
            <w:tcW w:w="2056" w:type="dxa"/>
            <w:noWrap/>
            <w:vAlign w:val="center"/>
          </w:tcPr>
          <w:p>
            <w:pPr>
              <w:adjustRightInd w:val="0"/>
              <w:snapToGrid w:val="0"/>
              <w:spacing w:line="360" w:lineRule="exact"/>
              <w:jc w:val="center"/>
              <w:rPr>
                <w:sz w:val="21"/>
                <w:szCs w:val="20"/>
                <w:lang w:bidi="ar"/>
              </w:rPr>
            </w:pPr>
            <w:r>
              <w:rPr>
                <w:rFonts w:hint="eastAsia"/>
                <w:kern w:val="2"/>
                <w:sz w:val="21"/>
                <w:szCs w:val="20"/>
              </w:rPr>
              <w:t>9.25</w:t>
            </w:r>
          </w:p>
        </w:tc>
        <w:tc>
          <w:tcPr>
            <w:tcW w:w="1208" w:type="pct"/>
            <w:noWrap/>
            <w:vAlign w:val="center"/>
          </w:tcPr>
          <w:p>
            <w:pPr>
              <w:adjustRightInd w:val="0"/>
              <w:snapToGrid w:val="0"/>
              <w:spacing w:line="360" w:lineRule="exact"/>
              <w:jc w:val="center"/>
              <w:rPr>
                <w:sz w:val="21"/>
                <w:szCs w:val="20"/>
              </w:rPr>
            </w:pPr>
            <w:r>
              <w:rPr>
                <w:rFonts w:hint="eastAsia"/>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79" w:type="pct"/>
            <w:vMerge w:val="continue"/>
            <w:vAlign w:val="center"/>
          </w:tcPr>
          <w:p>
            <w:pPr>
              <w:adjustRightInd w:val="0"/>
              <w:snapToGrid w:val="0"/>
              <w:spacing w:line="360" w:lineRule="exact"/>
              <w:jc w:val="center"/>
              <w:rPr>
                <w:sz w:val="21"/>
                <w:szCs w:val="20"/>
              </w:rPr>
            </w:pPr>
          </w:p>
        </w:tc>
        <w:tc>
          <w:tcPr>
            <w:tcW w:w="1379" w:type="pct"/>
            <w:vAlign w:val="center"/>
          </w:tcPr>
          <w:p>
            <w:pPr>
              <w:adjustRightInd w:val="0"/>
              <w:snapToGrid w:val="0"/>
              <w:spacing w:line="360" w:lineRule="exact"/>
              <w:jc w:val="center"/>
              <w:rPr>
                <w:sz w:val="21"/>
                <w:szCs w:val="20"/>
              </w:rPr>
            </w:pPr>
            <w:r>
              <w:rPr>
                <w:sz w:val="21"/>
                <w:szCs w:val="20"/>
              </w:rPr>
              <w:t>交通运输用地</w:t>
            </w:r>
          </w:p>
        </w:tc>
        <w:tc>
          <w:tcPr>
            <w:tcW w:w="2056" w:type="dxa"/>
            <w:noWrap/>
            <w:vAlign w:val="center"/>
          </w:tcPr>
          <w:p>
            <w:pPr>
              <w:adjustRightInd w:val="0"/>
              <w:snapToGrid w:val="0"/>
              <w:spacing w:line="360" w:lineRule="exact"/>
              <w:jc w:val="center"/>
              <w:rPr>
                <w:sz w:val="21"/>
                <w:szCs w:val="20"/>
                <w:lang w:bidi="ar"/>
              </w:rPr>
            </w:pPr>
            <w:r>
              <w:rPr>
                <w:rFonts w:hint="eastAsia"/>
                <w:kern w:val="2"/>
                <w:sz w:val="21"/>
                <w:szCs w:val="20"/>
              </w:rPr>
              <w:t>0.62</w:t>
            </w:r>
          </w:p>
        </w:tc>
        <w:tc>
          <w:tcPr>
            <w:tcW w:w="1208" w:type="pct"/>
            <w:noWrap/>
            <w:vAlign w:val="center"/>
          </w:tcPr>
          <w:p>
            <w:pPr>
              <w:adjustRightInd w:val="0"/>
              <w:snapToGrid w:val="0"/>
              <w:spacing w:line="360" w:lineRule="exact"/>
              <w:jc w:val="center"/>
              <w:rPr>
                <w:sz w:val="21"/>
                <w:szCs w:val="20"/>
              </w:rPr>
            </w:pPr>
            <w:r>
              <w:rPr>
                <w:rFonts w:hint="eastAsia"/>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79" w:type="pct"/>
            <w:vMerge w:val="continue"/>
            <w:noWrap/>
            <w:vAlign w:val="center"/>
          </w:tcPr>
          <w:p>
            <w:pPr>
              <w:adjustRightInd w:val="0"/>
              <w:snapToGrid w:val="0"/>
              <w:spacing w:line="360" w:lineRule="exact"/>
              <w:jc w:val="center"/>
              <w:rPr>
                <w:sz w:val="21"/>
                <w:szCs w:val="20"/>
              </w:rPr>
            </w:pPr>
          </w:p>
        </w:tc>
        <w:tc>
          <w:tcPr>
            <w:tcW w:w="1379" w:type="pct"/>
            <w:noWrap/>
            <w:vAlign w:val="center"/>
          </w:tcPr>
          <w:p>
            <w:pPr>
              <w:adjustRightInd w:val="0"/>
              <w:snapToGrid w:val="0"/>
              <w:spacing w:line="360" w:lineRule="exact"/>
              <w:jc w:val="center"/>
              <w:rPr>
                <w:sz w:val="21"/>
                <w:szCs w:val="20"/>
              </w:rPr>
            </w:pPr>
            <w:r>
              <w:rPr>
                <w:sz w:val="21"/>
                <w:szCs w:val="20"/>
              </w:rPr>
              <w:t>合计</w:t>
            </w:r>
          </w:p>
        </w:tc>
        <w:tc>
          <w:tcPr>
            <w:tcW w:w="2056" w:type="dxa"/>
            <w:noWrap/>
            <w:vAlign w:val="center"/>
          </w:tcPr>
          <w:p>
            <w:pPr>
              <w:adjustRightInd w:val="0"/>
              <w:snapToGrid w:val="0"/>
              <w:spacing w:line="360" w:lineRule="exact"/>
              <w:jc w:val="center"/>
              <w:rPr>
                <w:sz w:val="21"/>
                <w:szCs w:val="20"/>
                <w:lang w:bidi="ar"/>
              </w:rPr>
            </w:pPr>
            <w:r>
              <w:rPr>
                <w:rFonts w:hint="eastAsia"/>
                <w:kern w:val="2"/>
                <w:sz w:val="21"/>
                <w:szCs w:val="20"/>
              </w:rPr>
              <w:t>36.21</w:t>
            </w:r>
          </w:p>
        </w:tc>
        <w:tc>
          <w:tcPr>
            <w:tcW w:w="1208" w:type="pct"/>
            <w:noWrap/>
            <w:vAlign w:val="center"/>
          </w:tcPr>
          <w:p>
            <w:pPr>
              <w:adjustRightInd w:val="0"/>
              <w:snapToGrid w:val="0"/>
              <w:spacing w:line="360" w:lineRule="exact"/>
              <w:jc w:val="center"/>
              <w:rPr>
                <w:sz w:val="21"/>
                <w:szCs w:val="20"/>
              </w:rPr>
            </w:pPr>
            <w:r>
              <w:rPr>
                <w:rFonts w:hint="eastAsia"/>
                <w:sz w:val="21"/>
                <w:szCs w:val="20"/>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79" w:type="pct"/>
            <w:vMerge w:val="restart"/>
            <w:noWrap/>
            <w:vAlign w:val="center"/>
          </w:tcPr>
          <w:p>
            <w:pPr>
              <w:adjustRightInd w:val="0"/>
              <w:snapToGrid w:val="0"/>
              <w:spacing w:line="360" w:lineRule="exact"/>
              <w:jc w:val="center"/>
              <w:rPr>
                <w:sz w:val="21"/>
                <w:szCs w:val="20"/>
              </w:rPr>
            </w:pPr>
            <w:r>
              <w:rPr>
                <w:rFonts w:hint="eastAsia"/>
                <w:sz w:val="21"/>
                <w:szCs w:val="20"/>
              </w:rPr>
              <w:t>项目占地</w:t>
            </w:r>
          </w:p>
        </w:tc>
        <w:tc>
          <w:tcPr>
            <w:tcW w:w="2748" w:type="dxa"/>
            <w:noWrap/>
            <w:vAlign w:val="center"/>
          </w:tcPr>
          <w:p>
            <w:pPr>
              <w:adjustRightInd w:val="0"/>
              <w:snapToGrid w:val="0"/>
              <w:spacing w:line="360" w:lineRule="exact"/>
              <w:jc w:val="center"/>
              <w:rPr>
                <w:sz w:val="21"/>
                <w:szCs w:val="20"/>
              </w:rPr>
            </w:pPr>
            <w:r>
              <w:rPr>
                <w:rFonts w:hint="eastAsia"/>
                <w:kern w:val="2"/>
                <w:sz w:val="21"/>
                <w:szCs w:val="20"/>
              </w:rPr>
              <w:t>耕地</w:t>
            </w:r>
          </w:p>
        </w:tc>
        <w:tc>
          <w:tcPr>
            <w:tcW w:w="2056" w:type="dxa"/>
            <w:noWrap/>
            <w:vAlign w:val="center"/>
          </w:tcPr>
          <w:p>
            <w:pPr>
              <w:adjustRightInd w:val="0"/>
              <w:snapToGrid w:val="0"/>
              <w:spacing w:line="360" w:lineRule="exact"/>
              <w:jc w:val="center"/>
              <w:rPr>
                <w:kern w:val="2"/>
                <w:sz w:val="21"/>
                <w:szCs w:val="20"/>
              </w:rPr>
            </w:pPr>
            <w:r>
              <w:rPr>
                <w:rFonts w:hint="eastAsia"/>
                <w:kern w:val="2"/>
                <w:sz w:val="21"/>
                <w:szCs w:val="20"/>
              </w:rPr>
              <w:t>2.25</w:t>
            </w:r>
          </w:p>
        </w:tc>
        <w:tc>
          <w:tcPr>
            <w:tcW w:w="1208" w:type="pct"/>
            <w:noWrap/>
            <w:vAlign w:val="center"/>
          </w:tcPr>
          <w:p>
            <w:pPr>
              <w:adjustRightInd w:val="0"/>
              <w:snapToGrid w:val="0"/>
              <w:spacing w:line="360" w:lineRule="exact"/>
              <w:jc w:val="center"/>
              <w:rPr>
                <w:sz w:val="21"/>
                <w:szCs w:val="20"/>
              </w:rPr>
            </w:pPr>
            <w:r>
              <w:rPr>
                <w:rFonts w:hint="eastAsia"/>
                <w:sz w:val="21"/>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79" w:type="pct"/>
            <w:vMerge w:val="continue"/>
            <w:noWrap/>
            <w:vAlign w:val="center"/>
          </w:tcPr>
          <w:p>
            <w:pPr>
              <w:adjustRightInd w:val="0"/>
              <w:snapToGrid w:val="0"/>
              <w:spacing w:line="360" w:lineRule="exact"/>
              <w:jc w:val="center"/>
              <w:rPr>
                <w:sz w:val="21"/>
                <w:szCs w:val="20"/>
              </w:rPr>
            </w:pPr>
          </w:p>
        </w:tc>
        <w:tc>
          <w:tcPr>
            <w:tcW w:w="2748" w:type="dxa"/>
            <w:noWrap/>
            <w:vAlign w:val="center"/>
          </w:tcPr>
          <w:p>
            <w:pPr>
              <w:adjustRightInd w:val="0"/>
              <w:snapToGrid w:val="0"/>
              <w:spacing w:line="360" w:lineRule="exact"/>
              <w:jc w:val="center"/>
              <w:rPr>
                <w:sz w:val="21"/>
                <w:szCs w:val="20"/>
              </w:rPr>
            </w:pPr>
            <w:r>
              <w:rPr>
                <w:rFonts w:hint="eastAsia"/>
                <w:kern w:val="2"/>
                <w:sz w:val="21"/>
                <w:szCs w:val="20"/>
              </w:rPr>
              <w:t>工矿仓储用地</w:t>
            </w:r>
          </w:p>
        </w:tc>
        <w:tc>
          <w:tcPr>
            <w:tcW w:w="2056" w:type="dxa"/>
            <w:noWrap/>
            <w:vAlign w:val="center"/>
          </w:tcPr>
          <w:p>
            <w:pPr>
              <w:adjustRightInd w:val="0"/>
              <w:snapToGrid w:val="0"/>
              <w:spacing w:line="360" w:lineRule="exact"/>
              <w:jc w:val="center"/>
              <w:rPr>
                <w:kern w:val="2"/>
                <w:sz w:val="21"/>
                <w:szCs w:val="20"/>
              </w:rPr>
            </w:pPr>
            <w:r>
              <w:rPr>
                <w:rFonts w:hint="eastAsia"/>
                <w:kern w:val="2"/>
                <w:sz w:val="21"/>
                <w:szCs w:val="20"/>
              </w:rPr>
              <w:t>2.86</w:t>
            </w:r>
          </w:p>
        </w:tc>
        <w:tc>
          <w:tcPr>
            <w:tcW w:w="1208" w:type="pct"/>
            <w:noWrap/>
            <w:vAlign w:val="center"/>
          </w:tcPr>
          <w:p>
            <w:pPr>
              <w:adjustRightInd w:val="0"/>
              <w:snapToGrid w:val="0"/>
              <w:spacing w:line="360" w:lineRule="exact"/>
              <w:jc w:val="center"/>
              <w:rPr>
                <w:sz w:val="21"/>
                <w:szCs w:val="20"/>
              </w:rPr>
            </w:pPr>
            <w:r>
              <w:rPr>
                <w:rFonts w:hint="eastAsia"/>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79" w:type="pct"/>
            <w:vMerge w:val="continue"/>
            <w:noWrap/>
            <w:vAlign w:val="center"/>
          </w:tcPr>
          <w:p>
            <w:pPr>
              <w:adjustRightInd w:val="0"/>
              <w:snapToGrid w:val="0"/>
              <w:spacing w:line="360" w:lineRule="exact"/>
              <w:jc w:val="center"/>
              <w:rPr>
                <w:sz w:val="21"/>
                <w:szCs w:val="20"/>
              </w:rPr>
            </w:pPr>
          </w:p>
        </w:tc>
        <w:tc>
          <w:tcPr>
            <w:tcW w:w="2748" w:type="dxa"/>
            <w:noWrap/>
            <w:vAlign w:val="center"/>
          </w:tcPr>
          <w:p>
            <w:pPr>
              <w:adjustRightInd w:val="0"/>
              <w:snapToGrid w:val="0"/>
              <w:spacing w:line="360" w:lineRule="exact"/>
              <w:jc w:val="center"/>
              <w:rPr>
                <w:sz w:val="21"/>
                <w:szCs w:val="20"/>
              </w:rPr>
            </w:pPr>
            <w:r>
              <w:rPr>
                <w:rFonts w:hint="eastAsia"/>
                <w:kern w:val="2"/>
                <w:sz w:val="21"/>
                <w:szCs w:val="20"/>
              </w:rPr>
              <w:t>交通运输占地</w:t>
            </w:r>
          </w:p>
        </w:tc>
        <w:tc>
          <w:tcPr>
            <w:tcW w:w="2056" w:type="dxa"/>
            <w:noWrap/>
            <w:vAlign w:val="center"/>
          </w:tcPr>
          <w:p>
            <w:pPr>
              <w:adjustRightInd w:val="0"/>
              <w:snapToGrid w:val="0"/>
              <w:spacing w:line="360" w:lineRule="exact"/>
              <w:jc w:val="center"/>
              <w:rPr>
                <w:kern w:val="2"/>
                <w:sz w:val="21"/>
                <w:szCs w:val="20"/>
              </w:rPr>
            </w:pPr>
            <w:r>
              <w:rPr>
                <w:rFonts w:hint="eastAsia"/>
                <w:kern w:val="2"/>
                <w:sz w:val="21"/>
                <w:szCs w:val="20"/>
              </w:rPr>
              <w:t>0.09</w:t>
            </w:r>
          </w:p>
        </w:tc>
        <w:tc>
          <w:tcPr>
            <w:tcW w:w="1208" w:type="pct"/>
            <w:noWrap/>
            <w:vAlign w:val="center"/>
          </w:tcPr>
          <w:p>
            <w:pPr>
              <w:adjustRightInd w:val="0"/>
              <w:snapToGrid w:val="0"/>
              <w:spacing w:line="360" w:lineRule="exact"/>
              <w:jc w:val="center"/>
              <w:rPr>
                <w:sz w:val="21"/>
                <w:szCs w:val="20"/>
              </w:rPr>
            </w:pPr>
            <w:r>
              <w:rPr>
                <w:rFonts w:hint="eastAsia"/>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79" w:type="pct"/>
            <w:vMerge w:val="continue"/>
            <w:noWrap/>
            <w:vAlign w:val="center"/>
          </w:tcPr>
          <w:p>
            <w:pPr>
              <w:adjustRightInd w:val="0"/>
              <w:snapToGrid w:val="0"/>
              <w:spacing w:line="360" w:lineRule="exact"/>
              <w:jc w:val="center"/>
              <w:rPr>
                <w:sz w:val="21"/>
                <w:szCs w:val="20"/>
              </w:rPr>
            </w:pPr>
          </w:p>
        </w:tc>
        <w:tc>
          <w:tcPr>
            <w:tcW w:w="2748" w:type="dxa"/>
            <w:noWrap/>
            <w:vAlign w:val="center"/>
          </w:tcPr>
          <w:p>
            <w:pPr>
              <w:adjustRightInd w:val="0"/>
              <w:snapToGrid w:val="0"/>
              <w:spacing w:line="360" w:lineRule="exact"/>
              <w:jc w:val="center"/>
              <w:rPr>
                <w:sz w:val="21"/>
                <w:szCs w:val="20"/>
              </w:rPr>
            </w:pPr>
            <w:r>
              <w:rPr>
                <w:rFonts w:hint="eastAsia"/>
                <w:kern w:val="2"/>
                <w:sz w:val="21"/>
                <w:szCs w:val="20"/>
              </w:rPr>
              <w:t>总计</w:t>
            </w:r>
          </w:p>
        </w:tc>
        <w:tc>
          <w:tcPr>
            <w:tcW w:w="2056" w:type="dxa"/>
            <w:noWrap/>
            <w:vAlign w:val="center"/>
          </w:tcPr>
          <w:p>
            <w:pPr>
              <w:adjustRightInd w:val="0"/>
              <w:snapToGrid w:val="0"/>
              <w:spacing w:line="360" w:lineRule="exact"/>
              <w:jc w:val="center"/>
              <w:rPr>
                <w:kern w:val="2"/>
                <w:sz w:val="21"/>
                <w:szCs w:val="20"/>
              </w:rPr>
            </w:pPr>
            <w:r>
              <w:rPr>
                <w:rFonts w:hint="eastAsia"/>
                <w:kern w:val="2"/>
                <w:sz w:val="21"/>
                <w:szCs w:val="20"/>
              </w:rPr>
              <w:t>5.20</w:t>
            </w:r>
          </w:p>
        </w:tc>
        <w:tc>
          <w:tcPr>
            <w:tcW w:w="1208" w:type="pct"/>
            <w:noWrap/>
            <w:vAlign w:val="center"/>
          </w:tcPr>
          <w:p>
            <w:pPr>
              <w:adjustRightInd w:val="0"/>
              <w:snapToGrid w:val="0"/>
              <w:spacing w:line="360" w:lineRule="exact"/>
              <w:jc w:val="center"/>
              <w:rPr>
                <w:sz w:val="21"/>
                <w:szCs w:val="20"/>
              </w:rPr>
            </w:pPr>
            <w:r>
              <w:rPr>
                <w:rFonts w:hint="eastAsia"/>
                <w:sz w:val="21"/>
                <w:szCs w:val="20"/>
              </w:rPr>
              <w:t>4.33</w:t>
            </w:r>
          </w:p>
        </w:tc>
      </w:tr>
    </w:tbl>
    <w:p>
      <w:pPr>
        <w:spacing w:line="440" w:lineRule="exact"/>
        <w:ind w:firstLine="480" w:firstLineChars="200"/>
        <w:jc w:val="both"/>
        <w:rPr>
          <w:bCs/>
        </w:rPr>
      </w:pPr>
      <w:r>
        <w:t>通过计算可知</w:t>
      </w:r>
      <w:r>
        <w:rPr>
          <w:rFonts w:hint="eastAsia"/>
        </w:rPr>
        <w:t>，</w:t>
      </w:r>
      <w:r>
        <w:t>项目评价范围土地生物量为</w:t>
      </w:r>
      <w:r>
        <w:rPr>
          <w:rFonts w:hint="eastAsia"/>
        </w:rPr>
        <w:t>6.85</w:t>
      </w:r>
      <w:r>
        <w:t>t/</w:t>
      </w:r>
      <w:r>
        <w:rPr>
          <w:rFonts w:hint="eastAsia"/>
        </w:rPr>
        <w:t>(</w:t>
      </w:r>
      <w:r>
        <w:t>hm</w:t>
      </w:r>
      <w:r>
        <w:rPr>
          <w:vertAlign w:val="superscript"/>
        </w:rPr>
        <w:t>2</w:t>
      </w:r>
      <w:r>
        <w:t>.a</w:t>
      </w:r>
      <w:r>
        <w:rPr>
          <w:rFonts w:hint="eastAsia"/>
        </w:rPr>
        <w:t>)，项目占地范围内土地生物量为4.33</w:t>
      </w:r>
      <w:r>
        <w:t>t/</w:t>
      </w:r>
      <w:r>
        <w:rPr>
          <w:rFonts w:hint="eastAsia"/>
        </w:rPr>
        <w:t>(</w:t>
      </w:r>
      <w:r>
        <w:t>hm</w:t>
      </w:r>
      <w:r>
        <w:rPr>
          <w:vertAlign w:val="superscript"/>
        </w:rPr>
        <w:t>2</w:t>
      </w:r>
      <w:r>
        <w:t>.a</w:t>
      </w:r>
      <w:r>
        <w:rPr>
          <w:rFonts w:hint="eastAsia"/>
        </w:rPr>
        <w:t>)。</w:t>
      </w:r>
      <w:r>
        <w:t>将</w:t>
      </w:r>
      <w:r>
        <w:rPr>
          <w:rFonts w:hint="eastAsia"/>
        </w:rPr>
        <w:t>耕地</w:t>
      </w:r>
      <w:r>
        <w:t>生物量确定为标定生物量</w:t>
      </w:r>
      <w:r>
        <w:rPr>
          <w:rFonts w:hint="eastAsia"/>
        </w:rPr>
        <w:t>（10），</w:t>
      </w:r>
      <w:r>
        <w:t>根据公式：Pa=Ba/Bmo得出</w:t>
      </w:r>
      <w:r>
        <w:rPr>
          <w:rFonts w:hint="eastAsia"/>
        </w:rPr>
        <w:t>，</w:t>
      </w:r>
      <w:r>
        <w:t>本项目评价范围内土地利用现状值为0.</w:t>
      </w:r>
      <w:r>
        <w:rPr>
          <w:rFonts w:hint="eastAsia"/>
        </w:rPr>
        <w:t>685，项目占地范围内土地利用现状值为0.433。</w:t>
      </w:r>
    </w:p>
    <w:p>
      <w:pPr>
        <w:spacing w:line="420" w:lineRule="exact"/>
        <w:ind w:firstLine="480"/>
        <w:rPr>
          <w:bCs/>
        </w:rPr>
      </w:pPr>
    </w:p>
    <w:p>
      <w:pPr>
        <w:pStyle w:val="2"/>
        <w:ind w:firstLine="240"/>
        <w:rPr>
          <w:bCs/>
          <w:sz w:val="24"/>
        </w:rPr>
        <w:sectPr>
          <w:headerReference r:id="rId13" w:type="default"/>
          <w:footerReference r:id="rId14" w:type="default"/>
          <w:pgSz w:w="11906" w:h="16838"/>
          <w:pgMar w:top="1440" w:right="1080" w:bottom="1440" w:left="1080" w:header="851" w:footer="992" w:gutter="0"/>
          <w:cols w:space="720" w:num="1"/>
          <w:docGrid w:linePitch="382" w:charSpace="0"/>
        </w:sectPr>
      </w:pPr>
    </w:p>
    <w:p>
      <w:pPr>
        <w:pStyle w:val="2"/>
        <w:widowControl w:val="0"/>
        <w:spacing w:after="0"/>
        <w:ind w:firstLine="0" w:firstLineChars="0"/>
        <w:jc w:val="center"/>
        <w:rPr>
          <w:rFonts w:hint="eastAsia" w:eastAsia="宋体"/>
          <w:lang w:eastAsia="zh-CN"/>
        </w:rPr>
      </w:pPr>
      <w:r>
        <w:rPr>
          <w:rFonts w:hint="eastAsia" w:eastAsia="宋体"/>
          <w:lang w:eastAsia="zh-CN"/>
        </w:rPr>
        <w:drawing>
          <wp:inline distT="0" distB="0" distL="114300" distR="114300">
            <wp:extent cx="7926070" cy="5605145"/>
            <wp:effectExtent l="0" t="0" r="17780" b="14605"/>
            <wp:docPr id="47" name="图片 47" descr="土地利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土地利用图"/>
                    <pic:cNvPicPr>
                      <a:picLocks noChangeAspect="1"/>
                    </pic:cNvPicPr>
                  </pic:nvPicPr>
                  <pic:blipFill>
                    <a:blip r:embed="rId44"/>
                    <a:stretch>
                      <a:fillRect/>
                    </a:stretch>
                  </pic:blipFill>
                  <pic:spPr>
                    <a:xfrm>
                      <a:off x="0" y="0"/>
                      <a:ext cx="7926070" cy="5605145"/>
                    </a:xfrm>
                    <a:prstGeom prst="rect">
                      <a:avLst/>
                    </a:prstGeom>
                  </pic:spPr>
                </pic:pic>
              </a:graphicData>
            </a:graphic>
          </wp:inline>
        </w:drawing>
      </w:r>
    </w:p>
    <w:p>
      <w:pPr>
        <w:pStyle w:val="2"/>
        <w:widowControl w:val="0"/>
        <w:spacing w:after="0"/>
        <w:ind w:firstLine="0" w:firstLineChars="0"/>
        <w:jc w:val="center"/>
        <w:rPr>
          <w:sz w:val="24"/>
          <w:szCs w:val="32"/>
        </w:rPr>
        <w:sectPr>
          <w:pgSz w:w="16838" w:h="11906" w:orient="landscape"/>
          <w:pgMar w:top="1080" w:right="1440" w:bottom="1080" w:left="1440" w:header="851" w:footer="992" w:gutter="0"/>
          <w:cols w:space="720" w:num="1"/>
          <w:docGrid w:linePitch="382" w:charSpace="0"/>
        </w:sectPr>
      </w:pPr>
      <w:r>
        <w:rPr>
          <w:rFonts w:hint="eastAsia"/>
          <w:sz w:val="24"/>
          <w:szCs w:val="32"/>
        </w:rPr>
        <w:t>图4-4-1评价区土地利用现状</w:t>
      </w:r>
    </w:p>
    <w:p>
      <w:pPr>
        <w:widowControl w:val="0"/>
        <w:adjustRightInd w:val="0"/>
        <w:snapToGrid w:val="0"/>
        <w:spacing w:before="120" w:beforeLines="50" w:after="120" w:afterLines="50"/>
        <w:jc w:val="both"/>
        <w:outlineLvl w:val="2"/>
        <w:rPr>
          <w:rFonts w:ascii="宋体" w:hAnsi="宋体"/>
        </w:rPr>
      </w:pPr>
      <w:r>
        <w:rPr>
          <w:b/>
          <w:kern w:val="2"/>
        </w:rPr>
        <w:t>4.</w:t>
      </w:r>
      <w:r>
        <w:rPr>
          <w:rFonts w:hint="eastAsia"/>
          <w:b/>
          <w:kern w:val="2"/>
        </w:rPr>
        <w:t>4</w:t>
      </w:r>
      <w:r>
        <w:rPr>
          <w:b/>
          <w:kern w:val="2"/>
        </w:rPr>
        <w:t>.</w:t>
      </w:r>
      <w:r>
        <w:rPr>
          <w:rFonts w:hint="eastAsia"/>
          <w:b/>
          <w:kern w:val="2"/>
        </w:rPr>
        <w:t>6植被覆盖现状调查与评价</w:t>
      </w:r>
    </w:p>
    <w:p>
      <w:pPr>
        <w:pStyle w:val="361"/>
        <w:spacing w:line="440" w:lineRule="exact"/>
        <w:ind w:firstLineChars="200"/>
        <w:jc w:val="both"/>
        <w:rPr>
          <w:rFonts w:eastAsia="宋体"/>
        </w:rPr>
      </w:pPr>
      <w:r>
        <w:rPr>
          <w:rFonts w:eastAsia="宋体"/>
        </w:rPr>
        <w:t>评价利用山西植被区划图、评价区植被类型</w:t>
      </w:r>
      <w:r>
        <w:rPr>
          <w:rFonts w:hint="eastAsia" w:eastAsia="宋体"/>
        </w:rPr>
        <w:t>遥</w:t>
      </w:r>
      <w:r>
        <w:rPr>
          <w:rFonts w:eastAsia="宋体"/>
        </w:rPr>
        <w:t>感解析图对评价区植被类型进行分析</w:t>
      </w:r>
      <w:r>
        <w:rPr>
          <w:rFonts w:hint="eastAsia" w:eastAsia="宋体"/>
        </w:rPr>
        <w:t>。</w:t>
      </w:r>
    </w:p>
    <w:p>
      <w:pPr>
        <w:pStyle w:val="361"/>
        <w:spacing w:line="440" w:lineRule="exact"/>
        <w:ind w:firstLineChars="200"/>
        <w:jc w:val="both"/>
        <w:rPr>
          <w:rFonts w:ascii="宋体" w:hAnsi="宋体" w:eastAsia="宋体"/>
        </w:rPr>
      </w:pPr>
      <w:r>
        <w:rPr>
          <w:rFonts w:hint="eastAsia" w:ascii="宋体" w:hAnsi="宋体" w:eastAsia="宋体"/>
        </w:rPr>
        <w:t>（1）植被覆盖现状调查</w:t>
      </w:r>
    </w:p>
    <w:p>
      <w:pPr>
        <w:pStyle w:val="361"/>
        <w:spacing w:line="440" w:lineRule="exact"/>
        <w:ind w:firstLineChars="200"/>
        <w:jc w:val="both"/>
        <w:rPr>
          <w:rFonts w:ascii="宋体" w:hAnsi="宋体" w:eastAsia="宋体"/>
        </w:rPr>
      </w:pPr>
      <w:r>
        <w:rPr>
          <w:rFonts w:hint="eastAsia" w:ascii="宋体" w:hAnsi="宋体" w:eastAsia="宋体"/>
        </w:rPr>
        <w:t>本项目评价范围内植被覆盖类型共2种，分别为农田植被和无植被区；项目占地范围内植被覆盖类型共2种，分别为农田植被和无植被区。</w:t>
      </w:r>
    </w:p>
    <w:p>
      <w:pPr>
        <w:pStyle w:val="361"/>
        <w:spacing w:line="440" w:lineRule="exact"/>
        <w:ind w:firstLineChars="200"/>
        <w:jc w:val="both"/>
        <w:rPr>
          <w:rFonts w:ascii="宋体" w:hAnsi="宋体" w:eastAsia="宋体"/>
        </w:rPr>
      </w:pPr>
      <w:r>
        <w:rPr>
          <w:rFonts w:hint="eastAsia" w:ascii="宋体" w:hAnsi="宋体" w:eastAsia="宋体"/>
        </w:rPr>
        <w:t>评价范围内植被覆盖现状统计情况</w:t>
      </w:r>
      <w:r>
        <w:rPr>
          <w:rFonts w:eastAsia="宋体"/>
        </w:rPr>
        <w:t>见表4.4-5，</w:t>
      </w:r>
      <w:r>
        <w:rPr>
          <w:rFonts w:hint="eastAsia" w:eastAsia="宋体"/>
        </w:rPr>
        <w:t>项目占地范围</w:t>
      </w:r>
      <w:r>
        <w:rPr>
          <w:rFonts w:eastAsia="宋体"/>
        </w:rPr>
        <w:t>内植被覆盖现状统计情况见表4.4</w:t>
      </w:r>
      <w:r>
        <w:rPr>
          <w:rFonts w:hint="eastAsia" w:eastAsia="宋体"/>
        </w:rPr>
        <w:t>-</w:t>
      </w:r>
      <w:r>
        <w:rPr>
          <w:rFonts w:eastAsia="宋体"/>
        </w:rPr>
        <w:t>6。</w:t>
      </w:r>
    </w:p>
    <w:p>
      <w:pPr>
        <w:widowControl w:val="0"/>
        <w:spacing w:before="120" w:beforeLines="50"/>
        <w:jc w:val="center"/>
        <w:rPr>
          <w:rFonts w:ascii="黑体" w:hAnsi="黑体" w:eastAsia="黑体" w:cs="黑体"/>
          <w:bCs/>
          <w:kern w:val="2"/>
        </w:rPr>
      </w:pPr>
      <w:r>
        <w:rPr>
          <w:rFonts w:hint="eastAsia" w:ascii="黑体" w:hAnsi="黑体" w:eastAsia="黑体" w:cs="黑体"/>
          <w:bCs/>
          <w:kern w:val="2"/>
          <w:sz w:val="21"/>
        </w:rPr>
        <w:t>表</w:t>
      </w:r>
      <w:r>
        <w:rPr>
          <w:rFonts w:eastAsia="黑体"/>
          <w:bCs/>
          <w:kern w:val="2"/>
          <w:sz w:val="21"/>
        </w:rPr>
        <w:t>4.4-</w:t>
      </w:r>
      <w:r>
        <w:rPr>
          <w:rFonts w:hint="eastAsia" w:eastAsia="黑体"/>
          <w:bCs/>
          <w:kern w:val="2"/>
          <w:sz w:val="21"/>
        </w:rPr>
        <w:t>5</w:t>
      </w:r>
      <w:r>
        <w:rPr>
          <w:rFonts w:hint="eastAsia" w:ascii="黑体" w:hAnsi="黑体" w:eastAsia="黑体" w:cs="黑体"/>
          <w:bCs/>
          <w:kern w:val="2"/>
          <w:sz w:val="21"/>
        </w:rPr>
        <w:t xml:space="preserve">  评价区植被覆盖现状</w:t>
      </w:r>
    </w:p>
    <w:tbl>
      <w:tblPr>
        <w:tblStyle w:val="8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8"/>
        <w:gridCol w:w="2955"/>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4" w:type="pct"/>
            <w:vAlign w:val="center"/>
          </w:tcPr>
          <w:p>
            <w:pPr>
              <w:widowControl w:val="0"/>
              <w:adjustRightInd w:val="0"/>
              <w:snapToGrid w:val="0"/>
              <w:spacing w:line="360" w:lineRule="exact"/>
              <w:jc w:val="center"/>
              <w:rPr>
                <w:kern w:val="2"/>
                <w:sz w:val="21"/>
                <w:szCs w:val="20"/>
              </w:rPr>
            </w:pPr>
            <w:r>
              <w:rPr>
                <w:kern w:val="2"/>
                <w:sz w:val="21"/>
                <w:szCs w:val="20"/>
              </w:rPr>
              <w:t>类型</w:t>
            </w:r>
          </w:p>
        </w:tc>
        <w:tc>
          <w:tcPr>
            <w:tcW w:w="1592" w:type="pct"/>
            <w:vAlign w:val="center"/>
          </w:tcPr>
          <w:p>
            <w:pPr>
              <w:widowControl w:val="0"/>
              <w:adjustRightInd w:val="0"/>
              <w:snapToGrid w:val="0"/>
              <w:spacing w:line="360" w:lineRule="exact"/>
              <w:jc w:val="center"/>
              <w:rPr>
                <w:kern w:val="2"/>
                <w:sz w:val="21"/>
                <w:szCs w:val="20"/>
              </w:rPr>
            </w:pPr>
            <w:r>
              <w:rPr>
                <w:kern w:val="2"/>
                <w:sz w:val="21"/>
                <w:szCs w:val="20"/>
              </w:rPr>
              <w:t>占地</w:t>
            </w:r>
            <w:r>
              <w:rPr>
                <w:rFonts w:hint="eastAsia"/>
                <w:kern w:val="2"/>
                <w:sz w:val="21"/>
                <w:szCs w:val="20"/>
              </w:rPr>
              <w:t>面积</w:t>
            </w:r>
            <w:r>
              <w:rPr>
                <w:kern w:val="2"/>
                <w:sz w:val="21"/>
                <w:szCs w:val="20"/>
              </w:rPr>
              <w:t>(</w:t>
            </w:r>
            <w:r>
              <w:rPr>
                <w:sz w:val="21"/>
                <w:szCs w:val="21"/>
              </w:rPr>
              <w:t>hm</w:t>
            </w:r>
            <w:r>
              <w:rPr>
                <w:sz w:val="21"/>
                <w:szCs w:val="21"/>
                <w:vertAlign w:val="superscript"/>
              </w:rPr>
              <w:t>2</w:t>
            </w:r>
            <w:r>
              <w:rPr>
                <w:kern w:val="2"/>
                <w:sz w:val="21"/>
                <w:szCs w:val="20"/>
              </w:rPr>
              <w:t>)</w:t>
            </w:r>
          </w:p>
        </w:tc>
        <w:tc>
          <w:tcPr>
            <w:tcW w:w="1802" w:type="pct"/>
            <w:vAlign w:val="center"/>
          </w:tcPr>
          <w:p>
            <w:pPr>
              <w:widowControl w:val="0"/>
              <w:adjustRightInd w:val="0"/>
              <w:snapToGrid w:val="0"/>
              <w:spacing w:line="360" w:lineRule="exact"/>
              <w:jc w:val="center"/>
              <w:rPr>
                <w:kern w:val="2"/>
                <w:sz w:val="21"/>
                <w:szCs w:val="20"/>
              </w:rPr>
            </w:pPr>
            <w:r>
              <w:rPr>
                <w:kern w:val="2"/>
                <w:sz w:val="21"/>
                <w:szCs w:val="20"/>
              </w:rPr>
              <w:t>占评价范围(%)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4" w:type="pct"/>
            <w:vAlign w:val="center"/>
          </w:tcPr>
          <w:p>
            <w:pPr>
              <w:spacing w:line="360" w:lineRule="exact"/>
              <w:jc w:val="center"/>
              <w:rPr>
                <w:kern w:val="2"/>
                <w:sz w:val="21"/>
                <w:szCs w:val="20"/>
              </w:rPr>
            </w:pPr>
            <w:r>
              <w:rPr>
                <w:color w:val="000000" w:themeColor="text1"/>
                <w:sz w:val="21"/>
                <w:szCs w:val="21"/>
                <w14:textFill>
                  <w14:solidFill>
                    <w14:schemeClr w14:val="tx1"/>
                  </w14:solidFill>
                </w14:textFill>
              </w:rPr>
              <w:t>农田植被</w:t>
            </w:r>
          </w:p>
        </w:tc>
        <w:tc>
          <w:tcPr>
            <w:tcW w:w="1592" w:type="pct"/>
            <w:vAlign w:val="center"/>
          </w:tcPr>
          <w:p>
            <w:pPr>
              <w:spacing w:line="360" w:lineRule="exact"/>
              <w:jc w:val="center"/>
              <w:rPr>
                <w:kern w:val="2"/>
                <w:sz w:val="21"/>
                <w:szCs w:val="20"/>
              </w:rPr>
            </w:pPr>
            <w:r>
              <w:rPr>
                <w:rFonts w:hint="eastAsia"/>
                <w:color w:val="000000" w:themeColor="text1"/>
                <w:sz w:val="21"/>
                <w:szCs w:val="21"/>
                <w14:textFill>
                  <w14:solidFill>
                    <w14:schemeClr w14:val="tx1"/>
                  </w14:solidFill>
                </w14:textFill>
              </w:rPr>
              <w:t>24.82</w:t>
            </w:r>
          </w:p>
        </w:tc>
        <w:tc>
          <w:tcPr>
            <w:tcW w:w="1802" w:type="pct"/>
            <w:vAlign w:val="bottom"/>
          </w:tcPr>
          <w:p>
            <w:pPr>
              <w:spacing w:line="360" w:lineRule="exact"/>
              <w:jc w:val="center"/>
              <w:rPr>
                <w:kern w:val="2"/>
                <w:sz w:val="21"/>
                <w:szCs w:val="20"/>
              </w:rPr>
            </w:pPr>
            <w:r>
              <w:rPr>
                <w:rFonts w:hint="eastAsia"/>
                <w:color w:val="000000" w:themeColor="text1"/>
                <w:sz w:val="21"/>
                <w:szCs w:val="21"/>
                <w14:textFill>
                  <w14:solidFill>
                    <w14:schemeClr w14:val="tx1"/>
                  </w14:solidFill>
                </w14:textFill>
              </w:rPr>
              <w:t>68.54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4" w:type="pct"/>
            <w:vAlign w:val="center"/>
          </w:tcPr>
          <w:p>
            <w:pPr>
              <w:spacing w:line="360" w:lineRule="exact"/>
              <w:jc w:val="center"/>
              <w:rPr>
                <w:kern w:val="2"/>
                <w:sz w:val="21"/>
                <w:szCs w:val="20"/>
              </w:rPr>
            </w:pPr>
            <w:r>
              <w:rPr>
                <w:color w:val="000000" w:themeColor="text1"/>
                <w:sz w:val="21"/>
                <w:szCs w:val="21"/>
                <w14:textFill>
                  <w14:solidFill>
                    <w14:schemeClr w14:val="tx1"/>
                  </w14:solidFill>
                </w14:textFill>
              </w:rPr>
              <w:t>无植被区域</w:t>
            </w:r>
          </w:p>
        </w:tc>
        <w:tc>
          <w:tcPr>
            <w:tcW w:w="1592" w:type="pct"/>
            <w:vAlign w:val="bottom"/>
          </w:tcPr>
          <w:p>
            <w:pPr>
              <w:spacing w:line="360" w:lineRule="exact"/>
              <w:jc w:val="center"/>
              <w:rPr>
                <w:kern w:val="2"/>
                <w:sz w:val="21"/>
                <w:szCs w:val="20"/>
              </w:rPr>
            </w:pPr>
            <w:r>
              <w:rPr>
                <w:rFonts w:hint="eastAsia"/>
                <w:color w:val="000000" w:themeColor="text1"/>
                <w:sz w:val="21"/>
                <w:szCs w:val="21"/>
                <w14:textFill>
                  <w14:solidFill>
                    <w14:schemeClr w14:val="tx1"/>
                  </w14:solidFill>
                </w14:textFill>
              </w:rPr>
              <w:t>11.39</w:t>
            </w:r>
          </w:p>
        </w:tc>
        <w:tc>
          <w:tcPr>
            <w:tcW w:w="1802" w:type="pct"/>
            <w:vAlign w:val="bottom"/>
          </w:tcPr>
          <w:p>
            <w:pPr>
              <w:spacing w:line="360" w:lineRule="exact"/>
              <w:jc w:val="center"/>
              <w:rPr>
                <w:kern w:val="2"/>
                <w:sz w:val="21"/>
                <w:szCs w:val="20"/>
              </w:rPr>
            </w:pPr>
            <w:r>
              <w:rPr>
                <w:rFonts w:hint="eastAsia"/>
                <w:color w:val="000000" w:themeColor="text1"/>
                <w:sz w:val="21"/>
                <w:szCs w:val="21"/>
                <w14:textFill>
                  <w14:solidFill>
                    <w14:schemeClr w14:val="tx1"/>
                  </w14:solidFill>
                </w14:textFill>
              </w:rPr>
              <w:t>31.46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4" w:type="pct"/>
            <w:vAlign w:val="center"/>
          </w:tcPr>
          <w:p>
            <w:pPr>
              <w:widowControl w:val="0"/>
              <w:adjustRightInd w:val="0"/>
              <w:snapToGrid w:val="0"/>
              <w:spacing w:line="360" w:lineRule="exact"/>
              <w:jc w:val="center"/>
              <w:rPr>
                <w:kern w:val="2"/>
                <w:sz w:val="21"/>
                <w:szCs w:val="20"/>
              </w:rPr>
            </w:pPr>
            <w:r>
              <w:rPr>
                <w:rFonts w:hint="eastAsia"/>
                <w:kern w:val="2"/>
                <w:sz w:val="21"/>
                <w:szCs w:val="20"/>
              </w:rPr>
              <w:t>总计</w:t>
            </w:r>
          </w:p>
        </w:tc>
        <w:tc>
          <w:tcPr>
            <w:tcW w:w="1592" w:type="pct"/>
            <w:vAlign w:val="center"/>
          </w:tcPr>
          <w:p>
            <w:pPr>
              <w:widowControl w:val="0"/>
              <w:adjustRightInd w:val="0"/>
              <w:snapToGrid w:val="0"/>
              <w:spacing w:line="360" w:lineRule="exact"/>
              <w:jc w:val="center"/>
              <w:rPr>
                <w:kern w:val="2"/>
                <w:sz w:val="21"/>
                <w:szCs w:val="20"/>
              </w:rPr>
            </w:pPr>
            <w:r>
              <w:rPr>
                <w:rFonts w:hint="eastAsia"/>
                <w:kern w:val="2"/>
                <w:sz w:val="21"/>
                <w:szCs w:val="20"/>
              </w:rPr>
              <w:t>36.21</w:t>
            </w:r>
          </w:p>
        </w:tc>
        <w:tc>
          <w:tcPr>
            <w:tcW w:w="1802" w:type="pct"/>
            <w:vAlign w:val="center"/>
          </w:tcPr>
          <w:p>
            <w:pPr>
              <w:widowControl w:val="0"/>
              <w:adjustRightInd w:val="0"/>
              <w:snapToGrid w:val="0"/>
              <w:spacing w:line="360" w:lineRule="exact"/>
              <w:jc w:val="center"/>
              <w:rPr>
                <w:kern w:val="2"/>
                <w:sz w:val="21"/>
                <w:szCs w:val="20"/>
              </w:rPr>
            </w:pPr>
            <w:r>
              <w:rPr>
                <w:rFonts w:hint="eastAsia"/>
                <w:kern w:val="2"/>
                <w:sz w:val="21"/>
                <w:szCs w:val="20"/>
              </w:rPr>
              <w:t>100.00%</w:t>
            </w:r>
          </w:p>
        </w:tc>
      </w:tr>
    </w:tbl>
    <w:p>
      <w:pPr>
        <w:widowControl w:val="0"/>
        <w:spacing w:before="120" w:beforeLines="50"/>
        <w:jc w:val="center"/>
        <w:rPr>
          <w:rFonts w:ascii="黑体" w:hAnsi="黑体" w:eastAsia="黑体" w:cs="黑体"/>
          <w:bCs/>
          <w:kern w:val="2"/>
        </w:rPr>
      </w:pPr>
      <w:r>
        <w:rPr>
          <w:rFonts w:hint="eastAsia" w:ascii="黑体" w:hAnsi="黑体" w:eastAsia="黑体" w:cs="黑体"/>
          <w:bCs/>
          <w:kern w:val="2"/>
          <w:sz w:val="21"/>
        </w:rPr>
        <w:t>表</w:t>
      </w:r>
      <w:r>
        <w:rPr>
          <w:rFonts w:eastAsia="黑体"/>
          <w:bCs/>
          <w:kern w:val="2"/>
          <w:sz w:val="21"/>
        </w:rPr>
        <w:t>4.4-</w:t>
      </w:r>
      <w:r>
        <w:rPr>
          <w:rFonts w:hint="eastAsia" w:eastAsia="黑体"/>
          <w:bCs/>
          <w:kern w:val="2"/>
          <w:sz w:val="21"/>
        </w:rPr>
        <w:t>6</w:t>
      </w:r>
      <w:r>
        <w:rPr>
          <w:rFonts w:eastAsia="黑体"/>
          <w:bCs/>
          <w:kern w:val="2"/>
          <w:sz w:val="21"/>
        </w:rPr>
        <w:t xml:space="preserve"> </w:t>
      </w:r>
      <w:r>
        <w:rPr>
          <w:rFonts w:hint="eastAsia" w:ascii="黑体" w:hAnsi="黑体" w:eastAsia="黑体" w:cs="黑体"/>
          <w:bCs/>
          <w:kern w:val="2"/>
          <w:sz w:val="21"/>
        </w:rPr>
        <w:t xml:space="preserve">  项目占地范围内植被覆盖现状</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6"/>
        <w:gridCol w:w="2917"/>
        <w:gridCol w:w="3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8" w:type="pct"/>
            <w:vAlign w:val="center"/>
          </w:tcPr>
          <w:p>
            <w:pPr>
              <w:widowControl w:val="0"/>
              <w:adjustRightInd w:val="0"/>
              <w:snapToGrid w:val="0"/>
              <w:spacing w:line="360" w:lineRule="exact"/>
              <w:jc w:val="center"/>
              <w:rPr>
                <w:kern w:val="2"/>
                <w:sz w:val="21"/>
                <w:szCs w:val="20"/>
              </w:rPr>
            </w:pPr>
            <w:r>
              <w:rPr>
                <w:kern w:val="2"/>
                <w:sz w:val="21"/>
                <w:szCs w:val="20"/>
              </w:rPr>
              <w:t>类型</w:t>
            </w:r>
          </w:p>
        </w:tc>
        <w:tc>
          <w:tcPr>
            <w:tcW w:w="1571" w:type="pct"/>
            <w:vAlign w:val="center"/>
          </w:tcPr>
          <w:p>
            <w:pPr>
              <w:widowControl w:val="0"/>
              <w:adjustRightInd w:val="0"/>
              <w:snapToGrid w:val="0"/>
              <w:spacing w:line="360" w:lineRule="exact"/>
              <w:jc w:val="center"/>
              <w:rPr>
                <w:kern w:val="2"/>
                <w:sz w:val="21"/>
                <w:szCs w:val="20"/>
              </w:rPr>
            </w:pPr>
            <w:r>
              <w:rPr>
                <w:kern w:val="2"/>
                <w:sz w:val="21"/>
                <w:szCs w:val="20"/>
              </w:rPr>
              <w:t>占地</w:t>
            </w:r>
            <w:r>
              <w:rPr>
                <w:rFonts w:hint="eastAsia"/>
                <w:kern w:val="2"/>
                <w:sz w:val="21"/>
                <w:szCs w:val="20"/>
              </w:rPr>
              <w:t>面积</w:t>
            </w:r>
            <w:r>
              <w:rPr>
                <w:kern w:val="2"/>
                <w:sz w:val="21"/>
                <w:szCs w:val="20"/>
              </w:rPr>
              <w:t>(</w:t>
            </w:r>
            <w:r>
              <w:rPr>
                <w:sz w:val="21"/>
                <w:szCs w:val="21"/>
              </w:rPr>
              <w:t>hm</w:t>
            </w:r>
            <w:r>
              <w:rPr>
                <w:sz w:val="21"/>
                <w:szCs w:val="21"/>
                <w:vertAlign w:val="superscript"/>
              </w:rPr>
              <w:t>2</w:t>
            </w:r>
            <w:r>
              <w:rPr>
                <w:kern w:val="2"/>
                <w:sz w:val="21"/>
                <w:szCs w:val="20"/>
              </w:rPr>
              <w:t>)</w:t>
            </w:r>
          </w:p>
        </w:tc>
        <w:tc>
          <w:tcPr>
            <w:tcW w:w="1820" w:type="pct"/>
            <w:vAlign w:val="center"/>
          </w:tcPr>
          <w:p>
            <w:pPr>
              <w:widowControl w:val="0"/>
              <w:adjustRightInd w:val="0"/>
              <w:snapToGrid w:val="0"/>
              <w:spacing w:line="360" w:lineRule="exact"/>
              <w:jc w:val="center"/>
              <w:rPr>
                <w:kern w:val="2"/>
                <w:sz w:val="21"/>
                <w:szCs w:val="20"/>
              </w:rPr>
            </w:pPr>
            <w:r>
              <w:rPr>
                <w:kern w:val="2"/>
                <w:sz w:val="21"/>
                <w:szCs w:val="20"/>
              </w:rPr>
              <w:t>占</w:t>
            </w:r>
            <w:r>
              <w:rPr>
                <w:rFonts w:hint="eastAsia"/>
                <w:kern w:val="2"/>
                <w:sz w:val="21"/>
                <w:szCs w:val="20"/>
              </w:rPr>
              <w:t>项目占地范围</w:t>
            </w:r>
            <w:r>
              <w:rPr>
                <w:kern w:val="2"/>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8" w:type="pct"/>
            <w:vAlign w:val="center"/>
          </w:tcPr>
          <w:p>
            <w:pPr>
              <w:spacing w:line="360" w:lineRule="exact"/>
              <w:jc w:val="center"/>
              <w:rPr>
                <w:kern w:val="2"/>
                <w:sz w:val="21"/>
                <w:szCs w:val="20"/>
              </w:rPr>
            </w:pPr>
            <w:r>
              <w:rPr>
                <w:sz w:val="21"/>
                <w:szCs w:val="21"/>
              </w:rPr>
              <w:t>农田植被</w:t>
            </w:r>
          </w:p>
        </w:tc>
        <w:tc>
          <w:tcPr>
            <w:tcW w:w="1571" w:type="pct"/>
            <w:vAlign w:val="center"/>
          </w:tcPr>
          <w:p>
            <w:pPr>
              <w:widowControl w:val="0"/>
              <w:adjustRightInd w:val="0"/>
              <w:snapToGrid w:val="0"/>
              <w:spacing w:line="360" w:lineRule="exact"/>
              <w:jc w:val="center"/>
              <w:rPr>
                <w:kern w:val="2"/>
                <w:sz w:val="21"/>
                <w:szCs w:val="20"/>
              </w:rPr>
            </w:pPr>
            <w:r>
              <w:rPr>
                <w:rFonts w:hint="eastAsia"/>
                <w:kern w:val="2"/>
                <w:sz w:val="21"/>
                <w:szCs w:val="20"/>
              </w:rPr>
              <w:t>2.25</w:t>
            </w:r>
          </w:p>
        </w:tc>
        <w:tc>
          <w:tcPr>
            <w:tcW w:w="1820" w:type="pct"/>
            <w:vAlign w:val="center"/>
          </w:tcPr>
          <w:p>
            <w:pPr>
              <w:widowControl w:val="0"/>
              <w:adjustRightInd w:val="0"/>
              <w:snapToGrid w:val="0"/>
              <w:spacing w:line="360" w:lineRule="exact"/>
              <w:jc w:val="center"/>
              <w:rPr>
                <w:kern w:val="2"/>
                <w:sz w:val="21"/>
                <w:szCs w:val="20"/>
              </w:rPr>
            </w:pPr>
            <w:r>
              <w:rPr>
                <w:rFonts w:hint="eastAsia"/>
                <w:kern w:val="2"/>
                <w:sz w:val="21"/>
                <w:szCs w:val="20"/>
              </w:rPr>
              <w:t>43.27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8" w:type="pct"/>
            <w:vAlign w:val="center"/>
          </w:tcPr>
          <w:p>
            <w:pPr>
              <w:spacing w:line="360" w:lineRule="exact"/>
              <w:jc w:val="center"/>
              <w:rPr>
                <w:kern w:val="2"/>
                <w:sz w:val="21"/>
                <w:szCs w:val="20"/>
              </w:rPr>
            </w:pPr>
            <w:r>
              <w:rPr>
                <w:sz w:val="21"/>
                <w:szCs w:val="21"/>
              </w:rPr>
              <w:t>无植被区域</w:t>
            </w:r>
          </w:p>
        </w:tc>
        <w:tc>
          <w:tcPr>
            <w:tcW w:w="1571" w:type="pct"/>
            <w:vAlign w:val="center"/>
          </w:tcPr>
          <w:p>
            <w:pPr>
              <w:widowControl w:val="0"/>
              <w:adjustRightInd w:val="0"/>
              <w:snapToGrid w:val="0"/>
              <w:spacing w:line="360" w:lineRule="exact"/>
              <w:jc w:val="center"/>
              <w:rPr>
                <w:kern w:val="2"/>
                <w:sz w:val="21"/>
                <w:szCs w:val="20"/>
              </w:rPr>
            </w:pPr>
            <w:r>
              <w:rPr>
                <w:rFonts w:hint="eastAsia"/>
                <w:kern w:val="2"/>
                <w:sz w:val="21"/>
                <w:szCs w:val="20"/>
              </w:rPr>
              <w:t>2.95</w:t>
            </w:r>
          </w:p>
        </w:tc>
        <w:tc>
          <w:tcPr>
            <w:tcW w:w="1820" w:type="pct"/>
            <w:vAlign w:val="center"/>
          </w:tcPr>
          <w:p>
            <w:pPr>
              <w:widowControl w:val="0"/>
              <w:adjustRightInd w:val="0"/>
              <w:snapToGrid w:val="0"/>
              <w:spacing w:line="360" w:lineRule="exact"/>
              <w:jc w:val="center"/>
              <w:rPr>
                <w:kern w:val="2"/>
                <w:sz w:val="21"/>
                <w:szCs w:val="20"/>
              </w:rPr>
            </w:pPr>
            <w:r>
              <w:rPr>
                <w:sz w:val="21"/>
                <w:szCs w:val="21"/>
              </w:rPr>
              <w:t>5</w:t>
            </w:r>
            <w:r>
              <w:rPr>
                <w:rFonts w:hint="eastAsia"/>
                <w:sz w:val="21"/>
                <w:szCs w:val="21"/>
              </w:rPr>
              <w:t>6</w:t>
            </w:r>
            <w:r>
              <w:rPr>
                <w:sz w:val="21"/>
                <w:szCs w:val="21"/>
              </w:rPr>
              <w:t>.</w:t>
            </w:r>
            <w:r>
              <w:rPr>
                <w:rFonts w:hint="eastAsia"/>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8" w:type="pct"/>
            <w:vAlign w:val="center"/>
          </w:tcPr>
          <w:p>
            <w:pPr>
              <w:widowControl w:val="0"/>
              <w:adjustRightInd w:val="0"/>
              <w:snapToGrid w:val="0"/>
              <w:spacing w:line="360" w:lineRule="exact"/>
              <w:jc w:val="center"/>
              <w:rPr>
                <w:kern w:val="2"/>
                <w:sz w:val="21"/>
                <w:szCs w:val="20"/>
              </w:rPr>
            </w:pPr>
            <w:r>
              <w:rPr>
                <w:rFonts w:hint="eastAsia"/>
                <w:kern w:val="2"/>
                <w:sz w:val="21"/>
                <w:szCs w:val="20"/>
              </w:rPr>
              <w:t>总计</w:t>
            </w:r>
          </w:p>
        </w:tc>
        <w:tc>
          <w:tcPr>
            <w:tcW w:w="1571" w:type="pct"/>
            <w:vAlign w:val="center"/>
          </w:tcPr>
          <w:p>
            <w:pPr>
              <w:widowControl w:val="0"/>
              <w:adjustRightInd w:val="0"/>
              <w:snapToGrid w:val="0"/>
              <w:spacing w:line="360" w:lineRule="exact"/>
              <w:jc w:val="center"/>
              <w:rPr>
                <w:kern w:val="2"/>
                <w:sz w:val="21"/>
                <w:szCs w:val="20"/>
              </w:rPr>
            </w:pPr>
            <w:r>
              <w:rPr>
                <w:rFonts w:hint="eastAsia"/>
                <w:kern w:val="2"/>
                <w:sz w:val="21"/>
                <w:szCs w:val="20"/>
              </w:rPr>
              <w:t>5.20</w:t>
            </w:r>
          </w:p>
        </w:tc>
        <w:tc>
          <w:tcPr>
            <w:tcW w:w="1820" w:type="pct"/>
            <w:vAlign w:val="center"/>
          </w:tcPr>
          <w:p>
            <w:pPr>
              <w:widowControl w:val="0"/>
              <w:adjustRightInd w:val="0"/>
              <w:snapToGrid w:val="0"/>
              <w:spacing w:line="360" w:lineRule="exact"/>
              <w:jc w:val="center"/>
              <w:rPr>
                <w:kern w:val="2"/>
                <w:sz w:val="21"/>
                <w:szCs w:val="20"/>
              </w:rPr>
            </w:pPr>
            <w:r>
              <w:rPr>
                <w:rFonts w:hint="eastAsia"/>
                <w:kern w:val="2"/>
                <w:sz w:val="21"/>
                <w:szCs w:val="20"/>
              </w:rPr>
              <w:t>100</w:t>
            </w:r>
          </w:p>
        </w:tc>
      </w:tr>
    </w:tbl>
    <w:p>
      <w:pPr>
        <w:pStyle w:val="361"/>
        <w:rPr>
          <w:rFonts w:ascii="宋体" w:hAnsi="宋体" w:eastAsia="宋体"/>
        </w:rPr>
      </w:pPr>
      <w:r>
        <w:rPr>
          <w:rFonts w:hint="eastAsia" w:ascii="宋体" w:hAnsi="宋体" w:eastAsia="宋体"/>
        </w:rPr>
        <w:t>（2）植被覆盖现状评价</w:t>
      </w:r>
    </w:p>
    <w:p>
      <w:pPr>
        <w:pStyle w:val="361"/>
        <w:spacing w:line="440" w:lineRule="exact"/>
        <w:ind w:firstLineChars="200"/>
        <w:jc w:val="both"/>
        <w:rPr>
          <w:rFonts w:eastAsia="宋体"/>
        </w:rPr>
      </w:pPr>
      <w:r>
        <w:rPr>
          <w:rFonts w:eastAsia="宋体"/>
        </w:rPr>
        <w:t>根据现场及相关资料显示项目评价区植被类型情况如下：</w:t>
      </w:r>
    </w:p>
    <w:p>
      <w:pPr>
        <w:pStyle w:val="361"/>
        <w:spacing w:line="440" w:lineRule="exact"/>
        <w:ind w:firstLineChars="200"/>
        <w:jc w:val="both"/>
        <w:rPr>
          <w:rFonts w:eastAsia="宋体"/>
        </w:rPr>
      </w:pPr>
      <w:r>
        <w:rPr>
          <w:rFonts w:hint="eastAsia" w:eastAsia="宋体"/>
        </w:rPr>
        <w:t>评价范围内植被主要为</w:t>
      </w:r>
      <w:r>
        <w:rPr>
          <w:rFonts w:eastAsia="宋体"/>
        </w:rPr>
        <w:t>农田植被</w:t>
      </w:r>
      <w:r>
        <w:rPr>
          <w:rFonts w:hint="eastAsia" w:eastAsia="宋体"/>
        </w:rPr>
        <w:t>，分散分布在矿区四周及矿区范围内，</w:t>
      </w:r>
      <w:r>
        <w:rPr>
          <w:rFonts w:eastAsia="宋体"/>
        </w:rPr>
        <w:t>占地面积为</w:t>
      </w:r>
      <w:r>
        <w:rPr>
          <w:rFonts w:hint="eastAsia" w:eastAsia="宋体"/>
        </w:rPr>
        <w:t>24.82</w:t>
      </w:r>
      <w:r>
        <w:rPr>
          <w:rFonts w:eastAsia="宋体"/>
        </w:rPr>
        <w:t>hm</w:t>
      </w:r>
      <w:r>
        <w:rPr>
          <w:rFonts w:eastAsia="宋体"/>
          <w:vertAlign w:val="superscript"/>
        </w:rPr>
        <w:t>2</w:t>
      </w:r>
      <w:r>
        <w:rPr>
          <w:rFonts w:eastAsia="宋体"/>
        </w:rPr>
        <w:t>，占评价范围的</w:t>
      </w:r>
      <w:r>
        <w:rPr>
          <w:rFonts w:hint="eastAsia" w:eastAsia="宋体"/>
        </w:rPr>
        <w:t>68.54</w:t>
      </w:r>
      <w:r>
        <w:rPr>
          <w:rFonts w:eastAsia="宋体"/>
        </w:rPr>
        <w:t>%，</w:t>
      </w:r>
      <w:r>
        <w:rPr>
          <w:rFonts w:hint="eastAsia" w:eastAsia="宋体"/>
        </w:rPr>
        <w:t>主要种植玉米等农作物</w:t>
      </w:r>
      <w:r>
        <w:rPr>
          <w:rFonts w:eastAsia="宋体"/>
        </w:rPr>
        <w:t>。</w:t>
      </w:r>
      <w:r>
        <w:rPr>
          <w:rFonts w:hint="eastAsia" w:eastAsia="宋体"/>
        </w:rPr>
        <w:t>其次为</w:t>
      </w:r>
      <w:r>
        <w:rPr>
          <w:rFonts w:eastAsia="宋体"/>
        </w:rPr>
        <w:t>无植被区域</w:t>
      </w:r>
      <w:r>
        <w:rPr>
          <w:rFonts w:hint="eastAsia" w:eastAsia="宋体"/>
        </w:rPr>
        <w:t>，主要</w:t>
      </w:r>
      <w:r>
        <w:rPr>
          <w:rFonts w:eastAsia="宋体"/>
        </w:rPr>
        <w:t>分布在</w:t>
      </w:r>
      <w:r>
        <w:rPr>
          <w:rFonts w:hint="eastAsia" w:eastAsia="宋体"/>
        </w:rPr>
        <w:t>矿区西北和西南两侧，</w:t>
      </w:r>
      <w:r>
        <w:rPr>
          <w:rFonts w:eastAsia="宋体"/>
        </w:rPr>
        <w:t>占地面积为</w:t>
      </w:r>
      <w:r>
        <w:rPr>
          <w:rFonts w:hint="eastAsia" w:eastAsia="宋体"/>
        </w:rPr>
        <w:t>11.39</w:t>
      </w:r>
      <w:r>
        <w:rPr>
          <w:rFonts w:eastAsia="宋体"/>
        </w:rPr>
        <w:t>hm</w:t>
      </w:r>
      <w:r>
        <w:rPr>
          <w:rFonts w:eastAsia="宋体"/>
          <w:vertAlign w:val="superscript"/>
        </w:rPr>
        <w:t>2</w:t>
      </w:r>
      <w:r>
        <w:rPr>
          <w:rFonts w:eastAsia="宋体"/>
        </w:rPr>
        <w:t>，占评价范围的</w:t>
      </w:r>
      <w:r>
        <w:rPr>
          <w:rFonts w:hint="eastAsia" w:eastAsia="宋体"/>
        </w:rPr>
        <w:t>31.46</w:t>
      </w:r>
      <w:r>
        <w:rPr>
          <w:rFonts w:eastAsia="宋体"/>
        </w:rPr>
        <w:t>%。</w:t>
      </w:r>
    </w:p>
    <w:p>
      <w:pPr>
        <w:pStyle w:val="361"/>
        <w:spacing w:line="440" w:lineRule="exact"/>
        <w:ind w:firstLineChars="200"/>
        <w:jc w:val="both"/>
        <w:rPr>
          <w:rFonts w:hint="eastAsia" w:eastAsia="宋体"/>
        </w:rPr>
      </w:pPr>
      <w:r>
        <w:rPr>
          <w:rFonts w:eastAsia="宋体"/>
        </w:rPr>
        <w:t>项目</w:t>
      </w:r>
      <w:r>
        <w:rPr>
          <w:rFonts w:hint="eastAsia" w:eastAsia="宋体"/>
        </w:rPr>
        <w:t>占地范围</w:t>
      </w:r>
      <w:r>
        <w:rPr>
          <w:rFonts w:eastAsia="宋体"/>
        </w:rPr>
        <w:t>内主要植被类型</w:t>
      </w:r>
      <w:r>
        <w:rPr>
          <w:rFonts w:hint="eastAsia" w:eastAsia="宋体"/>
        </w:rPr>
        <w:t>为</w:t>
      </w:r>
      <w:r>
        <w:rPr>
          <w:rFonts w:eastAsia="宋体"/>
        </w:rPr>
        <w:t>无植被区为主，占地面积2.</w:t>
      </w:r>
      <w:r>
        <w:rPr>
          <w:rFonts w:hint="eastAsia" w:eastAsia="宋体"/>
        </w:rPr>
        <w:t>95</w:t>
      </w:r>
      <w:r>
        <w:rPr>
          <w:rFonts w:eastAsia="宋体"/>
        </w:rPr>
        <w:t>hm</w:t>
      </w:r>
      <w:r>
        <w:rPr>
          <w:rFonts w:eastAsia="宋体"/>
          <w:vertAlign w:val="superscript"/>
        </w:rPr>
        <w:t>2</w:t>
      </w:r>
      <w:r>
        <w:rPr>
          <w:rFonts w:eastAsia="宋体"/>
        </w:rPr>
        <w:t>，占</w:t>
      </w:r>
      <w:r>
        <w:rPr>
          <w:rFonts w:hint="eastAsia" w:eastAsia="宋体"/>
        </w:rPr>
        <w:t>项目占地范围</w:t>
      </w:r>
      <w:r>
        <w:rPr>
          <w:rFonts w:eastAsia="宋体"/>
        </w:rPr>
        <w:t>总面积的5</w:t>
      </w:r>
      <w:r>
        <w:rPr>
          <w:rFonts w:hint="eastAsia" w:eastAsia="宋体"/>
        </w:rPr>
        <w:t>6</w:t>
      </w:r>
      <w:r>
        <w:rPr>
          <w:rFonts w:eastAsia="宋体"/>
        </w:rPr>
        <w:t>.</w:t>
      </w:r>
      <w:r>
        <w:rPr>
          <w:rFonts w:hint="eastAsia" w:eastAsia="宋体"/>
        </w:rPr>
        <w:t>73</w:t>
      </w:r>
      <w:r>
        <w:rPr>
          <w:rFonts w:eastAsia="宋体"/>
        </w:rPr>
        <w:t>%</w:t>
      </w:r>
      <w:r>
        <w:rPr>
          <w:rFonts w:hint="eastAsia" w:eastAsia="宋体"/>
        </w:rPr>
        <w:t>；</w:t>
      </w:r>
      <w:r>
        <w:rPr>
          <w:rFonts w:eastAsia="宋体"/>
        </w:rPr>
        <w:t>其余植被类型为农田植被，占地面积2.2</w:t>
      </w:r>
      <w:r>
        <w:rPr>
          <w:rFonts w:hint="eastAsia" w:eastAsia="宋体"/>
        </w:rPr>
        <w:t>5</w:t>
      </w:r>
      <w:r>
        <w:rPr>
          <w:rFonts w:eastAsia="宋体"/>
        </w:rPr>
        <w:t>hm</w:t>
      </w:r>
      <w:r>
        <w:rPr>
          <w:rFonts w:eastAsia="宋体"/>
          <w:vertAlign w:val="superscript"/>
        </w:rPr>
        <w:t>2</w:t>
      </w:r>
      <w:r>
        <w:rPr>
          <w:rFonts w:eastAsia="宋体"/>
        </w:rPr>
        <w:t>，占</w:t>
      </w:r>
      <w:r>
        <w:rPr>
          <w:rFonts w:hint="eastAsia" w:eastAsia="宋体"/>
        </w:rPr>
        <w:t>项目占地范围</w:t>
      </w:r>
      <w:r>
        <w:rPr>
          <w:rFonts w:eastAsia="宋体"/>
        </w:rPr>
        <w:t>总面积的4</w:t>
      </w:r>
      <w:r>
        <w:rPr>
          <w:rFonts w:hint="eastAsia" w:eastAsia="宋体"/>
        </w:rPr>
        <w:t>3</w:t>
      </w:r>
      <w:r>
        <w:rPr>
          <w:rFonts w:eastAsia="宋体"/>
        </w:rPr>
        <w:t>.</w:t>
      </w:r>
      <w:r>
        <w:rPr>
          <w:rFonts w:hint="eastAsia" w:eastAsia="宋体"/>
        </w:rPr>
        <w:t>27</w:t>
      </w:r>
      <w:r>
        <w:rPr>
          <w:rFonts w:eastAsia="宋体"/>
        </w:rPr>
        <w:t>%。</w:t>
      </w:r>
    </w:p>
    <w:p>
      <w:pPr>
        <w:pStyle w:val="361"/>
        <w:spacing w:line="440" w:lineRule="exact"/>
        <w:ind w:firstLineChars="200"/>
        <w:jc w:val="both"/>
        <w:rPr>
          <w:rFonts w:ascii="宋体" w:hAnsi="宋体" w:eastAsia="宋体"/>
        </w:rPr>
      </w:pPr>
      <w:r>
        <w:rPr>
          <w:rFonts w:hint="eastAsia" w:ascii="宋体" w:hAnsi="宋体" w:eastAsia="宋体"/>
        </w:rPr>
        <w:t>评价范围内植被覆盖现状图见图4-4-2。</w:t>
      </w:r>
    </w:p>
    <w:p>
      <w:pPr>
        <w:pStyle w:val="361"/>
        <w:rPr>
          <w:rFonts w:ascii="宋体" w:hAnsi="宋体" w:eastAsia="宋体"/>
        </w:rPr>
      </w:pPr>
      <w:r>
        <w:rPr>
          <w:rFonts w:hint="eastAsia" w:ascii="宋体" w:hAnsi="宋体" w:eastAsia="宋体"/>
        </w:rPr>
        <w:t>（3）植被覆盖现状值</w:t>
      </w:r>
    </w:p>
    <w:p>
      <w:pPr>
        <w:adjustRightInd w:val="0"/>
        <w:snapToGrid w:val="0"/>
        <w:spacing w:line="440" w:lineRule="exact"/>
        <w:ind w:firstLine="480" w:firstLineChars="200"/>
        <w:jc w:val="both"/>
        <w:rPr>
          <w:bCs/>
          <w:snapToGrid w:val="0"/>
          <w:shd w:val="clear" w:color="auto" w:fill="FFFFFF"/>
        </w:rPr>
      </w:pPr>
      <w:r>
        <w:rPr>
          <w:snapToGrid w:val="0"/>
          <w:shd w:val="clear" w:color="auto" w:fill="FFFFFF"/>
        </w:rPr>
        <w:t>评价利用各类型植被的植被覆盖率来表征区域植被覆盖现状</w:t>
      </w:r>
      <w:r>
        <w:rPr>
          <w:rFonts w:hint="eastAsia"/>
          <w:snapToGrid w:val="0"/>
          <w:shd w:val="clear" w:color="auto" w:fill="FFFFFF"/>
        </w:rPr>
        <w:t>。</w:t>
      </w:r>
      <w:r>
        <w:rPr>
          <w:snapToGrid w:val="0"/>
          <w:shd w:val="clear" w:color="auto" w:fill="FFFFFF"/>
        </w:rPr>
        <w:t>本项目评价</w:t>
      </w:r>
      <w:r>
        <w:rPr>
          <w:rFonts w:hint="eastAsia"/>
          <w:snapToGrid w:val="0"/>
          <w:shd w:val="clear" w:color="auto" w:fill="FFFFFF"/>
        </w:rPr>
        <w:t>范围</w:t>
      </w:r>
      <w:r>
        <w:rPr>
          <w:snapToGrid w:val="0"/>
          <w:shd w:val="clear" w:color="auto" w:fill="FFFFFF"/>
        </w:rPr>
        <w:t>内植被覆盖率计算结果见表4</w:t>
      </w:r>
      <w:r>
        <w:rPr>
          <w:rFonts w:hint="eastAsia"/>
          <w:snapToGrid w:val="0"/>
          <w:shd w:val="clear" w:color="auto" w:fill="FFFFFF"/>
        </w:rPr>
        <w:t>.4</w:t>
      </w:r>
      <w:r>
        <w:rPr>
          <w:snapToGrid w:val="0"/>
          <w:shd w:val="clear" w:color="auto" w:fill="FFFFFF"/>
        </w:rPr>
        <w:t>-</w:t>
      </w:r>
      <w:r>
        <w:rPr>
          <w:rFonts w:hint="eastAsia"/>
          <w:snapToGrid w:val="0"/>
          <w:shd w:val="clear" w:color="auto" w:fill="FFFFFF"/>
        </w:rPr>
        <w:t>7。</w:t>
      </w:r>
    </w:p>
    <w:p>
      <w:pPr>
        <w:adjustRightInd w:val="0"/>
        <w:snapToGrid w:val="0"/>
        <w:spacing w:before="120" w:beforeLines="50"/>
        <w:jc w:val="center"/>
        <w:rPr>
          <w:rFonts w:ascii="黑体" w:hAnsi="黑体" w:eastAsia="黑体" w:cs="黑体"/>
          <w:bCs/>
          <w:snapToGrid w:val="0"/>
          <w:sz w:val="21"/>
          <w:szCs w:val="21"/>
          <w:shd w:val="clear" w:color="auto" w:fill="FFFFFF"/>
        </w:rPr>
      </w:pPr>
      <w:r>
        <w:rPr>
          <w:rFonts w:hint="eastAsia" w:ascii="黑体" w:hAnsi="黑体" w:eastAsia="黑体" w:cs="黑体"/>
          <w:bCs/>
          <w:snapToGrid w:val="0"/>
          <w:sz w:val="21"/>
          <w:szCs w:val="21"/>
          <w:shd w:val="clear" w:color="auto" w:fill="FFFFFF"/>
        </w:rPr>
        <w:t>表</w:t>
      </w:r>
      <w:r>
        <w:rPr>
          <w:rFonts w:eastAsia="黑体"/>
          <w:bCs/>
          <w:snapToGrid w:val="0"/>
          <w:sz w:val="21"/>
          <w:szCs w:val="21"/>
          <w:shd w:val="clear" w:color="auto" w:fill="FFFFFF"/>
        </w:rPr>
        <w:t>4.4-7</w:t>
      </w:r>
      <w:r>
        <w:rPr>
          <w:rFonts w:hint="eastAsia" w:ascii="黑体" w:hAnsi="黑体" w:eastAsia="黑体" w:cs="黑体"/>
          <w:snapToGrid w:val="0"/>
          <w:sz w:val="21"/>
          <w:szCs w:val="21"/>
          <w:shd w:val="clear" w:color="auto" w:fill="FFFFFF"/>
        </w:rPr>
        <w:t xml:space="preserve"> </w:t>
      </w:r>
      <w:r>
        <w:rPr>
          <w:rFonts w:hint="eastAsia" w:ascii="黑体" w:hAnsi="黑体" w:eastAsia="黑体" w:cs="黑体"/>
          <w:bCs/>
          <w:snapToGrid w:val="0"/>
          <w:sz w:val="21"/>
          <w:szCs w:val="21"/>
          <w:shd w:val="clear" w:color="auto" w:fill="FFFFFF"/>
        </w:rPr>
        <w:t xml:space="preserve"> 区域植被覆盖率</w:t>
      </w:r>
    </w:p>
    <w:tbl>
      <w:tblPr>
        <w:tblStyle w:val="88"/>
        <w:tblW w:w="50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671"/>
        <w:gridCol w:w="2671"/>
        <w:gridCol w:w="1592"/>
        <w:gridCol w:w="2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467" w:type="pct"/>
            <w:tcBorders>
              <w:tl2br w:val="nil"/>
              <w:tr2bl w:val="nil"/>
            </w:tcBorders>
            <w:vAlign w:val="center"/>
          </w:tcPr>
          <w:p>
            <w:pPr>
              <w:adjustRightInd w:val="0"/>
              <w:snapToGrid w:val="0"/>
              <w:spacing w:line="360" w:lineRule="exact"/>
              <w:jc w:val="center"/>
              <w:rPr>
                <w:sz w:val="21"/>
                <w:szCs w:val="20"/>
              </w:rPr>
            </w:pPr>
            <w:r>
              <w:rPr>
                <w:rFonts w:hint="eastAsia"/>
                <w:sz w:val="21"/>
                <w:szCs w:val="20"/>
              </w:rPr>
              <w:t>类别</w:t>
            </w:r>
          </w:p>
        </w:tc>
        <w:tc>
          <w:tcPr>
            <w:tcW w:w="1467" w:type="pct"/>
            <w:tcBorders>
              <w:tl2br w:val="nil"/>
              <w:tr2bl w:val="nil"/>
            </w:tcBorders>
            <w:vAlign w:val="center"/>
          </w:tcPr>
          <w:p>
            <w:pPr>
              <w:adjustRightInd w:val="0"/>
              <w:snapToGrid w:val="0"/>
              <w:spacing w:line="360" w:lineRule="exact"/>
              <w:jc w:val="center"/>
              <w:rPr>
                <w:sz w:val="21"/>
                <w:szCs w:val="20"/>
              </w:rPr>
            </w:pPr>
            <w:r>
              <w:rPr>
                <w:sz w:val="21"/>
                <w:szCs w:val="20"/>
              </w:rPr>
              <w:t>植被类型</w:t>
            </w:r>
          </w:p>
        </w:tc>
        <w:tc>
          <w:tcPr>
            <w:tcW w:w="874" w:type="pct"/>
            <w:tcBorders>
              <w:tl2br w:val="nil"/>
              <w:tr2bl w:val="nil"/>
            </w:tcBorders>
            <w:tcMar>
              <w:top w:w="15" w:type="dxa"/>
              <w:left w:w="15" w:type="dxa"/>
              <w:bottom w:w="0" w:type="dxa"/>
              <w:right w:w="15" w:type="dxa"/>
            </w:tcMar>
            <w:vAlign w:val="center"/>
          </w:tcPr>
          <w:p>
            <w:pPr>
              <w:adjustRightInd w:val="0"/>
              <w:snapToGrid w:val="0"/>
              <w:spacing w:line="360" w:lineRule="exact"/>
              <w:jc w:val="center"/>
              <w:rPr>
                <w:sz w:val="21"/>
                <w:szCs w:val="20"/>
              </w:rPr>
            </w:pPr>
            <w:r>
              <w:rPr>
                <w:sz w:val="21"/>
                <w:szCs w:val="20"/>
              </w:rPr>
              <w:t>面积</w:t>
            </w:r>
            <w:r>
              <w:rPr>
                <w:rFonts w:hint="eastAsia"/>
                <w:sz w:val="21"/>
                <w:szCs w:val="20"/>
              </w:rPr>
              <w:t>（</w:t>
            </w:r>
            <w:r>
              <w:rPr>
                <w:sz w:val="21"/>
                <w:szCs w:val="20"/>
              </w:rPr>
              <w:t>hm</w:t>
            </w:r>
            <w:r>
              <w:rPr>
                <w:sz w:val="21"/>
                <w:szCs w:val="21"/>
                <w:vertAlign w:val="superscript"/>
              </w:rPr>
              <w:t>2</w:t>
            </w:r>
            <w:r>
              <w:rPr>
                <w:rFonts w:hint="eastAsia"/>
                <w:sz w:val="21"/>
                <w:szCs w:val="20"/>
              </w:rPr>
              <w:t>）</w:t>
            </w:r>
          </w:p>
        </w:tc>
        <w:tc>
          <w:tcPr>
            <w:tcW w:w="1192" w:type="pct"/>
            <w:tcBorders>
              <w:tl2br w:val="nil"/>
              <w:tr2bl w:val="nil"/>
            </w:tcBorders>
            <w:vAlign w:val="center"/>
          </w:tcPr>
          <w:p>
            <w:pPr>
              <w:adjustRightInd w:val="0"/>
              <w:snapToGrid w:val="0"/>
              <w:spacing w:line="360" w:lineRule="exact"/>
              <w:jc w:val="center"/>
              <w:rPr>
                <w:sz w:val="21"/>
                <w:szCs w:val="20"/>
              </w:rPr>
            </w:pPr>
            <w:r>
              <w:rPr>
                <w:sz w:val="21"/>
                <w:szCs w:val="21"/>
              </w:rPr>
              <w:t>植被覆盖率</w:t>
            </w:r>
            <w:r>
              <w:rPr>
                <w:rFonts w:hint="eastAsia"/>
                <w:sz w:val="21"/>
                <w:szCs w:val="21"/>
              </w:rPr>
              <w:t>（</w:t>
            </w:r>
            <w:r>
              <w:rPr>
                <w:sz w:val="21"/>
                <w:szCs w:val="21"/>
              </w:rPr>
              <w:t>%</w:t>
            </w:r>
            <w:r>
              <w:rPr>
                <w:rFonts w:hint="eastAsia"/>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7" w:type="pct"/>
            <w:vMerge w:val="restart"/>
            <w:tcBorders>
              <w:tl2br w:val="nil"/>
              <w:tr2bl w:val="nil"/>
            </w:tcBorders>
            <w:tcMar>
              <w:top w:w="15" w:type="dxa"/>
              <w:left w:w="15" w:type="dxa"/>
              <w:bottom w:w="0" w:type="dxa"/>
              <w:right w:w="15" w:type="dxa"/>
            </w:tcMar>
            <w:vAlign w:val="center"/>
          </w:tcPr>
          <w:p>
            <w:pPr>
              <w:adjustRightInd w:val="0"/>
              <w:snapToGrid w:val="0"/>
              <w:spacing w:line="360" w:lineRule="exact"/>
              <w:jc w:val="center"/>
              <w:rPr>
                <w:sz w:val="21"/>
                <w:szCs w:val="20"/>
              </w:rPr>
            </w:pPr>
            <w:r>
              <w:rPr>
                <w:rFonts w:hint="eastAsia"/>
                <w:sz w:val="21"/>
                <w:szCs w:val="20"/>
              </w:rPr>
              <w:t>评价范围</w:t>
            </w:r>
          </w:p>
        </w:tc>
        <w:tc>
          <w:tcPr>
            <w:tcW w:w="1467" w:type="pct"/>
            <w:tcBorders>
              <w:tl2br w:val="nil"/>
              <w:tr2bl w:val="nil"/>
            </w:tcBorders>
            <w:tcMar>
              <w:top w:w="15" w:type="dxa"/>
              <w:left w:w="15" w:type="dxa"/>
              <w:bottom w:w="0" w:type="dxa"/>
              <w:right w:w="15" w:type="dxa"/>
            </w:tcMar>
            <w:vAlign w:val="center"/>
          </w:tcPr>
          <w:p>
            <w:pPr>
              <w:adjustRightInd w:val="0"/>
              <w:snapToGrid w:val="0"/>
              <w:spacing w:line="360" w:lineRule="exact"/>
              <w:jc w:val="center"/>
              <w:rPr>
                <w:sz w:val="21"/>
                <w:szCs w:val="20"/>
              </w:rPr>
            </w:pPr>
            <w:r>
              <w:rPr>
                <w:sz w:val="21"/>
                <w:szCs w:val="20"/>
              </w:rPr>
              <w:t>农田植被</w:t>
            </w:r>
          </w:p>
        </w:tc>
        <w:tc>
          <w:tcPr>
            <w:tcW w:w="874" w:type="pct"/>
            <w:tcBorders>
              <w:tl2br w:val="nil"/>
              <w:tr2bl w:val="nil"/>
            </w:tcBorders>
            <w:tcMar>
              <w:top w:w="15" w:type="dxa"/>
              <w:left w:w="15" w:type="dxa"/>
              <w:bottom w:w="0" w:type="dxa"/>
              <w:right w:w="15" w:type="dxa"/>
            </w:tcMar>
            <w:vAlign w:val="center"/>
          </w:tcPr>
          <w:p>
            <w:pPr>
              <w:spacing w:line="360" w:lineRule="exact"/>
              <w:jc w:val="center"/>
              <w:rPr>
                <w:sz w:val="21"/>
                <w:szCs w:val="20"/>
              </w:rPr>
            </w:pPr>
            <w:r>
              <w:rPr>
                <w:rFonts w:hint="eastAsia"/>
                <w:color w:val="000000" w:themeColor="text1"/>
                <w:sz w:val="21"/>
                <w:szCs w:val="21"/>
                <w14:textFill>
                  <w14:solidFill>
                    <w14:schemeClr w14:val="tx1"/>
                  </w14:solidFill>
                </w14:textFill>
              </w:rPr>
              <w:t>24.82</w:t>
            </w:r>
          </w:p>
        </w:tc>
        <w:tc>
          <w:tcPr>
            <w:tcW w:w="1192" w:type="pct"/>
            <w:tcBorders>
              <w:tl2br w:val="nil"/>
              <w:tr2bl w:val="nil"/>
            </w:tcBorders>
            <w:vAlign w:val="center"/>
          </w:tcPr>
          <w:p>
            <w:pPr>
              <w:adjustRightInd w:val="0"/>
              <w:snapToGrid w:val="0"/>
              <w:spacing w:line="360" w:lineRule="exact"/>
              <w:jc w:val="center"/>
              <w:rPr>
                <w:sz w:val="21"/>
                <w:szCs w:val="21"/>
              </w:rPr>
            </w:pPr>
            <w:r>
              <w:rPr>
                <w:rFonts w:hint="eastAsia"/>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7" w:type="pct"/>
            <w:vMerge w:val="continue"/>
            <w:tcBorders>
              <w:tl2br w:val="nil"/>
              <w:tr2bl w:val="nil"/>
            </w:tcBorders>
            <w:tcMar>
              <w:top w:w="15" w:type="dxa"/>
              <w:left w:w="15" w:type="dxa"/>
              <w:bottom w:w="0" w:type="dxa"/>
              <w:right w:w="15" w:type="dxa"/>
            </w:tcMar>
            <w:vAlign w:val="center"/>
          </w:tcPr>
          <w:p>
            <w:pPr>
              <w:adjustRightInd w:val="0"/>
              <w:snapToGrid w:val="0"/>
              <w:spacing w:line="360" w:lineRule="exact"/>
              <w:jc w:val="center"/>
              <w:rPr>
                <w:sz w:val="21"/>
                <w:szCs w:val="20"/>
              </w:rPr>
            </w:pPr>
          </w:p>
        </w:tc>
        <w:tc>
          <w:tcPr>
            <w:tcW w:w="1467" w:type="pct"/>
            <w:tcBorders>
              <w:tl2br w:val="nil"/>
              <w:tr2bl w:val="nil"/>
            </w:tcBorders>
            <w:tcMar>
              <w:top w:w="15" w:type="dxa"/>
              <w:left w:w="15" w:type="dxa"/>
              <w:bottom w:w="0" w:type="dxa"/>
              <w:right w:w="15" w:type="dxa"/>
            </w:tcMar>
            <w:vAlign w:val="center"/>
          </w:tcPr>
          <w:p>
            <w:pPr>
              <w:adjustRightInd w:val="0"/>
              <w:snapToGrid w:val="0"/>
              <w:spacing w:line="360" w:lineRule="exact"/>
              <w:jc w:val="center"/>
              <w:rPr>
                <w:sz w:val="21"/>
                <w:szCs w:val="20"/>
              </w:rPr>
            </w:pPr>
            <w:r>
              <w:rPr>
                <w:sz w:val="21"/>
                <w:szCs w:val="20"/>
              </w:rPr>
              <w:t>无植被区域</w:t>
            </w:r>
          </w:p>
        </w:tc>
        <w:tc>
          <w:tcPr>
            <w:tcW w:w="874" w:type="pct"/>
            <w:tcBorders>
              <w:tl2br w:val="nil"/>
              <w:tr2bl w:val="nil"/>
            </w:tcBorders>
            <w:tcMar>
              <w:top w:w="15" w:type="dxa"/>
              <w:left w:w="15" w:type="dxa"/>
              <w:bottom w:w="0" w:type="dxa"/>
              <w:right w:w="15" w:type="dxa"/>
            </w:tcMar>
            <w:vAlign w:val="center"/>
          </w:tcPr>
          <w:p>
            <w:pPr>
              <w:spacing w:line="360" w:lineRule="exact"/>
              <w:jc w:val="center"/>
              <w:rPr>
                <w:sz w:val="21"/>
                <w:szCs w:val="20"/>
              </w:rPr>
            </w:pPr>
            <w:r>
              <w:rPr>
                <w:rFonts w:hint="eastAsia"/>
                <w:color w:val="000000" w:themeColor="text1"/>
                <w:sz w:val="21"/>
                <w:szCs w:val="21"/>
                <w14:textFill>
                  <w14:solidFill>
                    <w14:schemeClr w14:val="tx1"/>
                  </w14:solidFill>
                </w14:textFill>
              </w:rPr>
              <w:t>11.39</w:t>
            </w:r>
          </w:p>
        </w:tc>
        <w:tc>
          <w:tcPr>
            <w:tcW w:w="1192" w:type="pct"/>
            <w:tcBorders>
              <w:tl2br w:val="nil"/>
              <w:tr2bl w:val="nil"/>
            </w:tcBorders>
            <w:vAlign w:val="center"/>
          </w:tcPr>
          <w:p>
            <w:pPr>
              <w:adjustRightInd w:val="0"/>
              <w:snapToGrid w:val="0"/>
              <w:spacing w:line="360" w:lineRule="exact"/>
              <w:jc w:val="center"/>
              <w:rPr>
                <w:sz w:val="21"/>
                <w:szCs w:val="21"/>
              </w:rPr>
            </w:pPr>
            <w:r>
              <w:rPr>
                <w:rFonts w:hint="eastAsia"/>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7" w:type="pct"/>
            <w:vMerge w:val="continue"/>
            <w:tcBorders>
              <w:tl2br w:val="nil"/>
              <w:tr2bl w:val="nil"/>
            </w:tcBorders>
            <w:vAlign w:val="center"/>
          </w:tcPr>
          <w:p>
            <w:pPr>
              <w:adjustRightInd w:val="0"/>
              <w:snapToGrid w:val="0"/>
              <w:spacing w:line="360" w:lineRule="exact"/>
              <w:jc w:val="center"/>
              <w:rPr>
                <w:sz w:val="21"/>
                <w:szCs w:val="20"/>
              </w:rPr>
            </w:pPr>
          </w:p>
        </w:tc>
        <w:tc>
          <w:tcPr>
            <w:tcW w:w="1467" w:type="pct"/>
            <w:tcBorders>
              <w:tl2br w:val="nil"/>
              <w:tr2bl w:val="nil"/>
            </w:tcBorders>
            <w:vAlign w:val="center"/>
          </w:tcPr>
          <w:p>
            <w:pPr>
              <w:adjustRightInd w:val="0"/>
              <w:snapToGrid w:val="0"/>
              <w:spacing w:line="360" w:lineRule="exact"/>
              <w:jc w:val="center"/>
              <w:rPr>
                <w:sz w:val="21"/>
                <w:szCs w:val="20"/>
              </w:rPr>
            </w:pPr>
            <w:r>
              <w:rPr>
                <w:sz w:val="21"/>
                <w:szCs w:val="20"/>
              </w:rPr>
              <w:t>合计</w:t>
            </w:r>
          </w:p>
        </w:tc>
        <w:tc>
          <w:tcPr>
            <w:tcW w:w="874" w:type="pct"/>
            <w:tcBorders>
              <w:tl2br w:val="nil"/>
              <w:tr2bl w:val="nil"/>
            </w:tcBorders>
            <w:tcMar>
              <w:top w:w="15" w:type="dxa"/>
              <w:left w:w="15" w:type="dxa"/>
              <w:bottom w:w="0" w:type="dxa"/>
              <w:right w:w="15" w:type="dxa"/>
            </w:tcMar>
            <w:vAlign w:val="center"/>
          </w:tcPr>
          <w:p>
            <w:pPr>
              <w:spacing w:line="360" w:lineRule="exact"/>
              <w:jc w:val="center"/>
              <w:rPr>
                <w:sz w:val="21"/>
                <w:szCs w:val="20"/>
              </w:rPr>
            </w:pPr>
            <w:r>
              <w:rPr>
                <w:rFonts w:hint="eastAsia"/>
                <w:color w:val="000000" w:themeColor="text1"/>
                <w:sz w:val="21"/>
                <w:szCs w:val="21"/>
                <w14:textFill>
                  <w14:solidFill>
                    <w14:schemeClr w14:val="tx1"/>
                  </w14:solidFill>
                </w14:textFill>
              </w:rPr>
              <w:t>36.21</w:t>
            </w:r>
          </w:p>
        </w:tc>
        <w:tc>
          <w:tcPr>
            <w:tcW w:w="1192" w:type="pct"/>
            <w:tcBorders>
              <w:tl2br w:val="nil"/>
              <w:tr2bl w:val="nil"/>
            </w:tcBorders>
            <w:vAlign w:val="center"/>
          </w:tcPr>
          <w:p>
            <w:pPr>
              <w:adjustRightInd w:val="0"/>
              <w:snapToGrid w:val="0"/>
              <w:spacing w:line="360" w:lineRule="exact"/>
              <w:jc w:val="center"/>
              <w:rPr>
                <w:sz w:val="21"/>
                <w:szCs w:val="20"/>
              </w:rPr>
            </w:pPr>
            <w:r>
              <w:rPr>
                <w:rFonts w:hint="eastAsia"/>
                <w:sz w:val="21"/>
                <w:szCs w:val="20"/>
              </w:rPr>
              <w:t>20.56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7" w:type="pct"/>
            <w:vMerge w:val="restart"/>
            <w:tcBorders>
              <w:tl2br w:val="nil"/>
              <w:tr2bl w:val="nil"/>
            </w:tcBorders>
            <w:vAlign w:val="center"/>
          </w:tcPr>
          <w:p>
            <w:pPr>
              <w:adjustRightInd w:val="0"/>
              <w:snapToGrid w:val="0"/>
              <w:spacing w:line="360" w:lineRule="exact"/>
              <w:jc w:val="center"/>
              <w:rPr>
                <w:sz w:val="21"/>
                <w:szCs w:val="20"/>
              </w:rPr>
            </w:pPr>
            <w:r>
              <w:rPr>
                <w:rFonts w:hint="eastAsia"/>
                <w:sz w:val="21"/>
                <w:szCs w:val="20"/>
              </w:rPr>
              <w:t>项目占地范围</w:t>
            </w:r>
          </w:p>
        </w:tc>
        <w:tc>
          <w:tcPr>
            <w:tcW w:w="1467" w:type="pct"/>
            <w:tcBorders>
              <w:tl2br w:val="nil"/>
              <w:tr2bl w:val="nil"/>
            </w:tcBorders>
            <w:vAlign w:val="center"/>
          </w:tcPr>
          <w:p>
            <w:pPr>
              <w:adjustRightInd w:val="0"/>
              <w:snapToGrid w:val="0"/>
              <w:spacing w:line="360" w:lineRule="exact"/>
              <w:jc w:val="center"/>
              <w:rPr>
                <w:sz w:val="21"/>
                <w:szCs w:val="20"/>
              </w:rPr>
            </w:pPr>
            <w:r>
              <w:rPr>
                <w:sz w:val="21"/>
                <w:szCs w:val="20"/>
              </w:rPr>
              <w:t>农田植被</w:t>
            </w:r>
          </w:p>
        </w:tc>
        <w:tc>
          <w:tcPr>
            <w:tcW w:w="874" w:type="pct"/>
            <w:tcBorders>
              <w:tl2br w:val="nil"/>
              <w:tr2bl w:val="nil"/>
            </w:tcBorders>
            <w:tcMar>
              <w:top w:w="15" w:type="dxa"/>
              <w:left w:w="15" w:type="dxa"/>
              <w:bottom w:w="0" w:type="dxa"/>
              <w:right w:w="15" w:type="dxa"/>
            </w:tcMar>
            <w:vAlign w:val="center"/>
          </w:tcPr>
          <w:p>
            <w:pPr>
              <w:widowControl w:val="0"/>
              <w:adjustRightInd w:val="0"/>
              <w:snapToGrid w:val="0"/>
              <w:spacing w:line="360" w:lineRule="exact"/>
              <w:jc w:val="center"/>
              <w:rPr>
                <w:kern w:val="2"/>
                <w:sz w:val="21"/>
                <w:szCs w:val="20"/>
              </w:rPr>
            </w:pPr>
            <w:r>
              <w:rPr>
                <w:rFonts w:hint="eastAsia"/>
                <w:kern w:val="2"/>
                <w:sz w:val="21"/>
                <w:szCs w:val="20"/>
              </w:rPr>
              <w:t>2.25</w:t>
            </w:r>
          </w:p>
        </w:tc>
        <w:tc>
          <w:tcPr>
            <w:tcW w:w="1192" w:type="pct"/>
            <w:tcBorders>
              <w:tl2br w:val="nil"/>
              <w:tr2bl w:val="nil"/>
            </w:tcBorders>
            <w:vAlign w:val="center"/>
          </w:tcPr>
          <w:p>
            <w:pPr>
              <w:adjustRightInd w:val="0"/>
              <w:snapToGrid w:val="0"/>
              <w:spacing w:line="360" w:lineRule="exact"/>
              <w:jc w:val="center"/>
              <w:rPr>
                <w:sz w:val="21"/>
                <w:szCs w:val="20"/>
              </w:rPr>
            </w:pPr>
            <w:r>
              <w:rPr>
                <w:rFonts w:hint="eastAsia"/>
                <w:sz w:val="21"/>
                <w:szCs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7" w:type="pct"/>
            <w:vMerge w:val="continue"/>
            <w:tcBorders>
              <w:tl2br w:val="nil"/>
              <w:tr2bl w:val="nil"/>
            </w:tcBorders>
            <w:vAlign w:val="center"/>
          </w:tcPr>
          <w:p>
            <w:pPr>
              <w:adjustRightInd w:val="0"/>
              <w:snapToGrid w:val="0"/>
              <w:spacing w:line="360" w:lineRule="exact"/>
              <w:jc w:val="center"/>
              <w:rPr>
                <w:sz w:val="21"/>
                <w:szCs w:val="20"/>
              </w:rPr>
            </w:pPr>
          </w:p>
        </w:tc>
        <w:tc>
          <w:tcPr>
            <w:tcW w:w="1467" w:type="pct"/>
            <w:tcBorders>
              <w:tl2br w:val="nil"/>
              <w:tr2bl w:val="nil"/>
            </w:tcBorders>
            <w:vAlign w:val="center"/>
          </w:tcPr>
          <w:p>
            <w:pPr>
              <w:adjustRightInd w:val="0"/>
              <w:snapToGrid w:val="0"/>
              <w:spacing w:line="360" w:lineRule="exact"/>
              <w:jc w:val="center"/>
              <w:rPr>
                <w:sz w:val="21"/>
                <w:szCs w:val="20"/>
              </w:rPr>
            </w:pPr>
            <w:r>
              <w:rPr>
                <w:sz w:val="21"/>
                <w:szCs w:val="20"/>
              </w:rPr>
              <w:t>无植被区域</w:t>
            </w:r>
          </w:p>
        </w:tc>
        <w:tc>
          <w:tcPr>
            <w:tcW w:w="874" w:type="pct"/>
            <w:tcBorders>
              <w:tl2br w:val="nil"/>
              <w:tr2bl w:val="nil"/>
            </w:tcBorders>
            <w:tcMar>
              <w:top w:w="15" w:type="dxa"/>
              <w:left w:w="15" w:type="dxa"/>
              <w:bottom w:w="0" w:type="dxa"/>
              <w:right w:w="15" w:type="dxa"/>
            </w:tcMar>
            <w:vAlign w:val="center"/>
          </w:tcPr>
          <w:p>
            <w:pPr>
              <w:widowControl w:val="0"/>
              <w:adjustRightInd w:val="0"/>
              <w:snapToGrid w:val="0"/>
              <w:spacing w:line="360" w:lineRule="exact"/>
              <w:jc w:val="center"/>
              <w:rPr>
                <w:kern w:val="2"/>
                <w:sz w:val="21"/>
                <w:szCs w:val="20"/>
              </w:rPr>
            </w:pPr>
            <w:r>
              <w:rPr>
                <w:rFonts w:hint="eastAsia"/>
                <w:kern w:val="2"/>
                <w:sz w:val="21"/>
                <w:szCs w:val="20"/>
              </w:rPr>
              <w:t>2.95</w:t>
            </w:r>
          </w:p>
        </w:tc>
        <w:tc>
          <w:tcPr>
            <w:tcW w:w="1192" w:type="pct"/>
            <w:tcBorders>
              <w:tl2br w:val="nil"/>
              <w:tr2bl w:val="nil"/>
            </w:tcBorders>
            <w:vAlign w:val="center"/>
          </w:tcPr>
          <w:p>
            <w:pPr>
              <w:adjustRightInd w:val="0"/>
              <w:snapToGrid w:val="0"/>
              <w:spacing w:line="360" w:lineRule="exact"/>
              <w:jc w:val="center"/>
              <w:rPr>
                <w:sz w:val="21"/>
                <w:szCs w:val="20"/>
              </w:rPr>
            </w:pPr>
            <w:r>
              <w:rPr>
                <w:rFonts w:hint="eastAsia"/>
                <w:sz w:val="21"/>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7" w:type="pct"/>
            <w:vMerge w:val="continue"/>
            <w:tcBorders>
              <w:tl2br w:val="nil"/>
              <w:tr2bl w:val="nil"/>
            </w:tcBorders>
            <w:vAlign w:val="center"/>
          </w:tcPr>
          <w:p>
            <w:pPr>
              <w:adjustRightInd w:val="0"/>
              <w:snapToGrid w:val="0"/>
              <w:spacing w:line="360" w:lineRule="exact"/>
              <w:jc w:val="center"/>
              <w:rPr>
                <w:sz w:val="21"/>
                <w:szCs w:val="20"/>
              </w:rPr>
            </w:pPr>
          </w:p>
        </w:tc>
        <w:tc>
          <w:tcPr>
            <w:tcW w:w="1467" w:type="pct"/>
            <w:tcBorders>
              <w:tl2br w:val="nil"/>
              <w:tr2bl w:val="nil"/>
            </w:tcBorders>
            <w:vAlign w:val="center"/>
          </w:tcPr>
          <w:p>
            <w:pPr>
              <w:adjustRightInd w:val="0"/>
              <w:snapToGrid w:val="0"/>
              <w:spacing w:line="360" w:lineRule="exact"/>
              <w:jc w:val="center"/>
              <w:rPr>
                <w:sz w:val="21"/>
                <w:szCs w:val="20"/>
              </w:rPr>
            </w:pPr>
            <w:r>
              <w:rPr>
                <w:sz w:val="21"/>
                <w:szCs w:val="20"/>
              </w:rPr>
              <w:t>合计</w:t>
            </w:r>
          </w:p>
        </w:tc>
        <w:tc>
          <w:tcPr>
            <w:tcW w:w="874" w:type="pct"/>
            <w:tcBorders>
              <w:tl2br w:val="nil"/>
              <w:tr2bl w:val="nil"/>
            </w:tcBorders>
            <w:tcMar>
              <w:top w:w="15" w:type="dxa"/>
              <w:left w:w="15" w:type="dxa"/>
              <w:bottom w:w="0" w:type="dxa"/>
              <w:right w:w="15" w:type="dxa"/>
            </w:tcMar>
            <w:vAlign w:val="center"/>
          </w:tcPr>
          <w:p>
            <w:pPr>
              <w:widowControl w:val="0"/>
              <w:adjustRightInd w:val="0"/>
              <w:snapToGrid w:val="0"/>
              <w:spacing w:line="360" w:lineRule="exact"/>
              <w:jc w:val="center"/>
              <w:rPr>
                <w:kern w:val="2"/>
                <w:sz w:val="21"/>
                <w:szCs w:val="20"/>
              </w:rPr>
            </w:pPr>
            <w:r>
              <w:rPr>
                <w:rFonts w:hint="eastAsia"/>
                <w:kern w:val="2"/>
                <w:sz w:val="21"/>
                <w:szCs w:val="20"/>
              </w:rPr>
              <w:t>5.20</w:t>
            </w:r>
          </w:p>
        </w:tc>
        <w:tc>
          <w:tcPr>
            <w:tcW w:w="1192" w:type="pct"/>
            <w:tcBorders>
              <w:tl2br w:val="nil"/>
              <w:tr2bl w:val="nil"/>
            </w:tcBorders>
            <w:vAlign w:val="center"/>
          </w:tcPr>
          <w:p>
            <w:pPr>
              <w:adjustRightInd w:val="0"/>
              <w:snapToGrid w:val="0"/>
              <w:spacing w:line="360" w:lineRule="exact"/>
              <w:jc w:val="center"/>
              <w:rPr>
                <w:sz w:val="21"/>
                <w:szCs w:val="20"/>
              </w:rPr>
            </w:pPr>
            <w:r>
              <w:rPr>
                <w:rFonts w:hint="eastAsia"/>
                <w:sz w:val="21"/>
                <w:szCs w:val="20"/>
              </w:rPr>
              <w:t>12.98</w:t>
            </w:r>
          </w:p>
        </w:tc>
      </w:tr>
    </w:tbl>
    <w:p>
      <w:pPr>
        <w:pStyle w:val="361"/>
        <w:spacing w:line="440" w:lineRule="exact"/>
        <w:ind w:firstLineChars="200"/>
        <w:jc w:val="both"/>
        <w:rPr>
          <w:rFonts w:eastAsia="宋体"/>
        </w:rPr>
      </w:pPr>
      <w:r>
        <w:rPr>
          <w:rFonts w:eastAsia="宋体"/>
        </w:rPr>
        <w:t>通过计算可知</w:t>
      </w:r>
      <w:r>
        <w:rPr>
          <w:rFonts w:hint="eastAsia" w:eastAsia="宋体"/>
        </w:rPr>
        <w:t>，</w:t>
      </w:r>
      <w:r>
        <w:rPr>
          <w:rFonts w:eastAsia="宋体"/>
        </w:rPr>
        <w:t>评价范围</w:t>
      </w:r>
      <w:r>
        <w:rPr>
          <w:rFonts w:hint="eastAsia" w:eastAsia="宋体"/>
        </w:rPr>
        <w:t>内</w:t>
      </w:r>
      <w:r>
        <w:rPr>
          <w:rFonts w:eastAsia="宋体"/>
        </w:rPr>
        <w:t>植被覆盖率为</w:t>
      </w:r>
      <w:r>
        <w:rPr>
          <w:rFonts w:hint="eastAsia" w:eastAsia="宋体"/>
        </w:rPr>
        <w:t>20.56</w:t>
      </w:r>
      <w:r>
        <w:rPr>
          <w:rFonts w:eastAsia="宋体"/>
        </w:rPr>
        <w:t>%</w:t>
      </w:r>
      <w:r>
        <w:rPr>
          <w:rFonts w:hint="eastAsia" w:eastAsia="宋体"/>
        </w:rPr>
        <w:t>，项目占地范围内植被覆盖率为12.98%，</w:t>
      </w:r>
      <w:r>
        <w:rPr>
          <w:rFonts w:eastAsia="宋体"/>
        </w:rPr>
        <w:t>设定</w:t>
      </w:r>
      <w:r>
        <w:rPr>
          <w:rFonts w:hint="eastAsia" w:eastAsia="宋体"/>
        </w:rPr>
        <w:t>农田植被覆盖率为</w:t>
      </w:r>
      <w:r>
        <w:rPr>
          <w:rFonts w:eastAsia="宋体"/>
        </w:rPr>
        <w:t>标定植被覆盖率</w:t>
      </w:r>
      <w:r>
        <w:rPr>
          <w:rFonts w:hint="eastAsia" w:eastAsia="宋体"/>
        </w:rPr>
        <w:t>（30</w:t>
      </w:r>
      <w:r>
        <w:rPr>
          <w:rFonts w:eastAsia="宋体"/>
        </w:rPr>
        <w:t>%</w:t>
      </w:r>
      <w:r>
        <w:rPr>
          <w:rFonts w:hint="eastAsia" w:eastAsia="宋体"/>
        </w:rPr>
        <w:t>），</w:t>
      </w:r>
      <w:r>
        <w:rPr>
          <w:rFonts w:eastAsia="宋体"/>
        </w:rPr>
        <w:t>则本项目</w:t>
      </w:r>
      <w:r>
        <w:rPr>
          <w:rFonts w:hint="eastAsia" w:eastAsia="宋体"/>
        </w:rPr>
        <w:t>评价</w:t>
      </w:r>
      <w:r>
        <w:rPr>
          <w:rFonts w:eastAsia="宋体"/>
        </w:rPr>
        <w:t>范围</w:t>
      </w:r>
      <w:r>
        <w:rPr>
          <w:rFonts w:hint="eastAsia" w:eastAsia="宋体"/>
        </w:rPr>
        <w:t>内</w:t>
      </w:r>
      <w:r>
        <w:rPr>
          <w:rFonts w:eastAsia="宋体"/>
        </w:rPr>
        <w:t>植被覆盖现状值为0.</w:t>
      </w:r>
      <w:r>
        <w:rPr>
          <w:rFonts w:hint="eastAsia" w:eastAsia="宋体"/>
        </w:rPr>
        <w:t>685，项目占地范围内植被覆盖现状值为0.433。</w:t>
      </w:r>
    </w:p>
    <w:p>
      <w:pPr>
        <w:widowControl w:val="0"/>
        <w:adjustRightInd w:val="0"/>
        <w:snapToGrid w:val="0"/>
        <w:spacing w:before="120" w:beforeLines="50" w:after="120" w:afterLines="50" w:line="440" w:lineRule="exact"/>
        <w:ind w:firstLine="482" w:firstLineChars="200"/>
        <w:jc w:val="both"/>
        <w:rPr>
          <w:b/>
          <w:color w:val="FF0000"/>
          <w:kern w:val="2"/>
        </w:rPr>
        <w:sectPr>
          <w:headerReference r:id="rId16" w:type="first"/>
          <w:headerReference r:id="rId15" w:type="default"/>
          <w:pgSz w:w="11907" w:h="16840"/>
          <w:pgMar w:top="1247" w:right="1418" w:bottom="1247" w:left="1418" w:header="992" w:footer="992" w:gutter="0"/>
          <w:cols w:space="425" w:num="1"/>
          <w:docGrid w:linePitch="312" w:charSpace="0"/>
        </w:sectPr>
      </w:pPr>
    </w:p>
    <w:p>
      <w:pPr>
        <w:pStyle w:val="2"/>
        <w:ind w:firstLine="210"/>
        <w:jc w:val="center"/>
        <w:rPr>
          <w:rFonts w:hint="eastAsia" w:eastAsia="宋体"/>
          <w:lang w:eastAsia="zh-CN"/>
        </w:rPr>
      </w:pPr>
      <w:r>
        <w:rPr>
          <w:rFonts w:hint="eastAsia" w:eastAsia="宋体"/>
          <w:lang w:eastAsia="zh-CN"/>
        </w:rPr>
        <w:drawing>
          <wp:inline distT="0" distB="0" distL="114300" distR="114300">
            <wp:extent cx="7713980" cy="5455285"/>
            <wp:effectExtent l="0" t="0" r="1270" b="12065"/>
            <wp:docPr id="48" name="图片 48" descr="植被覆盖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植被覆盖图"/>
                    <pic:cNvPicPr>
                      <a:picLocks noChangeAspect="1"/>
                    </pic:cNvPicPr>
                  </pic:nvPicPr>
                  <pic:blipFill>
                    <a:blip r:embed="rId45"/>
                    <a:stretch>
                      <a:fillRect/>
                    </a:stretch>
                  </pic:blipFill>
                  <pic:spPr>
                    <a:xfrm>
                      <a:off x="0" y="0"/>
                      <a:ext cx="7713980" cy="5455285"/>
                    </a:xfrm>
                    <a:prstGeom prst="rect">
                      <a:avLst/>
                    </a:prstGeom>
                  </pic:spPr>
                </pic:pic>
              </a:graphicData>
            </a:graphic>
          </wp:inline>
        </w:drawing>
      </w:r>
    </w:p>
    <w:p>
      <w:pPr>
        <w:pStyle w:val="2"/>
        <w:ind w:firstLine="240"/>
        <w:jc w:val="center"/>
        <w:rPr>
          <w:sz w:val="24"/>
          <w:szCs w:val="32"/>
        </w:rPr>
        <w:sectPr>
          <w:pgSz w:w="16840" w:h="11907" w:orient="landscape"/>
          <w:pgMar w:top="1418" w:right="1247" w:bottom="1418" w:left="1247" w:header="992" w:footer="992" w:gutter="0"/>
          <w:cols w:space="425" w:num="1"/>
          <w:docGrid w:linePitch="312" w:charSpace="0"/>
        </w:sectPr>
      </w:pPr>
      <w:r>
        <w:rPr>
          <w:rFonts w:hint="eastAsia"/>
          <w:sz w:val="24"/>
          <w:szCs w:val="32"/>
        </w:rPr>
        <w:t>图4-4-2 评价区植被覆盖现状图</w:t>
      </w:r>
    </w:p>
    <w:p>
      <w:pPr>
        <w:widowControl w:val="0"/>
        <w:adjustRightInd w:val="0"/>
        <w:snapToGrid w:val="0"/>
        <w:spacing w:before="120" w:beforeLines="50" w:after="120" w:afterLines="50"/>
        <w:jc w:val="both"/>
        <w:outlineLvl w:val="2"/>
        <w:rPr>
          <w:rFonts w:ascii="宋体" w:hAnsi="宋体"/>
        </w:rPr>
      </w:pPr>
      <w:r>
        <w:rPr>
          <w:b/>
          <w:kern w:val="2"/>
        </w:rPr>
        <w:t>4.</w:t>
      </w:r>
      <w:r>
        <w:rPr>
          <w:rFonts w:hint="eastAsia"/>
          <w:b/>
          <w:kern w:val="2"/>
        </w:rPr>
        <w:t>4</w:t>
      </w:r>
      <w:r>
        <w:rPr>
          <w:b/>
          <w:kern w:val="2"/>
        </w:rPr>
        <w:t>.</w:t>
      </w:r>
      <w:r>
        <w:rPr>
          <w:rFonts w:hint="eastAsia"/>
          <w:b/>
          <w:kern w:val="2"/>
        </w:rPr>
        <w:t>7土壤侵蚀现状调查与评价</w:t>
      </w:r>
    </w:p>
    <w:p>
      <w:pPr>
        <w:pStyle w:val="361"/>
        <w:spacing w:line="440" w:lineRule="exact"/>
        <w:ind w:firstLineChars="200"/>
        <w:jc w:val="both"/>
        <w:rPr>
          <w:rFonts w:ascii="宋体" w:hAnsi="宋体" w:eastAsia="宋体"/>
        </w:rPr>
      </w:pPr>
      <w:r>
        <w:rPr>
          <w:rFonts w:hint="eastAsia" w:ascii="宋体" w:hAnsi="宋体" w:eastAsia="宋体"/>
        </w:rPr>
        <w:t>（1）土壤侵蚀类型分区及土壤侵蚀分类、分级</w:t>
      </w:r>
    </w:p>
    <w:p>
      <w:pPr>
        <w:pStyle w:val="361"/>
        <w:spacing w:line="440" w:lineRule="exact"/>
        <w:ind w:firstLineChars="200"/>
        <w:jc w:val="both"/>
        <w:rPr>
          <w:rFonts w:eastAsia="宋体"/>
        </w:rPr>
      </w:pPr>
      <w:r>
        <w:rPr>
          <w:rFonts w:eastAsia="宋体"/>
        </w:rPr>
        <w:t>根据山西省地貌类型图》、《山西省土壤侵蚀类型图》</w:t>
      </w:r>
      <w:r>
        <w:rPr>
          <w:rFonts w:hint="eastAsia" w:eastAsia="宋体"/>
        </w:rPr>
        <w:t>、</w:t>
      </w:r>
      <w:r>
        <w:rPr>
          <w:rFonts w:eastAsia="宋体"/>
        </w:rPr>
        <w:t>《山西省土壤侵蚀分区图》</w:t>
      </w:r>
      <w:r>
        <w:rPr>
          <w:rFonts w:hint="eastAsia" w:eastAsia="宋体"/>
        </w:rPr>
        <w:t>和</w:t>
      </w:r>
      <w:r>
        <w:rPr>
          <w:rFonts w:eastAsia="宋体"/>
        </w:rPr>
        <w:t>《土壤侵蚀分类分级标准》(SL 190-2007)</w:t>
      </w:r>
      <w:r>
        <w:rPr>
          <w:rFonts w:hint="eastAsia" w:eastAsia="宋体"/>
        </w:rPr>
        <w:t>，确定本项目所在区域为“水力侵蚀类型区---北方土石山区”，区域</w:t>
      </w:r>
      <w:r>
        <w:rPr>
          <w:rFonts w:eastAsia="宋体"/>
        </w:rPr>
        <w:t>容许土壤流失量为200t/</w:t>
      </w:r>
      <w:r>
        <w:rPr>
          <w:rFonts w:hint="eastAsia" w:eastAsia="宋体"/>
        </w:rPr>
        <w:t>(</w:t>
      </w:r>
      <w:r>
        <w:rPr>
          <w:rFonts w:eastAsia="宋体"/>
        </w:rPr>
        <w:t>km</w:t>
      </w:r>
      <w:r>
        <w:rPr>
          <w:rFonts w:eastAsia="宋体"/>
          <w:vertAlign w:val="superscript"/>
        </w:rPr>
        <w:t>2</w:t>
      </w:r>
      <w:r>
        <w:rPr>
          <w:rFonts w:eastAsia="宋体"/>
        </w:rPr>
        <w:t>·a</w:t>
      </w:r>
      <w:r>
        <w:rPr>
          <w:rFonts w:hint="eastAsia" w:eastAsia="宋体"/>
        </w:rPr>
        <w:t>)</w:t>
      </w:r>
      <w:r>
        <w:rPr>
          <w:rFonts w:eastAsia="宋体"/>
        </w:rPr>
        <w:t>。</w:t>
      </w:r>
    </w:p>
    <w:p>
      <w:pPr>
        <w:pStyle w:val="361"/>
        <w:spacing w:line="440" w:lineRule="exact"/>
        <w:ind w:firstLineChars="200"/>
        <w:jc w:val="both"/>
        <w:rPr>
          <w:rFonts w:eastAsia="宋体"/>
        </w:rPr>
      </w:pPr>
      <w:r>
        <w:rPr>
          <w:rFonts w:eastAsia="宋体"/>
        </w:rPr>
        <w:t>土壤</w:t>
      </w:r>
      <w:r>
        <w:rPr>
          <w:rFonts w:hint="eastAsia" w:eastAsia="宋体"/>
        </w:rPr>
        <w:t>水力</w:t>
      </w:r>
      <w:r>
        <w:rPr>
          <w:rFonts w:eastAsia="宋体"/>
        </w:rPr>
        <w:t>侵蚀强度分级标准</w:t>
      </w:r>
      <w:r>
        <w:rPr>
          <w:rFonts w:hint="eastAsia" w:eastAsia="宋体"/>
        </w:rPr>
        <w:t>，</w:t>
      </w:r>
      <w:r>
        <w:rPr>
          <w:rFonts w:eastAsia="宋体"/>
        </w:rPr>
        <w:t>见表4</w:t>
      </w:r>
      <w:r>
        <w:rPr>
          <w:rFonts w:hint="eastAsia" w:eastAsia="宋体"/>
        </w:rPr>
        <w:t>.4</w:t>
      </w:r>
      <w:r>
        <w:rPr>
          <w:rFonts w:eastAsia="宋体"/>
        </w:rPr>
        <w:t>-</w:t>
      </w:r>
      <w:r>
        <w:rPr>
          <w:rFonts w:hint="eastAsia" w:eastAsia="宋体"/>
        </w:rPr>
        <w:t>8。</w:t>
      </w:r>
    </w:p>
    <w:p>
      <w:pPr>
        <w:pStyle w:val="362"/>
        <w:spacing w:before="120"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4.4-8</w:t>
      </w:r>
      <w:r>
        <w:rPr>
          <w:rFonts w:hint="eastAsia" w:ascii="黑体" w:hAnsi="黑体" w:eastAsia="黑体" w:cs="黑体"/>
          <w:sz w:val="21"/>
          <w:szCs w:val="21"/>
        </w:rPr>
        <w:t xml:space="preserve"> 土壤水力侵蚀强度分级表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3500"/>
        <w:gridCol w:w="3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Align w:val="center"/>
          </w:tcPr>
          <w:p>
            <w:pPr>
              <w:pStyle w:val="363"/>
              <w:spacing w:line="360" w:lineRule="exact"/>
              <w:rPr>
                <w:rFonts w:eastAsia="宋体"/>
              </w:rPr>
            </w:pPr>
            <w:r>
              <w:rPr>
                <w:rFonts w:eastAsia="宋体"/>
              </w:rPr>
              <w:t>级别</w:t>
            </w:r>
          </w:p>
        </w:tc>
        <w:tc>
          <w:tcPr>
            <w:tcW w:w="1885" w:type="pct"/>
            <w:vAlign w:val="center"/>
          </w:tcPr>
          <w:p>
            <w:pPr>
              <w:pStyle w:val="363"/>
              <w:spacing w:line="360" w:lineRule="exact"/>
              <w:rPr>
                <w:rFonts w:eastAsia="宋体"/>
              </w:rPr>
            </w:pPr>
            <w:r>
              <w:rPr>
                <w:rFonts w:eastAsia="宋体"/>
              </w:rPr>
              <w:t>平均侵蚀模数[t/</w:t>
            </w:r>
            <w:r>
              <w:rPr>
                <w:rFonts w:hint="eastAsia" w:eastAsia="宋体"/>
              </w:rPr>
              <w:t>（</w:t>
            </w:r>
            <w:r>
              <w:rPr>
                <w:rFonts w:eastAsia="宋体"/>
              </w:rPr>
              <w:t>km</w:t>
            </w:r>
            <w:r>
              <w:rPr>
                <w:rFonts w:eastAsia="宋体"/>
                <w:vertAlign w:val="superscript"/>
              </w:rPr>
              <w:t>2</w:t>
            </w:r>
            <w:r>
              <w:rPr>
                <w:rFonts w:eastAsia="宋体"/>
              </w:rPr>
              <w:t>·a</w:t>
            </w:r>
            <w:r>
              <w:rPr>
                <w:rFonts w:hint="eastAsia" w:eastAsia="宋体"/>
              </w:rPr>
              <w:t>）</w:t>
            </w:r>
            <w:r>
              <w:rPr>
                <w:rFonts w:eastAsia="宋体"/>
              </w:rPr>
              <w:t>]</w:t>
            </w:r>
          </w:p>
        </w:tc>
        <w:tc>
          <w:tcPr>
            <w:tcW w:w="1904" w:type="pct"/>
            <w:vAlign w:val="center"/>
          </w:tcPr>
          <w:p>
            <w:pPr>
              <w:pStyle w:val="363"/>
              <w:spacing w:line="360" w:lineRule="exact"/>
              <w:rPr>
                <w:rFonts w:eastAsia="宋体"/>
              </w:rPr>
            </w:pPr>
            <w:r>
              <w:rPr>
                <w:rFonts w:eastAsia="宋体"/>
              </w:rPr>
              <w:t>平均流失厚度</w:t>
            </w:r>
            <w:r>
              <w:rPr>
                <w:rFonts w:hint="eastAsia" w:eastAsia="宋体"/>
              </w:rPr>
              <w:t>（</w:t>
            </w:r>
            <w:r>
              <w:rPr>
                <w:rFonts w:eastAsia="宋体"/>
              </w:rPr>
              <w:t>mm/a</w:t>
            </w:r>
            <w:r>
              <w:rPr>
                <w:rFonts w:hint="eastAsia"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Align w:val="center"/>
          </w:tcPr>
          <w:p>
            <w:pPr>
              <w:pStyle w:val="363"/>
              <w:spacing w:line="360" w:lineRule="exact"/>
              <w:rPr>
                <w:rFonts w:eastAsia="宋体"/>
              </w:rPr>
            </w:pPr>
            <w:r>
              <w:rPr>
                <w:rFonts w:eastAsia="宋体"/>
              </w:rPr>
              <w:t>微度</w:t>
            </w:r>
          </w:p>
        </w:tc>
        <w:tc>
          <w:tcPr>
            <w:tcW w:w="1885" w:type="pct"/>
            <w:vAlign w:val="center"/>
          </w:tcPr>
          <w:p>
            <w:pPr>
              <w:pStyle w:val="363"/>
              <w:spacing w:line="360" w:lineRule="exact"/>
              <w:rPr>
                <w:rFonts w:eastAsia="宋体"/>
              </w:rPr>
            </w:pPr>
            <w:r>
              <w:rPr>
                <w:rFonts w:eastAsia="宋体"/>
              </w:rPr>
              <w:t>＜1000</w:t>
            </w:r>
          </w:p>
        </w:tc>
        <w:tc>
          <w:tcPr>
            <w:tcW w:w="1904" w:type="pct"/>
            <w:vAlign w:val="center"/>
          </w:tcPr>
          <w:p>
            <w:pPr>
              <w:pStyle w:val="363"/>
              <w:spacing w:line="360" w:lineRule="exact"/>
              <w:rPr>
                <w:rFonts w:eastAsia="宋体"/>
              </w:rPr>
            </w:pPr>
            <w:r>
              <w:rPr>
                <w:rFonts w:eastAsia="宋体"/>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Align w:val="center"/>
          </w:tcPr>
          <w:p>
            <w:pPr>
              <w:pStyle w:val="363"/>
              <w:spacing w:line="360" w:lineRule="exact"/>
              <w:rPr>
                <w:rFonts w:eastAsia="宋体"/>
              </w:rPr>
            </w:pPr>
            <w:r>
              <w:rPr>
                <w:rFonts w:eastAsia="宋体"/>
              </w:rPr>
              <w:t>轻度</w:t>
            </w:r>
          </w:p>
        </w:tc>
        <w:tc>
          <w:tcPr>
            <w:tcW w:w="1885" w:type="pct"/>
            <w:vAlign w:val="center"/>
          </w:tcPr>
          <w:p>
            <w:pPr>
              <w:pStyle w:val="363"/>
              <w:spacing w:line="360" w:lineRule="exact"/>
              <w:rPr>
                <w:rFonts w:eastAsia="宋体"/>
              </w:rPr>
            </w:pPr>
            <w:r>
              <w:rPr>
                <w:rFonts w:eastAsia="宋体"/>
              </w:rPr>
              <w:t>1000～2500</w:t>
            </w:r>
          </w:p>
        </w:tc>
        <w:tc>
          <w:tcPr>
            <w:tcW w:w="1904" w:type="pct"/>
            <w:vAlign w:val="center"/>
          </w:tcPr>
          <w:p>
            <w:pPr>
              <w:pStyle w:val="363"/>
              <w:spacing w:line="360" w:lineRule="exact"/>
              <w:rPr>
                <w:rFonts w:eastAsia="宋体"/>
              </w:rPr>
            </w:pPr>
            <w:r>
              <w:rPr>
                <w:rFonts w:eastAsia="宋体"/>
              </w:rPr>
              <w:t>0.15～1.9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Align w:val="center"/>
          </w:tcPr>
          <w:p>
            <w:pPr>
              <w:pStyle w:val="363"/>
              <w:spacing w:line="360" w:lineRule="exact"/>
              <w:rPr>
                <w:rFonts w:eastAsia="宋体"/>
              </w:rPr>
            </w:pPr>
            <w:r>
              <w:rPr>
                <w:rFonts w:eastAsia="宋体"/>
              </w:rPr>
              <w:t>中度</w:t>
            </w:r>
          </w:p>
        </w:tc>
        <w:tc>
          <w:tcPr>
            <w:tcW w:w="1885" w:type="pct"/>
            <w:vAlign w:val="center"/>
          </w:tcPr>
          <w:p>
            <w:pPr>
              <w:pStyle w:val="363"/>
              <w:spacing w:line="360" w:lineRule="exact"/>
              <w:rPr>
                <w:rFonts w:eastAsia="宋体"/>
              </w:rPr>
            </w:pPr>
            <w:r>
              <w:rPr>
                <w:rFonts w:eastAsia="宋体"/>
              </w:rPr>
              <w:t>2500～5000</w:t>
            </w:r>
          </w:p>
        </w:tc>
        <w:tc>
          <w:tcPr>
            <w:tcW w:w="1904" w:type="pct"/>
            <w:vAlign w:val="center"/>
          </w:tcPr>
          <w:p>
            <w:pPr>
              <w:pStyle w:val="363"/>
              <w:spacing w:line="360" w:lineRule="exact"/>
              <w:rPr>
                <w:rFonts w:eastAsia="宋体"/>
              </w:rPr>
            </w:pPr>
            <w:r>
              <w:rPr>
                <w:rFonts w:eastAsia="宋体"/>
              </w:rPr>
              <w:t>1.9～3.7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Align w:val="center"/>
          </w:tcPr>
          <w:p>
            <w:pPr>
              <w:pStyle w:val="363"/>
              <w:spacing w:line="360" w:lineRule="exact"/>
              <w:rPr>
                <w:rFonts w:eastAsia="宋体"/>
              </w:rPr>
            </w:pPr>
            <w:r>
              <w:rPr>
                <w:rFonts w:eastAsia="宋体"/>
              </w:rPr>
              <w:t>强烈</w:t>
            </w:r>
          </w:p>
        </w:tc>
        <w:tc>
          <w:tcPr>
            <w:tcW w:w="1885" w:type="pct"/>
            <w:vAlign w:val="center"/>
          </w:tcPr>
          <w:p>
            <w:pPr>
              <w:pStyle w:val="363"/>
              <w:spacing w:line="360" w:lineRule="exact"/>
              <w:rPr>
                <w:rFonts w:eastAsia="宋体"/>
              </w:rPr>
            </w:pPr>
            <w:r>
              <w:rPr>
                <w:rFonts w:eastAsia="宋体"/>
              </w:rPr>
              <w:t>5000～8000</w:t>
            </w:r>
          </w:p>
        </w:tc>
        <w:tc>
          <w:tcPr>
            <w:tcW w:w="1904" w:type="pct"/>
            <w:vAlign w:val="center"/>
          </w:tcPr>
          <w:p>
            <w:pPr>
              <w:pStyle w:val="363"/>
              <w:spacing w:line="360" w:lineRule="exact"/>
              <w:rPr>
                <w:rFonts w:eastAsia="宋体"/>
              </w:rPr>
            </w:pPr>
            <w:r>
              <w:rPr>
                <w:rFonts w:eastAsia="宋体"/>
              </w:rPr>
              <w:t>3.7～5.9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Align w:val="center"/>
          </w:tcPr>
          <w:p>
            <w:pPr>
              <w:pStyle w:val="363"/>
              <w:spacing w:line="360" w:lineRule="exact"/>
              <w:rPr>
                <w:rFonts w:eastAsia="宋体"/>
              </w:rPr>
            </w:pPr>
            <w:r>
              <w:rPr>
                <w:rFonts w:eastAsia="宋体"/>
              </w:rPr>
              <w:t>极强烈</w:t>
            </w:r>
          </w:p>
        </w:tc>
        <w:tc>
          <w:tcPr>
            <w:tcW w:w="1885" w:type="pct"/>
            <w:vAlign w:val="center"/>
          </w:tcPr>
          <w:p>
            <w:pPr>
              <w:pStyle w:val="363"/>
              <w:spacing w:line="360" w:lineRule="exact"/>
              <w:rPr>
                <w:rFonts w:eastAsia="宋体"/>
              </w:rPr>
            </w:pPr>
            <w:r>
              <w:rPr>
                <w:rFonts w:eastAsia="宋体"/>
              </w:rPr>
              <w:t>8000～15000</w:t>
            </w:r>
          </w:p>
        </w:tc>
        <w:tc>
          <w:tcPr>
            <w:tcW w:w="1904" w:type="pct"/>
            <w:vAlign w:val="center"/>
          </w:tcPr>
          <w:p>
            <w:pPr>
              <w:pStyle w:val="363"/>
              <w:spacing w:line="360" w:lineRule="exact"/>
              <w:rPr>
                <w:rFonts w:eastAsia="宋体"/>
              </w:rPr>
            </w:pPr>
            <w:r>
              <w:rPr>
                <w:rFonts w:eastAsia="宋体"/>
              </w:rPr>
              <w:t>5.9～11.1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Align w:val="center"/>
          </w:tcPr>
          <w:p>
            <w:pPr>
              <w:pStyle w:val="363"/>
              <w:spacing w:line="360" w:lineRule="exact"/>
              <w:rPr>
                <w:rFonts w:eastAsia="宋体"/>
              </w:rPr>
            </w:pPr>
            <w:r>
              <w:rPr>
                <w:rFonts w:eastAsia="宋体"/>
              </w:rPr>
              <w:t>剧烈</w:t>
            </w:r>
          </w:p>
        </w:tc>
        <w:tc>
          <w:tcPr>
            <w:tcW w:w="1885" w:type="pct"/>
            <w:vAlign w:val="center"/>
          </w:tcPr>
          <w:p>
            <w:pPr>
              <w:pStyle w:val="363"/>
              <w:spacing w:line="360" w:lineRule="exact"/>
              <w:rPr>
                <w:rFonts w:eastAsia="宋体"/>
              </w:rPr>
            </w:pPr>
            <w:r>
              <w:rPr>
                <w:rFonts w:eastAsia="宋体"/>
              </w:rPr>
              <w:t>&gt;15000</w:t>
            </w:r>
          </w:p>
        </w:tc>
        <w:tc>
          <w:tcPr>
            <w:tcW w:w="1904" w:type="pct"/>
            <w:vAlign w:val="center"/>
          </w:tcPr>
          <w:p>
            <w:pPr>
              <w:pStyle w:val="363"/>
              <w:spacing w:line="360" w:lineRule="exact"/>
              <w:rPr>
                <w:rFonts w:eastAsia="宋体"/>
              </w:rPr>
            </w:pPr>
            <w:r>
              <w:rPr>
                <w:rFonts w:eastAsia="宋体"/>
              </w:rPr>
              <w:t>＞11.1</w:t>
            </w:r>
          </w:p>
        </w:tc>
      </w:tr>
    </w:tbl>
    <w:p>
      <w:pPr>
        <w:pStyle w:val="361"/>
        <w:spacing w:line="440" w:lineRule="exact"/>
        <w:ind w:firstLineChars="200"/>
        <w:jc w:val="both"/>
        <w:rPr>
          <w:rFonts w:ascii="宋体" w:hAnsi="宋体" w:eastAsia="宋体"/>
        </w:rPr>
      </w:pPr>
      <w:r>
        <w:rPr>
          <w:rFonts w:hint="eastAsia" w:ascii="宋体" w:hAnsi="宋体" w:eastAsia="宋体"/>
        </w:rPr>
        <w:t>（2）土壤侵蚀现状调查</w:t>
      </w:r>
    </w:p>
    <w:p>
      <w:pPr>
        <w:pStyle w:val="361"/>
        <w:spacing w:line="440" w:lineRule="exact"/>
        <w:ind w:firstLineChars="200"/>
        <w:jc w:val="both"/>
        <w:rPr>
          <w:rFonts w:eastAsia="宋体"/>
        </w:rPr>
      </w:pPr>
      <w:r>
        <w:rPr>
          <w:rFonts w:eastAsia="宋体"/>
        </w:rPr>
        <w:t>根据遥感解析判断</w:t>
      </w:r>
      <w:r>
        <w:rPr>
          <w:rFonts w:hint="eastAsia" w:eastAsia="宋体"/>
        </w:rPr>
        <w:t>，</w:t>
      </w:r>
      <w:r>
        <w:rPr>
          <w:rFonts w:eastAsia="宋体"/>
        </w:rPr>
        <w:t>评价</w:t>
      </w:r>
      <w:r>
        <w:rPr>
          <w:rFonts w:hint="eastAsia" w:eastAsia="宋体"/>
        </w:rPr>
        <w:t>范围</w:t>
      </w:r>
      <w:r>
        <w:rPr>
          <w:rFonts w:eastAsia="宋体"/>
        </w:rPr>
        <w:t>内共有</w:t>
      </w:r>
      <w:r>
        <w:rPr>
          <w:rFonts w:hint="eastAsia" w:eastAsia="宋体"/>
        </w:rPr>
        <w:t>3</w:t>
      </w:r>
      <w:r>
        <w:rPr>
          <w:rFonts w:eastAsia="宋体"/>
        </w:rPr>
        <w:t>种土壤侵蚀类型</w:t>
      </w:r>
      <w:r>
        <w:rPr>
          <w:rFonts w:hint="eastAsia" w:eastAsia="宋体"/>
        </w:rPr>
        <w:t>，</w:t>
      </w:r>
      <w:r>
        <w:rPr>
          <w:rFonts w:eastAsia="宋体"/>
        </w:rPr>
        <w:t>分别</w:t>
      </w:r>
      <w:r>
        <w:rPr>
          <w:rFonts w:hint="eastAsia" w:eastAsia="宋体"/>
        </w:rPr>
        <w:t>为微度侵蚀、</w:t>
      </w:r>
      <w:r>
        <w:rPr>
          <w:rFonts w:eastAsia="宋体"/>
        </w:rPr>
        <w:t>中度侵蚀</w:t>
      </w:r>
      <w:r>
        <w:rPr>
          <w:rFonts w:hint="eastAsia" w:eastAsia="宋体"/>
        </w:rPr>
        <w:t>和</w:t>
      </w:r>
      <w:r>
        <w:rPr>
          <w:rFonts w:eastAsia="宋体"/>
        </w:rPr>
        <w:t>强烈侵蚀</w:t>
      </w:r>
      <w:r>
        <w:rPr>
          <w:rFonts w:hint="eastAsia" w:eastAsia="宋体"/>
        </w:rPr>
        <w:t>。项目占地范围内共有3种土壤侵蚀类型，分别为微度侵蚀、</w:t>
      </w:r>
      <w:r>
        <w:rPr>
          <w:rFonts w:eastAsia="宋体"/>
        </w:rPr>
        <w:t>中度侵蚀</w:t>
      </w:r>
      <w:r>
        <w:rPr>
          <w:rFonts w:hint="eastAsia" w:eastAsia="宋体"/>
        </w:rPr>
        <w:t>和</w:t>
      </w:r>
      <w:r>
        <w:rPr>
          <w:rFonts w:eastAsia="宋体"/>
        </w:rPr>
        <w:t>强烈侵蚀</w:t>
      </w:r>
      <w:r>
        <w:rPr>
          <w:rFonts w:hint="eastAsia" w:eastAsia="宋体"/>
        </w:rPr>
        <w:t>。</w:t>
      </w:r>
    </w:p>
    <w:p>
      <w:pPr>
        <w:pStyle w:val="361"/>
        <w:spacing w:line="440" w:lineRule="exact"/>
        <w:ind w:firstLineChars="200"/>
        <w:jc w:val="both"/>
        <w:rPr>
          <w:rFonts w:eastAsia="宋体"/>
          <w:bCs/>
        </w:rPr>
      </w:pPr>
      <w:r>
        <w:rPr>
          <w:rFonts w:eastAsia="宋体"/>
          <w:bCs/>
        </w:rPr>
        <w:t>评价范围内</w:t>
      </w:r>
      <w:r>
        <w:rPr>
          <w:rFonts w:eastAsia="宋体"/>
        </w:rPr>
        <w:t>土壤侵蚀现状</w:t>
      </w:r>
      <w:r>
        <w:rPr>
          <w:rFonts w:eastAsia="宋体"/>
          <w:bCs/>
        </w:rPr>
        <w:t>统计</w:t>
      </w:r>
      <w:r>
        <w:rPr>
          <w:rFonts w:hint="eastAsia" w:eastAsia="宋体"/>
          <w:bCs/>
        </w:rPr>
        <w:t>情况</w:t>
      </w:r>
      <w:r>
        <w:rPr>
          <w:rFonts w:eastAsia="宋体"/>
          <w:bCs/>
        </w:rPr>
        <w:t>见表</w:t>
      </w:r>
      <w:r>
        <w:rPr>
          <w:rFonts w:eastAsia="宋体"/>
        </w:rPr>
        <w:t>4</w:t>
      </w:r>
      <w:r>
        <w:rPr>
          <w:rFonts w:hint="eastAsia" w:eastAsia="宋体"/>
        </w:rPr>
        <w:t>.</w:t>
      </w:r>
      <w:r>
        <w:rPr>
          <w:rFonts w:eastAsia="宋体"/>
        </w:rPr>
        <w:t>3-</w:t>
      </w:r>
      <w:r>
        <w:rPr>
          <w:rFonts w:hint="eastAsia" w:eastAsia="宋体"/>
        </w:rPr>
        <w:t>9</w:t>
      </w:r>
      <w:r>
        <w:rPr>
          <w:rFonts w:hint="eastAsia" w:eastAsia="宋体"/>
          <w:bCs/>
        </w:rPr>
        <w:t>，项目占地范围内</w:t>
      </w:r>
      <w:r>
        <w:rPr>
          <w:rFonts w:eastAsia="宋体"/>
        </w:rPr>
        <w:t>土壤侵蚀现状</w:t>
      </w:r>
      <w:r>
        <w:rPr>
          <w:rFonts w:eastAsia="宋体"/>
          <w:bCs/>
        </w:rPr>
        <w:t>统计</w:t>
      </w:r>
      <w:r>
        <w:rPr>
          <w:rFonts w:hint="eastAsia" w:eastAsia="宋体"/>
          <w:bCs/>
        </w:rPr>
        <w:t>情况</w:t>
      </w:r>
      <w:r>
        <w:rPr>
          <w:rFonts w:eastAsia="宋体"/>
          <w:bCs/>
        </w:rPr>
        <w:t>见表</w:t>
      </w:r>
      <w:r>
        <w:rPr>
          <w:rFonts w:eastAsia="宋体"/>
        </w:rPr>
        <w:t>4</w:t>
      </w:r>
      <w:r>
        <w:rPr>
          <w:rFonts w:hint="eastAsia" w:eastAsia="宋体"/>
        </w:rPr>
        <w:t>.4-10</w:t>
      </w:r>
      <w:r>
        <w:rPr>
          <w:rFonts w:hint="eastAsia" w:eastAsia="宋体"/>
          <w:bCs/>
        </w:rPr>
        <w:t>。</w:t>
      </w:r>
    </w:p>
    <w:p>
      <w:pPr>
        <w:widowControl w:val="0"/>
        <w:spacing w:before="120" w:beforeLines="50"/>
        <w:jc w:val="center"/>
        <w:rPr>
          <w:rFonts w:ascii="黑体" w:hAnsi="黑体" w:eastAsia="黑体" w:cs="黑体"/>
          <w:bCs/>
          <w:kern w:val="2"/>
        </w:rPr>
      </w:pPr>
      <w:r>
        <w:rPr>
          <w:rFonts w:hint="eastAsia" w:ascii="黑体" w:hAnsi="黑体" w:eastAsia="黑体" w:cs="黑体"/>
          <w:bCs/>
          <w:kern w:val="2"/>
          <w:sz w:val="21"/>
        </w:rPr>
        <w:t>表</w:t>
      </w:r>
      <w:r>
        <w:rPr>
          <w:rFonts w:eastAsia="黑体"/>
          <w:bCs/>
          <w:kern w:val="2"/>
          <w:sz w:val="21"/>
        </w:rPr>
        <w:t>4.4-</w:t>
      </w:r>
      <w:r>
        <w:rPr>
          <w:rFonts w:hint="eastAsia" w:eastAsia="黑体"/>
          <w:bCs/>
          <w:kern w:val="2"/>
          <w:sz w:val="21"/>
        </w:rPr>
        <w:t>9</w:t>
      </w:r>
      <w:r>
        <w:rPr>
          <w:rFonts w:hint="eastAsia" w:ascii="黑体" w:hAnsi="黑体" w:eastAsia="黑体" w:cs="黑体"/>
          <w:bCs/>
          <w:kern w:val="2"/>
          <w:sz w:val="21"/>
        </w:rPr>
        <w:t xml:space="preserve">  评价区土壤侵蚀现状</w:t>
      </w:r>
    </w:p>
    <w:tbl>
      <w:tblPr>
        <w:tblStyle w:val="8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2"/>
        <w:gridCol w:w="2941"/>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2" w:type="pct"/>
            <w:vAlign w:val="center"/>
          </w:tcPr>
          <w:p>
            <w:pPr>
              <w:widowControl w:val="0"/>
              <w:adjustRightInd w:val="0"/>
              <w:snapToGrid w:val="0"/>
              <w:spacing w:line="360" w:lineRule="exact"/>
              <w:jc w:val="center"/>
              <w:rPr>
                <w:kern w:val="2"/>
                <w:sz w:val="21"/>
                <w:szCs w:val="20"/>
              </w:rPr>
            </w:pPr>
            <w:r>
              <w:rPr>
                <w:kern w:val="2"/>
                <w:sz w:val="21"/>
                <w:szCs w:val="20"/>
              </w:rPr>
              <w:t>类型</w:t>
            </w:r>
          </w:p>
        </w:tc>
        <w:tc>
          <w:tcPr>
            <w:tcW w:w="1584" w:type="pct"/>
            <w:vAlign w:val="center"/>
          </w:tcPr>
          <w:p>
            <w:pPr>
              <w:widowControl w:val="0"/>
              <w:adjustRightInd w:val="0"/>
              <w:snapToGrid w:val="0"/>
              <w:spacing w:line="360" w:lineRule="exact"/>
              <w:jc w:val="center"/>
              <w:rPr>
                <w:kern w:val="2"/>
                <w:sz w:val="21"/>
                <w:szCs w:val="20"/>
              </w:rPr>
            </w:pPr>
            <w:r>
              <w:rPr>
                <w:kern w:val="2"/>
                <w:sz w:val="21"/>
                <w:szCs w:val="20"/>
              </w:rPr>
              <w:t>占地</w:t>
            </w:r>
            <w:r>
              <w:rPr>
                <w:rFonts w:hint="eastAsia"/>
                <w:kern w:val="2"/>
                <w:sz w:val="21"/>
                <w:szCs w:val="20"/>
              </w:rPr>
              <w:t>面积</w:t>
            </w:r>
            <w:r>
              <w:rPr>
                <w:kern w:val="2"/>
                <w:sz w:val="21"/>
                <w:szCs w:val="20"/>
              </w:rPr>
              <w:t>(</w:t>
            </w:r>
            <w:r>
              <w:rPr>
                <w:sz w:val="21"/>
                <w:szCs w:val="21"/>
              </w:rPr>
              <w:t>hm</w:t>
            </w:r>
            <w:r>
              <w:rPr>
                <w:sz w:val="21"/>
                <w:szCs w:val="21"/>
                <w:vertAlign w:val="superscript"/>
              </w:rPr>
              <w:t>2</w:t>
            </w:r>
            <w:r>
              <w:rPr>
                <w:kern w:val="2"/>
                <w:sz w:val="21"/>
                <w:szCs w:val="20"/>
              </w:rPr>
              <w:t>)</w:t>
            </w:r>
          </w:p>
        </w:tc>
        <w:tc>
          <w:tcPr>
            <w:tcW w:w="1802" w:type="pct"/>
            <w:vAlign w:val="center"/>
          </w:tcPr>
          <w:p>
            <w:pPr>
              <w:widowControl w:val="0"/>
              <w:adjustRightInd w:val="0"/>
              <w:snapToGrid w:val="0"/>
              <w:spacing w:line="360" w:lineRule="exact"/>
              <w:jc w:val="center"/>
              <w:rPr>
                <w:kern w:val="2"/>
                <w:sz w:val="21"/>
                <w:szCs w:val="20"/>
              </w:rPr>
            </w:pPr>
            <w:r>
              <w:rPr>
                <w:kern w:val="2"/>
                <w:sz w:val="21"/>
                <w:szCs w:val="20"/>
              </w:rPr>
              <w:t>占评价范围(%)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2" w:type="pct"/>
            <w:vAlign w:val="center"/>
          </w:tcPr>
          <w:p>
            <w:pPr>
              <w:pStyle w:val="362"/>
              <w:spacing w:before="0" w:beforeLines="0" w:line="360" w:lineRule="exact"/>
              <w:rPr>
                <w:rFonts w:eastAsia="宋体"/>
                <w:kern w:val="2"/>
                <w:sz w:val="21"/>
                <w:szCs w:val="20"/>
              </w:rPr>
            </w:pPr>
            <w:r>
              <w:rPr>
                <w:rFonts w:hint="eastAsia" w:eastAsia="宋体"/>
                <w:sz w:val="21"/>
                <w:szCs w:val="21"/>
              </w:rPr>
              <w:t>微</w:t>
            </w:r>
            <w:r>
              <w:rPr>
                <w:rFonts w:eastAsia="宋体"/>
                <w:sz w:val="21"/>
                <w:szCs w:val="21"/>
              </w:rPr>
              <w:t>度侵蚀</w:t>
            </w:r>
          </w:p>
        </w:tc>
        <w:tc>
          <w:tcPr>
            <w:tcW w:w="1584" w:type="pct"/>
            <w:vAlign w:val="center"/>
          </w:tcPr>
          <w:p>
            <w:pPr>
              <w:spacing w:line="360" w:lineRule="exact"/>
              <w:jc w:val="center"/>
              <w:textAlignment w:val="center"/>
              <w:rPr>
                <w:kern w:val="2"/>
                <w:sz w:val="21"/>
                <w:szCs w:val="20"/>
              </w:rPr>
            </w:pPr>
            <w:r>
              <w:rPr>
                <w:rFonts w:hint="eastAsia"/>
                <w:sz w:val="22"/>
                <w:szCs w:val="22"/>
                <w:lang w:bidi="ar"/>
              </w:rPr>
              <w:t>2.14</w:t>
            </w:r>
          </w:p>
        </w:tc>
        <w:tc>
          <w:tcPr>
            <w:tcW w:w="1802" w:type="pct"/>
            <w:vAlign w:val="center"/>
          </w:tcPr>
          <w:p>
            <w:pPr>
              <w:widowControl w:val="0"/>
              <w:adjustRightInd w:val="0"/>
              <w:snapToGrid w:val="0"/>
              <w:spacing w:line="360" w:lineRule="exact"/>
              <w:jc w:val="center"/>
              <w:rPr>
                <w:kern w:val="2"/>
                <w:sz w:val="21"/>
                <w:szCs w:val="20"/>
              </w:rPr>
            </w:pPr>
            <w:r>
              <w:rPr>
                <w:rFonts w:hint="eastAsia"/>
                <w:kern w:val="2"/>
                <w:sz w:val="21"/>
                <w:szCs w:val="20"/>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2" w:type="pct"/>
            <w:vAlign w:val="center"/>
          </w:tcPr>
          <w:p>
            <w:pPr>
              <w:pStyle w:val="362"/>
              <w:spacing w:before="0" w:beforeLines="0" w:line="360" w:lineRule="exact"/>
              <w:rPr>
                <w:rFonts w:eastAsia="宋体"/>
                <w:kern w:val="2"/>
                <w:sz w:val="21"/>
                <w:szCs w:val="20"/>
              </w:rPr>
            </w:pPr>
            <w:r>
              <w:rPr>
                <w:rFonts w:hint="eastAsia" w:eastAsia="宋体"/>
                <w:sz w:val="21"/>
                <w:szCs w:val="21"/>
              </w:rPr>
              <w:t>中</w:t>
            </w:r>
            <w:r>
              <w:rPr>
                <w:rFonts w:eastAsia="宋体"/>
                <w:sz w:val="21"/>
                <w:szCs w:val="21"/>
              </w:rPr>
              <w:t>度侵蚀</w:t>
            </w:r>
          </w:p>
        </w:tc>
        <w:tc>
          <w:tcPr>
            <w:tcW w:w="1584" w:type="pct"/>
            <w:vAlign w:val="center"/>
          </w:tcPr>
          <w:p>
            <w:pPr>
              <w:spacing w:line="360" w:lineRule="exact"/>
              <w:jc w:val="center"/>
              <w:textAlignment w:val="center"/>
              <w:rPr>
                <w:kern w:val="2"/>
                <w:sz w:val="21"/>
                <w:szCs w:val="20"/>
              </w:rPr>
            </w:pPr>
            <w:r>
              <w:rPr>
                <w:rFonts w:hint="eastAsia"/>
                <w:sz w:val="22"/>
                <w:szCs w:val="22"/>
                <w:lang w:bidi="ar"/>
              </w:rPr>
              <w:t>24.82</w:t>
            </w:r>
          </w:p>
        </w:tc>
        <w:tc>
          <w:tcPr>
            <w:tcW w:w="1802" w:type="pct"/>
            <w:vAlign w:val="center"/>
          </w:tcPr>
          <w:p>
            <w:pPr>
              <w:widowControl w:val="0"/>
              <w:adjustRightInd w:val="0"/>
              <w:snapToGrid w:val="0"/>
              <w:spacing w:line="360" w:lineRule="exact"/>
              <w:jc w:val="center"/>
              <w:rPr>
                <w:kern w:val="2"/>
                <w:sz w:val="21"/>
                <w:szCs w:val="20"/>
              </w:rPr>
            </w:pPr>
            <w:r>
              <w:rPr>
                <w:rFonts w:hint="eastAsia"/>
                <w:kern w:val="2"/>
                <w:sz w:val="21"/>
                <w:szCs w:val="20"/>
              </w:rPr>
              <w:t>68.54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2" w:type="pct"/>
            <w:vAlign w:val="center"/>
          </w:tcPr>
          <w:p>
            <w:pPr>
              <w:pStyle w:val="362"/>
              <w:spacing w:before="0" w:beforeLines="0" w:line="360" w:lineRule="exact"/>
              <w:rPr>
                <w:rFonts w:eastAsia="宋体"/>
                <w:kern w:val="2"/>
                <w:sz w:val="21"/>
                <w:szCs w:val="20"/>
              </w:rPr>
            </w:pPr>
            <w:r>
              <w:rPr>
                <w:rFonts w:hint="eastAsia" w:eastAsia="宋体"/>
                <w:sz w:val="21"/>
                <w:szCs w:val="21"/>
              </w:rPr>
              <w:t>强烈</w:t>
            </w:r>
            <w:r>
              <w:rPr>
                <w:rFonts w:eastAsia="宋体"/>
                <w:sz w:val="21"/>
                <w:szCs w:val="21"/>
              </w:rPr>
              <w:t>侵蚀</w:t>
            </w:r>
          </w:p>
        </w:tc>
        <w:tc>
          <w:tcPr>
            <w:tcW w:w="1584" w:type="pct"/>
            <w:vAlign w:val="center"/>
          </w:tcPr>
          <w:p>
            <w:pPr>
              <w:spacing w:line="360" w:lineRule="exact"/>
              <w:jc w:val="center"/>
              <w:textAlignment w:val="center"/>
              <w:rPr>
                <w:kern w:val="2"/>
                <w:sz w:val="21"/>
                <w:szCs w:val="20"/>
              </w:rPr>
            </w:pPr>
            <w:r>
              <w:rPr>
                <w:rFonts w:hint="eastAsia"/>
                <w:sz w:val="22"/>
                <w:szCs w:val="22"/>
                <w:lang w:bidi="ar"/>
              </w:rPr>
              <w:t>9.25</w:t>
            </w:r>
          </w:p>
        </w:tc>
        <w:tc>
          <w:tcPr>
            <w:tcW w:w="1802" w:type="pct"/>
            <w:vAlign w:val="center"/>
          </w:tcPr>
          <w:p>
            <w:pPr>
              <w:spacing w:line="360" w:lineRule="exact"/>
              <w:jc w:val="center"/>
              <w:textAlignment w:val="center"/>
              <w:rPr>
                <w:kern w:val="2"/>
                <w:sz w:val="21"/>
                <w:szCs w:val="20"/>
              </w:rPr>
            </w:pPr>
            <w:r>
              <w:rPr>
                <w:rFonts w:hint="eastAsia"/>
                <w:sz w:val="21"/>
                <w:szCs w:val="21"/>
              </w:rPr>
              <w:t>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2" w:type="pct"/>
            <w:vAlign w:val="center"/>
          </w:tcPr>
          <w:p>
            <w:pPr>
              <w:widowControl w:val="0"/>
              <w:adjustRightInd w:val="0"/>
              <w:snapToGrid w:val="0"/>
              <w:spacing w:line="360" w:lineRule="exact"/>
              <w:jc w:val="center"/>
              <w:rPr>
                <w:kern w:val="2"/>
                <w:sz w:val="21"/>
                <w:szCs w:val="20"/>
              </w:rPr>
            </w:pPr>
            <w:r>
              <w:rPr>
                <w:rFonts w:hint="eastAsia"/>
                <w:kern w:val="2"/>
                <w:sz w:val="21"/>
                <w:szCs w:val="20"/>
              </w:rPr>
              <w:t>总计</w:t>
            </w:r>
          </w:p>
        </w:tc>
        <w:tc>
          <w:tcPr>
            <w:tcW w:w="1584" w:type="pct"/>
            <w:vAlign w:val="center"/>
          </w:tcPr>
          <w:p>
            <w:pPr>
              <w:widowControl w:val="0"/>
              <w:adjustRightInd w:val="0"/>
              <w:snapToGrid w:val="0"/>
              <w:spacing w:line="360" w:lineRule="exact"/>
              <w:jc w:val="center"/>
              <w:rPr>
                <w:kern w:val="2"/>
                <w:sz w:val="21"/>
                <w:szCs w:val="20"/>
              </w:rPr>
            </w:pPr>
            <w:r>
              <w:rPr>
                <w:rFonts w:hint="eastAsia"/>
                <w:kern w:val="2"/>
                <w:sz w:val="21"/>
                <w:szCs w:val="20"/>
              </w:rPr>
              <w:t>36.21</w:t>
            </w:r>
          </w:p>
        </w:tc>
        <w:tc>
          <w:tcPr>
            <w:tcW w:w="1802" w:type="pct"/>
            <w:vAlign w:val="center"/>
          </w:tcPr>
          <w:p>
            <w:pPr>
              <w:widowControl w:val="0"/>
              <w:adjustRightInd w:val="0"/>
              <w:snapToGrid w:val="0"/>
              <w:spacing w:line="360" w:lineRule="exact"/>
              <w:jc w:val="center"/>
              <w:rPr>
                <w:kern w:val="2"/>
                <w:sz w:val="21"/>
                <w:szCs w:val="20"/>
              </w:rPr>
            </w:pPr>
            <w:r>
              <w:rPr>
                <w:rFonts w:hint="eastAsia"/>
                <w:kern w:val="2"/>
                <w:sz w:val="21"/>
                <w:szCs w:val="20"/>
              </w:rPr>
              <w:t>100.00</w:t>
            </w:r>
          </w:p>
        </w:tc>
      </w:tr>
    </w:tbl>
    <w:p>
      <w:pPr>
        <w:widowControl w:val="0"/>
        <w:spacing w:before="120" w:beforeLines="50"/>
        <w:jc w:val="center"/>
        <w:rPr>
          <w:rFonts w:ascii="黑体" w:hAnsi="黑体" w:eastAsia="黑体" w:cs="黑体"/>
          <w:bCs/>
          <w:kern w:val="2"/>
        </w:rPr>
      </w:pPr>
      <w:r>
        <w:rPr>
          <w:rFonts w:hint="eastAsia" w:ascii="黑体" w:hAnsi="黑体" w:eastAsia="黑体" w:cs="黑体"/>
          <w:bCs/>
          <w:kern w:val="2"/>
          <w:sz w:val="21"/>
        </w:rPr>
        <w:t>表</w:t>
      </w:r>
      <w:r>
        <w:rPr>
          <w:rFonts w:eastAsia="黑体"/>
          <w:bCs/>
          <w:kern w:val="2"/>
          <w:sz w:val="21"/>
        </w:rPr>
        <w:t>4.4-</w:t>
      </w:r>
      <w:r>
        <w:rPr>
          <w:rFonts w:hint="eastAsia" w:eastAsia="黑体"/>
          <w:bCs/>
          <w:kern w:val="2"/>
          <w:sz w:val="21"/>
        </w:rPr>
        <w:t>10</w:t>
      </w:r>
      <w:r>
        <w:rPr>
          <w:rFonts w:eastAsia="黑体"/>
          <w:bCs/>
          <w:kern w:val="2"/>
          <w:sz w:val="21"/>
        </w:rPr>
        <w:t xml:space="preserve"> </w:t>
      </w:r>
      <w:r>
        <w:rPr>
          <w:rFonts w:hint="eastAsia" w:ascii="黑体" w:hAnsi="黑体" w:eastAsia="黑体" w:cs="黑体"/>
          <w:bCs/>
          <w:kern w:val="2"/>
          <w:sz w:val="21"/>
        </w:rPr>
        <w:t xml:space="preserve">  项目占地范围内土壤侵蚀现状</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5"/>
        <w:gridCol w:w="2919"/>
        <w:gridCol w:w="3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8" w:type="pct"/>
            <w:vAlign w:val="center"/>
          </w:tcPr>
          <w:p>
            <w:pPr>
              <w:widowControl w:val="0"/>
              <w:adjustRightInd w:val="0"/>
              <w:snapToGrid w:val="0"/>
              <w:spacing w:line="360" w:lineRule="exact"/>
              <w:jc w:val="center"/>
              <w:rPr>
                <w:kern w:val="2"/>
                <w:sz w:val="21"/>
                <w:szCs w:val="20"/>
              </w:rPr>
            </w:pPr>
            <w:r>
              <w:rPr>
                <w:kern w:val="2"/>
                <w:sz w:val="21"/>
                <w:szCs w:val="20"/>
              </w:rPr>
              <w:t>类型</w:t>
            </w:r>
          </w:p>
        </w:tc>
        <w:tc>
          <w:tcPr>
            <w:tcW w:w="1572" w:type="pct"/>
            <w:vAlign w:val="center"/>
          </w:tcPr>
          <w:p>
            <w:pPr>
              <w:widowControl w:val="0"/>
              <w:adjustRightInd w:val="0"/>
              <w:snapToGrid w:val="0"/>
              <w:spacing w:line="360" w:lineRule="exact"/>
              <w:jc w:val="center"/>
              <w:rPr>
                <w:kern w:val="2"/>
                <w:sz w:val="21"/>
                <w:szCs w:val="20"/>
              </w:rPr>
            </w:pPr>
            <w:r>
              <w:rPr>
                <w:kern w:val="2"/>
                <w:sz w:val="21"/>
                <w:szCs w:val="20"/>
              </w:rPr>
              <w:t>占地</w:t>
            </w:r>
            <w:r>
              <w:rPr>
                <w:rFonts w:hint="eastAsia"/>
                <w:kern w:val="2"/>
                <w:sz w:val="21"/>
                <w:szCs w:val="20"/>
              </w:rPr>
              <w:t>面积</w:t>
            </w:r>
            <w:r>
              <w:rPr>
                <w:kern w:val="2"/>
                <w:sz w:val="21"/>
                <w:szCs w:val="20"/>
              </w:rPr>
              <w:t>(</w:t>
            </w:r>
            <w:r>
              <w:rPr>
                <w:sz w:val="21"/>
                <w:szCs w:val="21"/>
              </w:rPr>
              <w:t>hm</w:t>
            </w:r>
            <w:r>
              <w:rPr>
                <w:sz w:val="21"/>
                <w:szCs w:val="21"/>
                <w:vertAlign w:val="superscript"/>
              </w:rPr>
              <w:t>2</w:t>
            </w:r>
            <w:r>
              <w:rPr>
                <w:kern w:val="2"/>
                <w:sz w:val="21"/>
                <w:szCs w:val="20"/>
              </w:rPr>
              <w:t>)</w:t>
            </w:r>
          </w:p>
        </w:tc>
        <w:tc>
          <w:tcPr>
            <w:tcW w:w="1820" w:type="pct"/>
            <w:vAlign w:val="center"/>
          </w:tcPr>
          <w:p>
            <w:pPr>
              <w:widowControl w:val="0"/>
              <w:adjustRightInd w:val="0"/>
              <w:snapToGrid w:val="0"/>
              <w:spacing w:line="360" w:lineRule="exact"/>
              <w:jc w:val="center"/>
              <w:rPr>
                <w:kern w:val="2"/>
                <w:sz w:val="21"/>
                <w:szCs w:val="20"/>
              </w:rPr>
            </w:pPr>
            <w:r>
              <w:rPr>
                <w:kern w:val="2"/>
                <w:sz w:val="21"/>
                <w:szCs w:val="20"/>
              </w:rPr>
              <w:t>占</w:t>
            </w:r>
            <w:r>
              <w:rPr>
                <w:rFonts w:hint="eastAsia"/>
                <w:kern w:val="2"/>
                <w:sz w:val="21"/>
                <w:szCs w:val="20"/>
              </w:rPr>
              <w:t>项目占地范围</w:t>
            </w:r>
            <w:r>
              <w:rPr>
                <w:kern w:val="2"/>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8" w:type="pct"/>
            <w:vAlign w:val="center"/>
          </w:tcPr>
          <w:p>
            <w:pPr>
              <w:pStyle w:val="362"/>
              <w:spacing w:before="0" w:beforeLines="0" w:line="360" w:lineRule="exact"/>
              <w:rPr>
                <w:rFonts w:eastAsia="宋体"/>
                <w:kern w:val="2"/>
                <w:sz w:val="21"/>
                <w:szCs w:val="20"/>
              </w:rPr>
            </w:pPr>
            <w:r>
              <w:rPr>
                <w:rFonts w:hint="eastAsia" w:eastAsia="宋体"/>
                <w:sz w:val="21"/>
                <w:szCs w:val="21"/>
              </w:rPr>
              <w:t>微</w:t>
            </w:r>
            <w:r>
              <w:rPr>
                <w:rFonts w:eastAsia="宋体"/>
                <w:sz w:val="21"/>
                <w:szCs w:val="21"/>
              </w:rPr>
              <w:t>度侵蚀</w:t>
            </w:r>
          </w:p>
        </w:tc>
        <w:tc>
          <w:tcPr>
            <w:tcW w:w="1572" w:type="pct"/>
            <w:vAlign w:val="center"/>
          </w:tcPr>
          <w:p>
            <w:pPr>
              <w:spacing w:line="360" w:lineRule="exact"/>
              <w:jc w:val="center"/>
              <w:textAlignment w:val="center"/>
              <w:rPr>
                <w:kern w:val="2"/>
                <w:sz w:val="21"/>
                <w:szCs w:val="20"/>
              </w:rPr>
            </w:pPr>
            <w:r>
              <w:rPr>
                <w:rFonts w:hint="eastAsia"/>
                <w:sz w:val="22"/>
                <w:szCs w:val="22"/>
                <w:lang w:bidi="ar"/>
              </w:rPr>
              <w:t>0.09</w:t>
            </w:r>
          </w:p>
        </w:tc>
        <w:tc>
          <w:tcPr>
            <w:tcW w:w="1820" w:type="pct"/>
            <w:vAlign w:val="center"/>
          </w:tcPr>
          <w:p>
            <w:pPr>
              <w:spacing w:line="360" w:lineRule="exact"/>
              <w:jc w:val="center"/>
              <w:textAlignment w:val="center"/>
              <w:rPr>
                <w:kern w:val="2"/>
                <w:sz w:val="21"/>
                <w:szCs w:val="20"/>
              </w:rPr>
            </w:pPr>
            <w:r>
              <w:rPr>
                <w:rFonts w:hint="eastAsia"/>
                <w:sz w:val="21"/>
                <w:szCs w:val="21"/>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8" w:type="pct"/>
            <w:vAlign w:val="center"/>
          </w:tcPr>
          <w:p>
            <w:pPr>
              <w:pStyle w:val="362"/>
              <w:spacing w:before="0" w:beforeLines="0" w:line="360" w:lineRule="exact"/>
              <w:rPr>
                <w:rFonts w:eastAsia="宋体"/>
                <w:kern w:val="2"/>
                <w:sz w:val="21"/>
                <w:szCs w:val="20"/>
              </w:rPr>
            </w:pPr>
            <w:r>
              <w:rPr>
                <w:rFonts w:hint="eastAsia" w:eastAsia="宋体"/>
                <w:sz w:val="21"/>
                <w:szCs w:val="21"/>
              </w:rPr>
              <w:t>中</w:t>
            </w:r>
            <w:r>
              <w:rPr>
                <w:rFonts w:eastAsia="宋体"/>
                <w:sz w:val="21"/>
                <w:szCs w:val="21"/>
              </w:rPr>
              <w:t>度侵蚀</w:t>
            </w:r>
          </w:p>
        </w:tc>
        <w:tc>
          <w:tcPr>
            <w:tcW w:w="1572" w:type="pct"/>
            <w:vAlign w:val="center"/>
          </w:tcPr>
          <w:p>
            <w:pPr>
              <w:spacing w:line="360" w:lineRule="exact"/>
              <w:jc w:val="center"/>
              <w:textAlignment w:val="center"/>
              <w:rPr>
                <w:rFonts w:hint="eastAsia"/>
                <w:sz w:val="22"/>
                <w:szCs w:val="22"/>
                <w:lang w:bidi="ar"/>
              </w:rPr>
            </w:pPr>
            <w:r>
              <w:rPr>
                <w:rFonts w:hint="eastAsia"/>
                <w:sz w:val="22"/>
                <w:szCs w:val="22"/>
                <w:lang w:bidi="ar"/>
              </w:rPr>
              <w:t>2.25</w:t>
            </w:r>
          </w:p>
        </w:tc>
        <w:tc>
          <w:tcPr>
            <w:tcW w:w="1820" w:type="pct"/>
            <w:vAlign w:val="center"/>
          </w:tcPr>
          <w:p>
            <w:pPr>
              <w:spacing w:line="360" w:lineRule="exact"/>
              <w:jc w:val="center"/>
              <w:textAlignment w:val="center"/>
              <w:rPr>
                <w:rFonts w:hint="eastAsia"/>
                <w:sz w:val="21"/>
                <w:szCs w:val="21"/>
              </w:rPr>
            </w:pPr>
            <w:r>
              <w:rPr>
                <w:rFonts w:hint="eastAsia"/>
                <w:sz w:val="21"/>
                <w:szCs w:val="21"/>
              </w:rPr>
              <w:t>43.27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8" w:type="pct"/>
            <w:vAlign w:val="center"/>
          </w:tcPr>
          <w:p>
            <w:pPr>
              <w:pStyle w:val="362"/>
              <w:spacing w:before="0" w:beforeLines="0" w:line="360" w:lineRule="exact"/>
              <w:rPr>
                <w:rFonts w:eastAsia="宋体"/>
                <w:kern w:val="2"/>
                <w:sz w:val="21"/>
                <w:szCs w:val="20"/>
              </w:rPr>
            </w:pPr>
            <w:r>
              <w:rPr>
                <w:rFonts w:hint="eastAsia" w:eastAsia="宋体"/>
                <w:sz w:val="21"/>
                <w:szCs w:val="21"/>
              </w:rPr>
              <w:t>强烈</w:t>
            </w:r>
            <w:r>
              <w:rPr>
                <w:rFonts w:eastAsia="宋体"/>
                <w:sz w:val="21"/>
                <w:szCs w:val="21"/>
              </w:rPr>
              <w:t>侵蚀</w:t>
            </w:r>
          </w:p>
        </w:tc>
        <w:tc>
          <w:tcPr>
            <w:tcW w:w="1572" w:type="pct"/>
            <w:vAlign w:val="center"/>
          </w:tcPr>
          <w:p>
            <w:pPr>
              <w:spacing w:line="360" w:lineRule="exact"/>
              <w:jc w:val="center"/>
              <w:textAlignment w:val="center"/>
              <w:rPr>
                <w:kern w:val="2"/>
                <w:sz w:val="21"/>
                <w:szCs w:val="20"/>
              </w:rPr>
            </w:pPr>
            <w:r>
              <w:rPr>
                <w:rFonts w:hint="eastAsia"/>
                <w:sz w:val="22"/>
                <w:szCs w:val="22"/>
                <w:lang w:bidi="ar"/>
              </w:rPr>
              <w:t>2.86</w:t>
            </w:r>
          </w:p>
        </w:tc>
        <w:tc>
          <w:tcPr>
            <w:tcW w:w="1820" w:type="pct"/>
            <w:vAlign w:val="center"/>
          </w:tcPr>
          <w:p>
            <w:pPr>
              <w:spacing w:line="360" w:lineRule="exact"/>
              <w:jc w:val="center"/>
              <w:textAlignment w:val="center"/>
              <w:rPr>
                <w:kern w:val="2"/>
                <w:sz w:val="21"/>
                <w:szCs w:val="20"/>
              </w:rPr>
            </w:pPr>
            <w:r>
              <w:rPr>
                <w:rFonts w:hint="eastAsia"/>
                <w:sz w:val="21"/>
                <w:szCs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8" w:type="pct"/>
            <w:vAlign w:val="center"/>
          </w:tcPr>
          <w:p>
            <w:pPr>
              <w:widowControl w:val="0"/>
              <w:adjustRightInd w:val="0"/>
              <w:snapToGrid w:val="0"/>
              <w:spacing w:line="360" w:lineRule="exact"/>
              <w:jc w:val="center"/>
              <w:rPr>
                <w:kern w:val="2"/>
                <w:sz w:val="21"/>
                <w:szCs w:val="20"/>
              </w:rPr>
            </w:pPr>
            <w:r>
              <w:rPr>
                <w:rFonts w:hint="eastAsia"/>
                <w:kern w:val="2"/>
                <w:sz w:val="21"/>
                <w:szCs w:val="20"/>
              </w:rPr>
              <w:t>总计</w:t>
            </w:r>
          </w:p>
        </w:tc>
        <w:tc>
          <w:tcPr>
            <w:tcW w:w="1572" w:type="pct"/>
            <w:vAlign w:val="center"/>
          </w:tcPr>
          <w:p>
            <w:pPr>
              <w:widowControl w:val="0"/>
              <w:adjustRightInd w:val="0"/>
              <w:snapToGrid w:val="0"/>
              <w:spacing w:line="360" w:lineRule="exact"/>
              <w:jc w:val="center"/>
              <w:rPr>
                <w:kern w:val="2"/>
                <w:sz w:val="21"/>
                <w:szCs w:val="20"/>
              </w:rPr>
            </w:pPr>
            <w:r>
              <w:rPr>
                <w:rFonts w:hint="eastAsia"/>
                <w:kern w:val="2"/>
                <w:sz w:val="21"/>
                <w:szCs w:val="20"/>
              </w:rPr>
              <w:t>5.20</w:t>
            </w:r>
          </w:p>
        </w:tc>
        <w:tc>
          <w:tcPr>
            <w:tcW w:w="1820" w:type="pct"/>
            <w:vAlign w:val="center"/>
          </w:tcPr>
          <w:p>
            <w:pPr>
              <w:widowControl w:val="0"/>
              <w:adjustRightInd w:val="0"/>
              <w:snapToGrid w:val="0"/>
              <w:spacing w:line="360" w:lineRule="exact"/>
              <w:jc w:val="center"/>
              <w:rPr>
                <w:kern w:val="2"/>
                <w:sz w:val="21"/>
                <w:szCs w:val="20"/>
              </w:rPr>
            </w:pPr>
            <w:r>
              <w:rPr>
                <w:rFonts w:hint="eastAsia"/>
                <w:kern w:val="2"/>
                <w:sz w:val="21"/>
                <w:szCs w:val="20"/>
              </w:rPr>
              <w:t>100</w:t>
            </w:r>
          </w:p>
        </w:tc>
      </w:tr>
    </w:tbl>
    <w:p>
      <w:pPr>
        <w:pStyle w:val="361"/>
        <w:spacing w:line="440" w:lineRule="exact"/>
        <w:ind w:firstLineChars="200"/>
        <w:jc w:val="both"/>
        <w:rPr>
          <w:rFonts w:ascii="宋体" w:hAnsi="宋体" w:eastAsia="宋体"/>
        </w:rPr>
      </w:pPr>
      <w:r>
        <w:rPr>
          <w:rFonts w:hint="eastAsia" w:ascii="宋体" w:hAnsi="宋体" w:eastAsia="宋体"/>
        </w:rPr>
        <w:t>（3）土壤侵蚀现状评价</w:t>
      </w:r>
    </w:p>
    <w:p>
      <w:pPr>
        <w:pStyle w:val="361"/>
        <w:spacing w:line="440" w:lineRule="exact"/>
        <w:ind w:firstLineChars="200"/>
        <w:jc w:val="both"/>
        <w:rPr>
          <w:rFonts w:eastAsia="宋体"/>
        </w:rPr>
      </w:pPr>
      <w:r>
        <w:rPr>
          <w:rFonts w:eastAsia="宋体"/>
        </w:rPr>
        <w:t>评价范围内土壤侵蚀以</w:t>
      </w:r>
      <w:r>
        <w:rPr>
          <w:rFonts w:hint="eastAsia" w:eastAsia="宋体"/>
        </w:rPr>
        <w:t>中</w:t>
      </w:r>
      <w:r>
        <w:rPr>
          <w:rFonts w:eastAsia="宋体"/>
        </w:rPr>
        <w:t>度侵蚀分布最广</w:t>
      </w:r>
      <w:r>
        <w:rPr>
          <w:rFonts w:hint="eastAsia" w:eastAsia="宋体"/>
        </w:rPr>
        <w:t>，分散</w:t>
      </w:r>
      <w:r>
        <w:rPr>
          <w:rFonts w:eastAsia="宋体"/>
        </w:rPr>
        <w:t>分布于评价区</w:t>
      </w:r>
      <w:r>
        <w:rPr>
          <w:rFonts w:hint="eastAsia" w:eastAsia="宋体"/>
        </w:rPr>
        <w:t>，</w:t>
      </w:r>
      <w:r>
        <w:rPr>
          <w:rFonts w:eastAsia="宋体"/>
        </w:rPr>
        <w:t>占</w:t>
      </w:r>
      <w:r>
        <w:rPr>
          <w:rFonts w:hint="eastAsia" w:eastAsia="宋体"/>
        </w:rPr>
        <w:t>评价区</w:t>
      </w:r>
      <w:r>
        <w:rPr>
          <w:rFonts w:eastAsia="宋体"/>
        </w:rPr>
        <w:t>总面积</w:t>
      </w:r>
      <w:r>
        <w:rPr>
          <w:rFonts w:hint="eastAsia" w:eastAsia="宋体"/>
        </w:rPr>
        <w:t>68.54</w:t>
      </w:r>
      <w:r>
        <w:rPr>
          <w:rFonts w:eastAsia="宋体"/>
        </w:rPr>
        <w:t xml:space="preserve"> %</w:t>
      </w:r>
      <w:r>
        <w:rPr>
          <w:rFonts w:hint="eastAsia" w:eastAsia="宋体"/>
        </w:rPr>
        <w:t>；</w:t>
      </w:r>
      <w:r>
        <w:rPr>
          <w:rFonts w:eastAsia="宋体"/>
        </w:rPr>
        <w:t>其次为</w:t>
      </w:r>
      <w:r>
        <w:rPr>
          <w:rFonts w:hint="eastAsia" w:eastAsia="宋体"/>
        </w:rPr>
        <w:t>强烈</w:t>
      </w:r>
      <w:r>
        <w:rPr>
          <w:rFonts w:eastAsia="宋体"/>
        </w:rPr>
        <w:t>侵蚀</w:t>
      </w:r>
      <w:r>
        <w:rPr>
          <w:rFonts w:hint="eastAsia" w:eastAsia="宋体"/>
        </w:rPr>
        <w:t>，</w:t>
      </w:r>
      <w:r>
        <w:rPr>
          <w:rFonts w:eastAsia="宋体"/>
        </w:rPr>
        <w:t>占</w:t>
      </w:r>
      <w:r>
        <w:rPr>
          <w:rFonts w:hint="eastAsia" w:eastAsia="宋体"/>
        </w:rPr>
        <w:t>评价区</w:t>
      </w:r>
      <w:r>
        <w:rPr>
          <w:rFonts w:eastAsia="宋体"/>
        </w:rPr>
        <w:t>总面积的</w:t>
      </w:r>
      <w:r>
        <w:rPr>
          <w:rFonts w:hint="eastAsia" w:eastAsia="宋体"/>
        </w:rPr>
        <w:t>25.55</w:t>
      </w:r>
      <w:r>
        <w:rPr>
          <w:rFonts w:eastAsia="宋体"/>
        </w:rPr>
        <w:t>%</w:t>
      </w:r>
      <w:r>
        <w:rPr>
          <w:rFonts w:hint="eastAsia" w:eastAsia="宋体"/>
        </w:rPr>
        <w:t>；微度侵蚀主要分布于评价区南侧侧，占评价区总面积的5.91%。</w:t>
      </w:r>
    </w:p>
    <w:p>
      <w:pPr>
        <w:pStyle w:val="361"/>
        <w:spacing w:line="440" w:lineRule="exact"/>
        <w:ind w:firstLineChars="200"/>
        <w:jc w:val="both"/>
        <w:rPr>
          <w:rFonts w:hint="eastAsia" w:eastAsia="宋体"/>
        </w:rPr>
      </w:pPr>
      <w:r>
        <w:rPr>
          <w:rFonts w:hint="eastAsia" w:eastAsia="宋体"/>
        </w:rPr>
        <w:t>项目占地范围</w:t>
      </w:r>
      <w:r>
        <w:rPr>
          <w:rFonts w:eastAsia="宋体"/>
        </w:rPr>
        <w:t>内</w:t>
      </w:r>
      <w:r>
        <w:rPr>
          <w:rFonts w:hint="eastAsia" w:eastAsia="宋体"/>
        </w:rPr>
        <w:t>土壤侵蚀以强烈侵蚀为主，占项目占地范围总面积的55%；其次为中度侵蚀，占项目占地范围总面积的43.27%；微度侵蚀占地面积0.09hm</w:t>
      </w:r>
      <w:r>
        <w:rPr>
          <w:rFonts w:hint="eastAsia" w:eastAsia="宋体"/>
          <w:vertAlign w:val="superscript"/>
        </w:rPr>
        <w:t>2</w:t>
      </w:r>
      <w:r>
        <w:rPr>
          <w:rFonts w:hint="eastAsia" w:eastAsia="宋体"/>
        </w:rPr>
        <w:t>，占项目占地范围总面积的1.73%；</w:t>
      </w:r>
    </w:p>
    <w:p>
      <w:pPr>
        <w:pStyle w:val="361"/>
        <w:spacing w:line="440" w:lineRule="exact"/>
        <w:ind w:firstLineChars="200"/>
        <w:jc w:val="both"/>
        <w:rPr>
          <w:rFonts w:ascii="宋体" w:hAnsi="宋体" w:eastAsia="宋体"/>
        </w:rPr>
      </w:pPr>
      <w:r>
        <w:rPr>
          <w:rFonts w:eastAsia="宋体"/>
        </w:rPr>
        <w:t>评价区土壤侵蚀</w:t>
      </w:r>
      <w:r>
        <w:rPr>
          <w:rFonts w:eastAsia="宋体"/>
          <w:bCs/>
        </w:rPr>
        <w:t>现状图见图4-</w:t>
      </w:r>
      <w:r>
        <w:rPr>
          <w:rFonts w:hint="eastAsia" w:eastAsia="宋体"/>
          <w:bCs/>
        </w:rPr>
        <w:t>4</w:t>
      </w:r>
      <w:r>
        <w:rPr>
          <w:rFonts w:eastAsia="宋体"/>
          <w:bCs/>
        </w:rPr>
        <w:t>-</w:t>
      </w:r>
      <w:r>
        <w:rPr>
          <w:rFonts w:hint="eastAsia" w:eastAsia="宋体"/>
          <w:bCs/>
        </w:rPr>
        <w:t>3。</w:t>
      </w:r>
    </w:p>
    <w:p>
      <w:pPr>
        <w:pStyle w:val="361"/>
        <w:rPr>
          <w:rFonts w:ascii="宋体" w:hAnsi="宋体" w:eastAsia="宋体"/>
        </w:rPr>
      </w:pPr>
      <w:r>
        <w:rPr>
          <w:rFonts w:hint="eastAsia" w:ascii="宋体" w:hAnsi="宋体" w:eastAsia="宋体"/>
        </w:rPr>
        <w:t>（4）土壤侵蚀现状值</w:t>
      </w:r>
    </w:p>
    <w:p>
      <w:pPr>
        <w:adjustRightInd w:val="0"/>
        <w:snapToGrid w:val="0"/>
        <w:spacing w:line="440" w:lineRule="exact"/>
        <w:ind w:firstLine="480" w:firstLineChars="200"/>
        <w:jc w:val="both"/>
        <w:rPr>
          <w:snapToGrid w:val="0"/>
          <w:shd w:val="clear" w:color="auto" w:fill="FFFFFF"/>
        </w:rPr>
      </w:pPr>
      <w:r>
        <w:rPr>
          <w:snapToGrid w:val="0"/>
          <w:shd w:val="clear" w:color="auto" w:fill="FFFFFF"/>
        </w:rPr>
        <w:t>评价范围内各类侵蚀强度的侵蚀模数通过对照土壤侵蚀强度分级标准表来选取</w:t>
      </w:r>
      <w:r>
        <w:rPr>
          <w:rFonts w:hint="eastAsia"/>
          <w:snapToGrid w:val="0"/>
          <w:shd w:val="clear" w:color="auto" w:fill="FFFFFF"/>
        </w:rPr>
        <w:t>，</w:t>
      </w:r>
      <w:r>
        <w:rPr>
          <w:snapToGrid w:val="0"/>
          <w:shd w:val="clear" w:color="auto" w:fill="FFFFFF"/>
        </w:rPr>
        <w:t>则本项目评价范围土壤侵蚀量及侵蚀模数计算结果见表4</w:t>
      </w:r>
      <w:r>
        <w:rPr>
          <w:rFonts w:hint="eastAsia"/>
          <w:snapToGrid w:val="0"/>
          <w:shd w:val="clear" w:color="auto" w:fill="FFFFFF"/>
        </w:rPr>
        <w:t>.4</w:t>
      </w:r>
      <w:r>
        <w:rPr>
          <w:snapToGrid w:val="0"/>
          <w:shd w:val="clear" w:color="auto" w:fill="FFFFFF"/>
        </w:rPr>
        <w:t>-</w:t>
      </w:r>
      <w:r>
        <w:rPr>
          <w:rFonts w:hint="eastAsia"/>
          <w:snapToGrid w:val="0"/>
          <w:shd w:val="clear" w:color="auto" w:fill="FFFFFF"/>
        </w:rPr>
        <w:t>11。</w:t>
      </w:r>
    </w:p>
    <w:p>
      <w:pPr>
        <w:adjustRightInd w:val="0"/>
        <w:snapToGrid w:val="0"/>
        <w:spacing w:before="120" w:beforeLines="50"/>
        <w:jc w:val="center"/>
        <w:rPr>
          <w:rFonts w:ascii="黑体" w:hAnsi="黑体" w:eastAsia="黑体" w:cs="黑体"/>
          <w:bCs/>
          <w:snapToGrid w:val="0"/>
          <w:sz w:val="21"/>
          <w:szCs w:val="21"/>
          <w:shd w:val="clear" w:color="auto" w:fill="FFFFFF"/>
        </w:rPr>
      </w:pPr>
      <w:r>
        <w:rPr>
          <w:rFonts w:hint="eastAsia" w:ascii="黑体" w:hAnsi="黑体" w:eastAsia="黑体" w:cs="黑体"/>
          <w:bCs/>
          <w:snapToGrid w:val="0"/>
          <w:sz w:val="21"/>
          <w:szCs w:val="21"/>
          <w:shd w:val="clear" w:color="auto" w:fill="FFFFFF"/>
        </w:rPr>
        <w:t>表</w:t>
      </w:r>
      <w:r>
        <w:rPr>
          <w:rFonts w:eastAsia="黑体"/>
          <w:bCs/>
          <w:snapToGrid w:val="0"/>
          <w:sz w:val="21"/>
          <w:szCs w:val="21"/>
          <w:shd w:val="clear" w:color="auto" w:fill="FFFFFF"/>
        </w:rPr>
        <w:t>4.4-11</w:t>
      </w:r>
      <w:r>
        <w:rPr>
          <w:rFonts w:hint="eastAsia" w:ascii="黑体" w:hAnsi="黑体" w:eastAsia="黑体" w:cs="黑体"/>
          <w:bCs/>
          <w:snapToGrid w:val="0"/>
          <w:sz w:val="21"/>
          <w:szCs w:val="21"/>
          <w:shd w:val="clear" w:color="auto" w:fill="FFFFFF"/>
        </w:rPr>
        <w:t>评价区土壤侵蚀量</w:t>
      </w:r>
    </w:p>
    <w:tbl>
      <w:tblPr>
        <w:tblStyle w:val="88"/>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62"/>
        <w:gridCol w:w="2288"/>
        <w:gridCol w:w="1693"/>
        <w:gridCol w:w="2483"/>
        <w:gridCol w:w="17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0" w:hRule="exact"/>
          <w:jc w:val="center"/>
        </w:trPr>
        <w:tc>
          <w:tcPr>
            <w:tcW w:w="572" w:type="pct"/>
            <w:vAlign w:val="center"/>
          </w:tcPr>
          <w:p>
            <w:pPr>
              <w:adjustRightInd w:val="0"/>
              <w:snapToGrid w:val="0"/>
              <w:jc w:val="center"/>
              <w:rPr>
                <w:sz w:val="21"/>
                <w:szCs w:val="21"/>
              </w:rPr>
            </w:pPr>
            <w:r>
              <w:rPr>
                <w:rFonts w:hint="eastAsia"/>
                <w:sz w:val="21"/>
                <w:szCs w:val="21"/>
              </w:rPr>
              <w:t>占地</w:t>
            </w:r>
          </w:p>
        </w:tc>
        <w:tc>
          <w:tcPr>
            <w:tcW w:w="1233" w:type="pct"/>
            <w:vAlign w:val="center"/>
          </w:tcPr>
          <w:p>
            <w:pPr>
              <w:adjustRightInd w:val="0"/>
              <w:snapToGrid w:val="0"/>
              <w:jc w:val="both"/>
              <w:rPr>
                <w:sz w:val="21"/>
                <w:szCs w:val="21"/>
              </w:rPr>
            </w:pPr>
            <w:r>
              <w:rPr>
                <w:sz w:val="21"/>
                <w:szCs w:val="21"/>
              </w:rPr>
              <w:t>土壤侵蚀类型</w:t>
            </w:r>
          </w:p>
        </w:tc>
        <w:tc>
          <w:tcPr>
            <w:tcW w:w="912" w:type="pct"/>
            <w:tcBorders>
              <w:right w:val="single" w:color="auto" w:sz="4" w:space="0"/>
            </w:tcBorders>
            <w:vAlign w:val="center"/>
          </w:tcPr>
          <w:p>
            <w:pPr>
              <w:adjustRightInd w:val="0"/>
              <w:snapToGrid w:val="0"/>
              <w:jc w:val="center"/>
              <w:rPr>
                <w:sz w:val="21"/>
                <w:szCs w:val="21"/>
              </w:rPr>
            </w:pPr>
            <w:r>
              <w:rPr>
                <w:sz w:val="21"/>
                <w:szCs w:val="21"/>
              </w:rPr>
              <w:t>面积（km</w:t>
            </w:r>
            <w:r>
              <w:rPr>
                <w:sz w:val="21"/>
                <w:szCs w:val="21"/>
                <w:vertAlign w:val="superscript"/>
              </w:rPr>
              <w:t>2</w:t>
            </w:r>
            <w:r>
              <w:rPr>
                <w:sz w:val="21"/>
                <w:szCs w:val="21"/>
              </w:rPr>
              <w:t>）</w:t>
            </w:r>
          </w:p>
        </w:tc>
        <w:tc>
          <w:tcPr>
            <w:tcW w:w="1338" w:type="pct"/>
            <w:tcBorders>
              <w:right w:val="single" w:color="auto" w:sz="4" w:space="0"/>
            </w:tcBorders>
            <w:vAlign w:val="center"/>
          </w:tcPr>
          <w:p>
            <w:pPr>
              <w:adjustRightInd w:val="0"/>
              <w:snapToGrid w:val="0"/>
              <w:jc w:val="center"/>
              <w:rPr>
                <w:sz w:val="21"/>
                <w:szCs w:val="21"/>
              </w:rPr>
            </w:pPr>
            <w:r>
              <w:rPr>
                <w:sz w:val="21"/>
                <w:szCs w:val="21"/>
              </w:rPr>
              <w:t>侵蚀模数</w:t>
            </w:r>
            <w:r>
              <w:rPr>
                <w:rFonts w:hint="eastAsia"/>
                <w:sz w:val="21"/>
                <w:szCs w:val="21"/>
              </w:rPr>
              <w:t>[</w:t>
            </w:r>
            <w:r>
              <w:rPr>
                <w:sz w:val="21"/>
                <w:szCs w:val="21"/>
              </w:rPr>
              <w:t>t/</w:t>
            </w:r>
            <w:r>
              <w:rPr>
                <w:rFonts w:hint="eastAsia"/>
                <w:sz w:val="21"/>
                <w:szCs w:val="21"/>
              </w:rPr>
              <w:t>(</w:t>
            </w:r>
            <w:r>
              <w:rPr>
                <w:sz w:val="21"/>
                <w:szCs w:val="21"/>
              </w:rPr>
              <w:t>km</w:t>
            </w:r>
            <w:r>
              <w:rPr>
                <w:sz w:val="21"/>
                <w:szCs w:val="21"/>
                <w:vertAlign w:val="superscript"/>
              </w:rPr>
              <w:t>2</w:t>
            </w:r>
            <w:r>
              <w:rPr>
                <w:sz w:val="21"/>
                <w:szCs w:val="21"/>
              </w:rPr>
              <w:t>·a</w:t>
            </w:r>
            <w:r>
              <w:rPr>
                <w:rFonts w:hint="eastAsia"/>
                <w:sz w:val="21"/>
                <w:szCs w:val="21"/>
              </w:rPr>
              <w:t>)]</w:t>
            </w:r>
          </w:p>
        </w:tc>
        <w:tc>
          <w:tcPr>
            <w:tcW w:w="945" w:type="pct"/>
            <w:tcBorders>
              <w:left w:val="single" w:color="auto" w:sz="4" w:space="0"/>
            </w:tcBorders>
            <w:vAlign w:val="center"/>
          </w:tcPr>
          <w:p>
            <w:pPr>
              <w:adjustRightInd w:val="0"/>
              <w:snapToGrid w:val="0"/>
              <w:jc w:val="center"/>
              <w:rPr>
                <w:sz w:val="21"/>
                <w:szCs w:val="21"/>
              </w:rPr>
            </w:pPr>
            <w:r>
              <w:rPr>
                <w:sz w:val="21"/>
                <w:szCs w:val="21"/>
              </w:rPr>
              <w:t>侵蚀量（t/a）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72" w:type="pct"/>
            <w:vMerge w:val="restart"/>
            <w:vAlign w:val="center"/>
          </w:tcPr>
          <w:p>
            <w:pPr>
              <w:adjustRightInd w:val="0"/>
              <w:snapToGrid w:val="0"/>
              <w:jc w:val="center"/>
              <w:rPr>
                <w:sz w:val="21"/>
                <w:szCs w:val="21"/>
              </w:rPr>
            </w:pPr>
            <w:r>
              <w:rPr>
                <w:rFonts w:hint="eastAsia"/>
                <w:sz w:val="21"/>
                <w:szCs w:val="21"/>
              </w:rPr>
              <w:t>评价范围</w:t>
            </w:r>
          </w:p>
        </w:tc>
        <w:tc>
          <w:tcPr>
            <w:tcW w:w="1233" w:type="pct"/>
            <w:vAlign w:val="center"/>
          </w:tcPr>
          <w:p>
            <w:pPr>
              <w:adjustRightInd w:val="0"/>
              <w:snapToGrid w:val="0"/>
              <w:jc w:val="center"/>
              <w:rPr>
                <w:sz w:val="21"/>
                <w:szCs w:val="21"/>
              </w:rPr>
            </w:pPr>
            <w:r>
              <w:rPr>
                <w:rFonts w:hint="eastAsia"/>
                <w:sz w:val="21"/>
                <w:szCs w:val="21"/>
              </w:rPr>
              <w:t>微</w:t>
            </w:r>
            <w:r>
              <w:rPr>
                <w:sz w:val="21"/>
                <w:szCs w:val="21"/>
              </w:rPr>
              <w:t>度侵蚀</w:t>
            </w:r>
          </w:p>
        </w:tc>
        <w:tc>
          <w:tcPr>
            <w:tcW w:w="912" w:type="pct"/>
            <w:tcBorders>
              <w:right w:val="single" w:color="auto" w:sz="4" w:space="0"/>
            </w:tcBorders>
            <w:vAlign w:val="center"/>
          </w:tcPr>
          <w:p>
            <w:pPr>
              <w:jc w:val="center"/>
              <w:textAlignment w:val="center"/>
              <w:rPr>
                <w:kern w:val="2"/>
                <w:sz w:val="21"/>
                <w:szCs w:val="21"/>
              </w:rPr>
            </w:pPr>
            <w:r>
              <w:rPr>
                <w:rFonts w:hint="eastAsia"/>
                <w:sz w:val="21"/>
                <w:szCs w:val="21"/>
                <w:lang w:val="en-US" w:eastAsia="zh-CN" w:bidi="ar"/>
              </w:rPr>
              <w:t>0.02</w:t>
            </w:r>
            <w:r>
              <w:rPr>
                <w:rFonts w:hint="eastAsia"/>
                <w:sz w:val="21"/>
                <w:szCs w:val="21"/>
                <w:lang w:bidi="ar"/>
              </w:rPr>
              <w:t>14</w:t>
            </w:r>
          </w:p>
        </w:tc>
        <w:tc>
          <w:tcPr>
            <w:tcW w:w="1338" w:type="pct"/>
            <w:tcBorders>
              <w:right w:val="single" w:color="auto" w:sz="4" w:space="0"/>
            </w:tcBorders>
            <w:vAlign w:val="center"/>
          </w:tcPr>
          <w:p>
            <w:pPr>
              <w:adjustRightInd w:val="0"/>
              <w:snapToGrid w:val="0"/>
              <w:jc w:val="center"/>
              <w:rPr>
                <w:sz w:val="21"/>
                <w:szCs w:val="21"/>
              </w:rPr>
            </w:pPr>
            <w:r>
              <w:rPr>
                <w:sz w:val="21"/>
                <w:szCs w:val="21"/>
              </w:rPr>
              <w:t>500</w:t>
            </w:r>
          </w:p>
        </w:tc>
        <w:tc>
          <w:tcPr>
            <w:tcW w:w="945" w:type="pct"/>
            <w:tcBorders>
              <w:lef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10.7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72" w:type="pct"/>
            <w:vMerge w:val="continue"/>
            <w:vAlign w:val="center"/>
          </w:tcPr>
          <w:p>
            <w:pPr>
              <w:adjustRightInd w:val="0"/>
              <w:snapToGrid w:val="0"/>
              <w:jc w:val="center"/>
              <w:rPr>
                <w:sz w:val="21"/>
                <w:szCs w:val="21"/>
              </w:rPr>
            </w:pPr>
          </w:p>
        </w:tc>
        <w:tc>
          <w:tcPr>
            <w:tcW w:w="1233" w:type="pct"/>
            <w:vAlign w:val="center"/>
          </w:tcPr>
          <w:p>
            <w:pPr>
              <w:adjustRightInd w:val="0"/>
              <w:snapToGrid w:val="0"/>
              <w:jc w:val="center"/>
              <w:rPr>
                <w:sz w:val="21"/>
                <w:szCs w:val="21"/>
              </w:rPr>
            </w:pPr>
            <w:r>
              <w:rPr>
                <w:sz w:val="21"/>
                <w:szCs w:val="21"/>
              </w:rPr>
              <w:t>中度侵蚀</w:t>
            </w:r>
          </w:p>
        </w:tc>
        <w:tc>
          <w:tcPr>
            <w:tcW w:w="912" w:type="pct"/>
            <w:tcBorders>
              <w:right w:val="single" w:color="auto" w:sz="4" w:space="0"/>
            </w:tcBorders>
            <w:vAlign w:val="center"/>
          </w:tcPr>
          <w:p>
            <w:pPr>
              <w:jc w:val="center"/>
              <w:textAlignment w:val="center"/>
              <w:rPr>
                <w:kern w:val="2"/>
                <w:sz w:val="21"/>
                <w:szCs w:val="21"/>
              </w:rPr>
            </w:pPr>
            <w:r>
              <w:rPr>
                <w:rFonts w:hint="eastAsia"/>
                <w:sz w:val="21"/>
                <w:szCs w:val="21"/>
                <w:lang w:val="en-US" w:eastAsia="zh-CN" w:bidi="ar"/>
              </w:rPr>
              <w:t>0.</w:t>
            </w:r>
            <w:r>
              <w:rPr>
                <w:rFonts w:hint="eastAsia"/>
                <w:sz w:val="21"/>
                <w:szCs w:val="21"/>
                <w:lang w:bidi="ar"/>
              </w:rPr>
              <w:t>2482</w:t>
            </w:r>
          </w:p>
        </w:tc>
        <w:tc>
          <w:tcPr>
            <w:tcW w:w="1338" w:type="pct"/>
            <w:tcBorders>
              <w:right w:val="single" w:color="auto" w:sz="4" w:space="0"/>
            </w:tcBorders>
            <w:vAlign w:val="center"/>
          </w:tcPr>
          <w:p>
            <w:pPr>
              <w:adjustRightInd w:val="0"/>
              <w:snapToGrid w:val="0"/>
              <w:jc w:val="center"/>
              <w:rPr>
                <w:sz w:val="21"/>
                <w:szCs w:val="21"/>
              </w:rPr>
            </w:pPr>
            <w:r>
              <w:rPr>
                <w:sz w:val="21"/>
                <w:szCs w:val="21"/>
              </w:rPr>
              <w:t>3500</w:t>
            </w:r>
          </w:p>
        </w:tc>
        <w:tc>
          <w:tcPr>
            <w:tcW w:w="945" w:type="pct"/>
            <w:tcBorders>
              <w:lef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868.7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72" w:type="pct"/>
            <w:vMerge w:val="continue"/>
            <w:vAlign w:val="center"/>
          </w:tcPr>
          <w:p>
            <w:pPr>
              <w:adjustRightInd w:val="0"/>
              <w:snapToGrid w:val="0"/>
              <w:jc w:val="center"/>
              <w:rPr>
                <w:sz w:val="21"/>
                <w:szCs w:val="21"/>
              </w:rPr>
            </w:pPr>
          </w:p>
        </w:tc>
        <w:tc>
          <w:tcPr>
            <w:tcW w:w="1233" w:type="pct"/>
            <w:vAlign w:val="center"/>
          </w:tcPr>
          <w:p>
            <w:pPr>
              <w:adjustRightInd w:val="0"/>
              <w:snapToGrid w:val="0"/>
              <w:jc w:val="center"/>
              <w:rPr>
                <w:sz w:val="21"/>
                <w:szCs w:val="21"/>
              </w:rPr>
            </w:pPr>
            <w:r>
              <w:rPr>
                <w:sz w:val="21"/>
                <w:szCs w:val="21"/>
              </w:rPr>
              <w:t>强烈侵蚀</w:t>
            </w:r>
          </w:p>
        </w:tc>
        <w:tc>
          <w:tcPr>
            <w:tcW w:w="912" w:type="pct"/>
            <w:tcBorders>
              <w:right w:val="single" w:color="auto" w:sz="4" w:space="0"/>
            </w:tcBorders>
            <w:vAlign w:val="center"/>
          </w:tcPr>
          <w:p>
            <w:pPr>
              <w:jc w:val="center"/>
              <w:textAlignment w:val="center"/>
              <w:rPr>
                <w:kern w:val="2"/>
                <w:sz w:val="21"/>
                <w:szCs w:val="21"/>
              </w:rPr>
            </w:pPr>
            <w:r>
              <w:rPr>
                <w:rFonts w:hint="eastAsia"/>
                <w:sz w:val="21"/>
                <w:szCs w:val="21"/>
                <w:lang w:val="en-US" w:eastAsia="zh-CN" w:bidi="ar"/>
              </w:rPr>
              <w:t>0.0</w:t>
            </w:r>
            <w:r>
              <w:rPr>
                <w:rFonts w:hint="eastAsia"/>
                <w:sz w:val="21"/>
                <w:szCs w:val="21"/>
                <w:lang w:bidi="ar"/>
              </w:rPr>
              <w:t>925</w:t>
            </w:r>
          </w:p>
        </w:tc>
        <w:tc>
          <w:tcPr>
            <w:tcW w:w="1338" w:type="pct"/>
            <w:tcBorders>
              <w:right w:val="single" w:color="auto" w:sz="4" w:space="0"/>
            </w:tcBorders>
            <w:vAlign w:val="center"/>
          </w:tcPr>
          <w:p>
            <w:pPr>
              <w:adjustRightInd w:val="0"/>
              <w:snapToGrid w:val="0"/>
              <w:jc w:val="center"/>
              <w:rPr>
                <w:sz w:val="21"/>
                <w:szCs w:val="21"/>
              </w:rPr>
            </w:pPr>
            <w:r>
              <w:rPr>
                <w:sz w:val="21"/>
                <w:szCs w:val="21"/>
              </w:rPr>
              <w:t>6500</w:t>
            </w:r>
          </w:p>
        </w:tc>
        <w:tc>
          <w:tcPr>
            <w:tcW w:w="945" w:type="pct"/>
            <w:tcBorders>
              <w:lef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601.25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72" w:type="pct"/>
            <w:vMerge w:val="continue"/>
            <w:vAlign w:val="center"/>
          </w:tcPr>
          <w:p>
            <w:pPr>
              <w:adjustRightInd w:val="0"/>
              <w:snapToGrid w:val="0"/>
              <w:jc w:val="center"/>
              <w:rPr>
                <w:sz w:val="21"/>
                <w:szCs w:val="21"/>
              </w:rPr>
            </w:pPr>
          </w:p>
        </w:tc>
        <w:tc>
          <w:tcPr>
            <w:tcW w:w="1233" w:type="pct"/>
            <w:vAlign w:val="center"/>
          </w:tcPr>
          <w:p>
            <w:pPr>
              <w:adjustRightInd w:val="0"/>
              <w:snapToGrid w:val="0"/>
              <w:jc w:val="center"/>
              <w:rPr>
                <w:sz w:val="21"/>
                <w:szCs w:val="21"/>
              </w:rPr>
            </w:pPr>
            <w:r>
              <w:rPr>
                <w:sz w:val="21"/>
                <w:szCs w:val="21"/>
              </w:rPr>
              <w:t>合计</w:t>
            </w:r>
          </w:p>
        </w:tc>
        <w:tc>
          <w:tcPr>
            <w:tcW w:w="912" w:type="pct"/>
            <w:tcBorders>
              <w:right w:val="single" w:color="auto" w:sz="4" w:space="0"/>
            </w:tcBorders>
            <w:vAlign w:val="center"/>
          </w:tcPr>
          <w:p>
            <w:pPr>
              <w:widowControl w:val="0"/>
              <w:adjustRightInd w:val="0"/>
              <w:snapToGrid w:val="0"/>
              <w:jc w:val="center"/>
              <w:rPr>
                <w:kern w:val="2"/>
                <w:sz w:val="21"/>
                <w:szCs w:val="21"/>
              </w:rPr>
            </w:pPr>
            <w:r>
              <w:rPr>
                <w:rFonts w:hint="eastAsia"/>
                <w:kern w:val="2"/>
                <w:sz w:val="21"/>
                <w:szCs w:val="21"/>
                <w:lang w:val="en-US" w:eastAsia="zh-CN"/>
              </w:rPr>
              <w:t>0.</w:t>
            </w:r>
            <w:r>
              <w:rPr>
                <w:rFonts w:hint="eastAsia"/>
                <w:kern w:val="2"/>
                <w:sz w:val="21"/>
                <w:szCs w:val="21"/>
              </w:rPr>
              <w:t>3621</w:t>
            </w:r>
          </w:p>
        </w:tc>
        <w:tc>
          <w:tcPr>
            <w:tcW w:w="1338" w:type="pct"/>
            <w:tcBorders>
              <w:right w:val="single" w:color="auto" w:sz="4" w:space="0"/>
            </w:tcBorders>
            <w:vAlign w:val="center"/>
          </w:tcPr>
          <w:p>
            <w:pPr>
              <w:adjustRightInd w:val="0"/>
              <w:snapToGrid w:val="0"/>
              <w:jc w:val="center"/>
              <w:rPr>
                <w:rFonts w:hint="default" w:eastAsia="宋体"/>
                <w:snapToGrid w:val="0"/>
                <w:sz w:val="21"/>
                <w:szCs w:val="21"/>
                <w:shd w:val="clear" w:color="auto" w:fill="FFFFFF"/>
                <w:lang w:val="en-US" w:eastAsia="zh-CN"/>
              </w:rPr>
            </w:pPr>
            <w:r>
              <w:rPr>
                <w:rFonts w:hint="eastAsia"/>
                <w:snapToGrid w:val="0"/>
                <w:sz w:val="21"/>
                <w:szCs w:val="21"/>
                <w:shd w:val="clear" w:color="auto" w:fill="FFFFFF"/>
                <w:lang w:val="en-US" w:eastAsia="zh-CN"/>
              </w:rPr>
              <w:t>4089.1</w:t>
            </w:r>
          </w:p>
        </w:tc>
        <w:tc>
          <w:tcPr>
            <w:tcW w:w="945" w:type="pct"/>
            <w:tcBorders>
              <w:lef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1480.65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72" w:type="pct"/>
            <w:vMerge w:val="restart"/>
            <w:vAlign w:val="center"/>
          </w:tcPr>
          <w:p>
            <w:pPr>
              <w:adjustRightInd w:val="0"/>
              <w:snapToGrid w:val="0"/>
              <w:jc w:val="center"/>
              <w:rPr>
                <w:sz w:val="21"/>
                <w:szCs w:val="21"/>
              </w:rPr>
            </w:pPr>
            <w:r>
              <w:rPr>
                <w:rFonts w:hint="eastAsia"/>
                <w:sz w:val="21"/>
                <w:szCs w:val="21"/>
              </w:rPr>
              <w:t>项目占地</w:t>
            </w:r>
          </w:p>
        </w:tc>
        <w:tc>
          <w:tcPr>
            <w:tcW w:w="1233" w:type="pct"/>
            <w:vAlign w:val="center"/>
          </w:tcPr>
          <w:p>
            <w:pPr>
              <w:adjustRightInd w:val="0"/>
              <w:snapToGrid w:val="0"/>
              <w:jc w:val="center"/>
              <w:rPr>
                <w:sz w:val="21"/>
                <w:szCs w:val="21"/>
              </w:rPr>
            </w:pPr>
            <w:r>
              <w:rPr>
                <w:rFonts w:hint="eastAsia"/>
                <w:sz w:val="21"/>
                <w:szCs w:val="21"/>
              </w:rPr>
              <w:t>微</w:t>
            </w:r>
            <w:r>
              <w:rPr>
                <w:sz w:val="21"/>
                <w:szCs w:val="21"/>
              </w:rPr>
              <w:t>度侵蚀</w:t>
            </w:r>
          </w:p>
        </w:tc>
        <w:tc>
          <w:tcPr>
            <w:tcW w:w="912" w:type="pct"/>
            <w:tcBorders>
              <w:right w:val="single" w:color="auto" w:sz="4" w:space="0"/>
            </w:tcBorders>
            <w:vAlign w:val="center"/>
          </w:tcPr>
          <w:p>
            <w:pPr>
              <w:spacing w:line="360" w:lineRule="exact"/>
              <w:jc w:val="center"/>
              <w:textAlignment w:val="center"/>
              <w:rPr>
                <w:rFonts w:hint="default" w:eastAsia="宋体"/>
                <w:kern w:val="2"/>
                <w:sz w:val="21"/>
                <w:szCs w:val="21"/>
                <w:lang w:val="en-US" w:eastAsia="zh-CN"/>
              </w:rPr>
            </w:pPr>
            <w:r>
              <w:rPr>
                <w:rFonts w:hint="eastAsia"/>
                <w:sz w:val="21"/>
                <w:szCs w:val="21"/>
                <w:lang w:val="en-US" w:eastAsia="zh-CN" w:bidi="ar"/>
              </w:rPr>
              <w:t>0.0009</w:t>
            </w:r>
          </w:p>
        </w:tc>
        <w:tc>
          <w:tcPr>
            <w:tcW w:w="1338" w:type="pct"/>
            <w:tcBorders>
              <w:right w:val="single" w:color="auto" w:sz="4" w:space="0"/>
            </w:tcBorders>
            <w:vAlign w:val="center"/>
          </w:tcPr>
          <w:p>
            <w:pPr>
              <w:adjustRightInd w:val="0"/>
              <w:snapToGrid w:val="0"/>
              <w:jc w:val="center"/>
              <w:rPr>
                <w:sz w:val="21"/>
                <w:szCs w:val="21"/>
              </w:rPr>
            </w:pPr>
            <w:r>
              <w:rPr>
                <w:sz w:val="21"/>
                <w:szCs w:val="21"/>
              </w:rPr>
              <w:t>500</w:t>
            </w:r>
          </w:p>
        </w:tc>
        <w:tc>
          <w:tcPr>
            <w:tcW w:w="945" w:type="pct"/>
            <w:tcBorders>
              <w:lef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0.45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72" w:type="pct"/>
            <w:vMerge w:val="continue"/>
            <w:vAlign w:val="center"/>
          </w:tcPr>
          <w:p>
            <w:pPr>
              <w:adjustRightInd w:val="0"/>
              <w:snapToGrid w:val="0"/>
              <w:jc w:val="center"/>
              <w:rPr>
                <w:sz w:val="21"/>
                <w:szCs w:val="21"/>
              </w:rPr>
            </w:pPr>
          </w:p>
        </w:tc>
        <w:tc>
          <w:tcPr>
            <w:tcW w:w="1233" w:type="pct"/>
            <w:vAlign w:val="center"/>
          </w:tcPr>
          <w:p>
            <w:pPr>
              <w:adjustRightInd w:val="0"/>
              <w:snapToGrid w:val="0"/>
              <w:jc w:val="center"/>
              <w:rPr>
                <w:sz w:val="21"/>
                <w:szCs w:val="21"/>
              </w:rPr>
            </w:pPr>
            <w:r>
              <w:rPr>
                <w:sz w:val="21"/>
                <w:szCs w:val="21"/>
              </w:rPr>
              <w:t>中度侵蚀</w:t>
            </w:r>
          </w:p>
        </w:tc>
        <w:tc>
          <w:tcPr>
            <w:tcW w:w="912" w:type="pct"/>
            <w:tcBorders>
              <w:right w:val="single" w:color="auto" w:sz="4" w:space="0"/>
            </w:tcBorders>
            <w:vAlign w:val="center"/>
          </w:tcPr>
          <w:p>
            <w:pPr>
              <w:spacing w:line="360" w:lineRule="exact"/>
              <w:jc w:val="center"/>
              <w:textAlignment w:val="center"/>
              <w:rPr>
                <w:rFonts w:hint="eastAsia"/>
                <w:sz w:val="21"/>
                <w:szCs w:val="21"/>
                <w:lang w:bidi="ar"/>
              </w:rPr>
            </w:pPr>
            <w:r>
              <w:rPr>
                <w:rFonts w:hint="eastAsia"/>
                <w:sz w:val="21"/>
                <w:szCs w:val="21"/>
                <w:lang w:val="en-US" w:eastAsia="zh-CN" w:bidi="ar"/>
              </w:rPr>
              <w:t>0.0</w:t>
            </w:r>
            <w:r>
              <w:rPr>
                <w:rFonts w:hint="eastAsia"/>
                <w:sz w:val="21"/>
                <w:szCs w:val="21"/>
                <w:lang w:bidi="ar"/>
              </w:rPr>
              <w:t>225</w:t>
            </w:r>
          </w:p>
        </w:tc>
        <w:tc>
          <w:tcPr>
            <w:tcW w:w="1338" w:type="pct"/>
            <w:tcBorders>
              <w:right w:val="single" w:color="auto" w:sz="4" w:space="0"/>
            </w:tcBorders>
            <w:vAlign w:val="center"/>
          </w:tcPr>
          <w:p>
            <w:pPr>
              <w:adjustRightInd w:val="0"/>
              <w:snapToGrid w:val="0"/>
              <w:jc w:val="center"/>
              <w:rPr>
                <w:sz w:val="21"/>
                <w:szCs w:val="21"/>
              </w:rPr>
            </w:pPr>
            <w:r>
              <w:rPr>
                <w:sz w:val="21"/>
                <w:szCs w:val="21"/>
              </w:rPr>
              <w:t>3500</w:t>
            </w:r>
          </w:p>
        </w:tc>
        <w:tc>
          <w:tcPr>
            <w:tcW w:w="945" w:type="pct"/>
            <w:tcBorders>
              <w:lef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78.75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72" w:type="pct"/>
            <w:vMerge w:val="continue"/>
            <w:vAlign w:val="center"/>
          </w:tcPr>
          <w:p>
            <w:pPr>
              <w:adjustRightInd w:val="0"/>
              <w:snapToGrid w:val="0"/>
              <w:jc w:val="center"/>
              <w:rPr>
                <w:sz w:val="21"/>
                <w:szCs w:val="21"/>
              </w:rPr>
            </w:pPr>
          </w:p>
        </w:tc>
        <w:tc>
          <w:tcPr>
            <w:tcW w:w="1233" w:type="pct"/>
            <w:vAlign w:val="center"/>
          </w:tcPr>
          <w:p>
            <w:pPr>
              <w:adjustRightInd w:val="0"/>
              <w:snapToGrid w:val="0"/>
              <w:jc w:val="center"/>
              <w:rPr>
                <w:sz w:val="21"/>
                <w:szCs w:val="21"/>
              </w:rPr>
            </w:pPr>
            <w:r>
              <w:rPr>
                <w:sz w:val="21"/>
                <w:szCs w:val="21"/>
              </w:rPr>
              <w:t>强烈侵蚀</w:t>
            </w:r>
          </w:p>
        </w:tc>
        <w:tc>
          <w:tcPr>
            <w:tcW w:w="912" w:type="pct"/>
            <w:tcBorders>
              <w:right w:val="single" w:color="auto" w:sz="4" w:space="0"/>
            </w:tcBorders>
            <w:vAlign w:val="center"/>
          </w:tcPr>
          <w:p>
            <w:pPr>
              <w:spacing w:line="360" w:lineRule="exact"/>
              <w:jc w:val="center"/>
              <w:textAlignment w:val="center"/>
              <w:rPr>
                <w:kern w:val="2"/>
                <w:sz w:val="21"/>
                <w:szCs w:val="21"/>
              </w:rPr>
            </w:pPr>
            <w:r>
              <w:rPr>
                <w:rFonts w:hint="eastAsia"/>
                <w:sz w:val="21"/>
                <w:szCs w:val="21"/>
                <w:lang w:val="en-US" w:eastAsia="zh-CN" w:bidi="ar"/>
              </w:rPr>
              <w:t>0.0</w:t>
            </w:r>
            <w:r>
              <w:rPr>
                <w:rFonts w:hint="eastAsia"/>
                <w:sz w:val="21"/>
                <w:szCs w:val="21"/>
                <w:lang w:bidi="ar"/>
              </w:rPr>
              <w:t>286</w:t>
            </w:r>
          </w:p>
        </w:tc>
        <w:tc>
          <w:tcPr>
            <w:tcW w:w="1338" w:type="pct"/>
            <w:tcBorders>
              <w:right w:val="single" w:color="auto" w:sz="4" w:space="0"/>
            </w:tcBorders>
            <w:vAlign w:val="center"/>
          </w:tcPr>
          <w:p>
            <w:pPr>
              <w:adjustRightInd w:val="0"/>
              <w:snapToGrid w:val="0"/>
              <w:jc w:val="center"/>
              <w:rPr>
                <w:sz w:val="21"/>
                <w:szCs w:val="21"/>
              </w:rPr>
            </w:pPr>
            <w:r>
              <w:rPr>
                <w:sz w:val="21"/>
                <w:szCs w:val="21"/>
              </w:rPr>
              <w:t>6500</w:t>
            </w:r>
          </w:p>
        </w:tc>
        <w:tc>
          <w:tcPr>
            <w:tcW w:w="945" w:type="pct"/>
            <w:tcBorders>
              <w:lef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185.9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72" w:type="pct"/>
            <w:vMerge w:val="continue"/>
            <w:vAlign w:val="center"/>
          </w:tcPr>
          <w:p>
            <w:pPr>
              <w:adjustRightInd w:val="0"/>
              <w:snapToGrid w:val="0"/>
              <w:jc w:val="center"/>
              <w:rPr>
                <w:sz w:val="21"/>
                <w:szCs w:val="21"/>
              </w:rPr>
            </w:pPr>
          </w:p>
        </w:tc>
        <w:tc>
          <w:tcPr>
            <w:tcW w:w="1233" w:type="pct"/>
            <w:vAlign w:val="center"/>
          </w:tcPr>
          <w:p>
            <w:pPr>
              <w:adjustRightInd w:val="0"/>
              <w:snapToGrid w:val="0"/>
              <w:jc w:val="center"/>
              <w:rPr>
                <w:sz w:val="21"/>
                <w:szCs w:val="21"/>
              </w:rPr>
            </w:pPr>
            <w:r>
              <w:rPr>
                <w:sz w:val="21"/>
                <w:szCs w:val="21"/>
              </w:rPr>
              <w:t>合计</w:t>
            </w:r>
          </w:p>
        </w:tc>
        <w:tc>
          <w:tcPr>
            <w:tcW w:w="912" w:type="pct"/>
            <w:tcBorders>
              <w:right w:val="single" w:color="auto" w:sz="4" w:space="0"/>
            </w:tcBorders>
            <w:vAlign w:val="center"/>
          </w:tcPr>
          <w:p>
            <w:pPr>
              <w:widowControl w:val="0"/>
              <w:adjustRightInd w:val="0"/>
              <w:snapToGrid w:val="0"/>
              <w:spacing w:line="360" w:lineRule="exact"/>
              <w:jc w:val="center"/>
              <w:rPr>
                <w:rFonts w:hint="default" w:eastAsia="宋体"/>
                <w:kern w:val="2"/>
                <w:sz w:val="21"/>
                <w:szCs w:val="21"/>
                <w:lang w:val="en-US" w:eastAsia="zh-CN"/>
              </w:rPr>
            </w:pPr>
            <w:r>
              <w:rPr>
                <w:rFonts w:hint="eastAsia"/>
                <w:kern w:val="2"/>
                <w:sz w:val="21"/>
                <w:szCs w:val="21"/>
                <w:lang w:val="en-US" w:eastAsia="zh-CN"/>
              </w:rPr>
              <w:t>0.052</w:t>
            </w:r>
          </w:p>
        </w:tc>
        <w:tc>
          <w:tcPr>
            <w:tcW w:w="1338" w:type="pct"/>
            <w:tcBorders>
              <w:right w:val="single" w:color="auto" w:sz="4" w:space="0"/>
            </w:tcBorders>
            <w:vAlign w:val="center"/>
          </w:tcPr>
          <w:p>
            <w:pPr>
              <w:adjustRightInd w:val="0"/>
              <w:snapToGrid w:val="0"/>
              <w:jc w:val="center"/>
              <w:rPr>
                <w:rFonts w:hint="default" w:eastAsia="宋体"/>
                <w:snapToGrid w:val="0"/>
                <w:sz w:val="21"/>
                <w:szCs w:val="21"/>
                <w:shd w:val="clear" w:color="auto" w:fill="FFFFFF"/>
                <w:lang w:val="en-US" w:eastAsia="zh-CN"/>
              </w:rPr>
            </w:pPr>
            <w:r>
              <w:rPr>
                <w:rFonts w:hint="eastAsia"/>
                <w:snapToGrid w:val="0"/>
                <w:sz w:val="21"/>
                <w:szCs w:val="21"/>
                <w:shd w:val="clear" w:color="auto" w:fill="FFFFFF"/>
                <w:lang w:val="en-US" w:eastAsia="zh-CN"/>
              </w:rPr>
              <w:t>5098.1</w:t>
            </w:r>
          </w:p>
        </w:tc>
        <w:tc>
          <w:tcPr>
            <w:tcW w:w="945" w:type="pct"/>
            <w:tcBorders>
              <w:lef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265.1</w:t>
            </w:r>
          </w:p>
        </w:tc>
      </w:tr>
    </w:tbl>
    <w:p>
      <w:pPr>
        <w:adjustRightInd w:val="0"/>
        <w:snapToGrid w:val="0"/>
        <w:spacing w:line="440" w:lineRule="exact"/>
        <w:ind w:firstLine="480" w:firstLineChars="200"/>
        <w:jc w:val="both"/>
      </w:pPr>
      <w:r>
        <w:t>通过计算可知</w:t>
      </w:r>
      <w:r>
        <w:rPr>
          <w:rFonts w:hint="eastAsia"/>
        </w:rPr>
        <w:t>，</w:t>
      </w:r>
      <w:r>
        <w:t>本项目评价</w:t>
      </w:r>
      <w:r>
        <w:rPr>
          <w:rFonts w:hint="eastAsia"/>
        </w:rPr>
        <w:t>范围内</w:t>
      </w:r>
      <w:r>
        <w:t>土壤侵蚀量为</w:t>
      </w:r>
      <w:r>
        <w:rPr>
          <w:rFonts w:hint="eastAsia"/>
          <w:lang w:val="en-US" w:eastAsia="zh-CN"/>
        </w:rPr>
        <w:t>1480.6</w:t>
      </w:r>
      <w:r>
        <w:rPr>
          <w:rFonts w:hint="eastAsia"/>
        </w:rPr>
        <w:t>5</w:t>
      </w:r>
      <w:r>
        <w:t>t/a</w:t>
      </w:r>
      <w:r>
        <w:rPr>
          <w:rFonts w:hint="eastAsia"/>
        </w:rPr>
        <w:t>，</w:t>
      </w:r>
      <w:r>
        <w:t>侵蚀模数</w:t>
      </w:r>
      <w:r>
        <w:rPr>
          <w:rFonts w:hint="eastAsia"/>
          <w:lang w:val="en-US" w:eastAsia="zh-CN"/>
        </w:rPr>
        <w:t>4089.1</w:t>
      </w:r>
      <w:r>
        <w:t>t/</w:t>
      </w:r>
      <w:r>
        <w:rPr>
          <w:rFonts w:hint="eastAsia"/>
        </w:rPr>
        <w:t>(</w:t>
      </w:r>
      <w:r>
        <w:t>km</w:t>
      </w:r>
      <w:r>
        <w:rPr>
          <w:vertAlign w:val="superscript"/>
        </w:rPr>
        <w:t>2</w:t>
      </w:r>
      <w:r>
        <w:t>·a</w:t>
      </w:r>
      <w:r>
        <w:rPr>
          <w:rFonts w:hint="eastAsia"/>
        </w:rPr>
        <w:t>)；项目占地范围内土壤侵蚀量</w:t>
      </w:r>
      <w:r>
        <w:t>为</w:t>
      </w:r>
      <w:r>
        <w:rPr>
          <w:rFonts w:hint="eastAsia"/>
          <w:lang w:val="en-US" w:eastAsia="zh-CN"/>
        </w:rPr>
        <w:t>265.1</w:t>
      </w:r>
      <w:r>
        <w:t>t/a</w:t>
      </w:r>
      <w:r>
        <w:rPr>
          <w:rFonts w:hint="eastAsia"/>
        </w:rPr>
        <w:t>，</w:t>
      </w:r>
      <w:r>
        <w:t>侵蚀模数</w:t>
      </w:r>
      <w:r>
        <w:rPr>
          <w:rFonts w:hint="eastAsia"/>
          <w:lang w:val="en-US" w:eastAsia="zh-CN"/>
        </w:rPr>
        <w:t>5098.1</w:t>
      </w:r>
      <w:r>
        <w:t>t/</w:t>
      </w:r>
      <w:r>
        <w:rPr>
          <w:rFonts w:hint="eastAsia"/>
        </w:rPr>
        <w:t>(</w:t>
      </w:r>
      <w:r>
        <w:t>km</w:t>
      </w:r>
      <w:r>
        <w:rPr>
          <w:vertAlign w:val="superscript"/>
        </w:rPr>
        <w:t>2</w:t>
      </w:r>
      <w:r>
        <w:t>·a</w:t>
      </w:r>
      <w:r>
        <w:rPr>
          <w:rFonts w:hint="eastAsia"/>
        </w:rPr>
        <w:t>)。评价范围内</w:t>
      </w:r>
      <w:r>
        <w:t>土壤侵蚀以水力侵蚀为主</w:t>
      </w:r>
      <w:r>
        <w:rPr>
          <w:rFonts w:hint="eastAsia"/>
        </w:rPr>
        <w:t>。</w:t>
      </w:r>
    </w:p>
    <w:p>
      <w:pPr>
        <w:adjustRightInd w:val="0"/>
        <w:snapToGrid w:val="0"/>
        <w:spacing w:line="440" w:lineRule="exact"/>
        <w:ind w:firstLine="480" w:firstLineChars="200"/>
        <w:jc w:val="both"/>
        <w:rPr>
          <w:snapToGrid w:val="0"/>
          <w:shd w:val="clear" w:color="auto" w:fill="FFFFFF"/>
        </w:rPr>
      </w:pPr>
      <w:r>
        <w:t>将本区强烈侵蚀模数</w:t>
      </w:r>
      <w:r>
        <w:rPr>
          <w:rFonts w:hint="eastAsia"/>
        </w:rPr>
        <w:t>6</w:t>
      </w:r>
      <w:r>
        <w:t>500t/</w:t>
      </w:r>
      <w:r>
        <w:rPr>
          <w:rFonts w:hint="eastAsia"/>
        </w:rPr>
        <w:t>(</w:t>
      </w:r>
      <w:r>
        <w:t>km</w:t>
      </w:r>
      <w:r>
        <w:rPr>
          <w:vertAlign w:val="superscript"/>
        </w:rPr>
        <w:t>2</w:t>
      </w:r>
      <w:r>
        <w:t>·a</w:t>
      </w:r>
      <w:r>
        <w:rPr>
          <w:rFonts w:hint="eastAsia"/>
        </w:rPr>
        <w:t>)</w:t>
      </w:r>
      <w:r>
        <w:t>作为标定侵蚀模数</w:t>
      </w:r>
      <w:r>
        <w:rPr>
          <w:rFonts w:hint="eastAsia"/>
        </w:rPr>
        <w:t>，</w:t>
      </w:r>
      <w:r>
        <w:t>根据公式：Pb=(Bbo-Bb)/Bbo得出</w:t>
      </w:r>
      <w:r>
        <w:rPr>
          <w:rFonts w:hint="eastAsia"/>
        </w:rPr>
        <w:t>，</w:t>
      </w:r>
      <w:r>
        <w:t>本项目</w:t>
      </w:r>
      <w:r>
        <w:rPr>
          <w:rFonts w:hint="eastAsia"/>
        </w:rPr>
        <w:t>评价</w:t>
      </w:r>
      <w:r>
        <w:t>范围内水土流失现状值为0.</w:t>
      </w:r>
      <w:r>
        <w:rPr>
          <w:rFonts w:hint="eastAsia"/>
          <w:lang w:val="en-US" w:eastAsia="zh-CN"/>
        </w:rPr>
        <w:t>37</w:t>
      </w:r>
      <w:r>
        <w:rPr>
          <w:rFonts w:hint="eastAsia"/>
        </w:rPr>
        <w:t>1，项目占地范围内水土流失现状值为0.</w:t>
      </w:r>
      <w:r>
        <w:rPr>
          <w:rFonts w:hint="eastAsia"/>
          <w:lang w:val="en-US" w:eastAsia="zh-CN"/>
        </w:rPr>
        <w:t>216</w:t>
      </w:r>
      <w:r>
        <w:rPr>
          <w:rFonts w:hint="eastAsia"/>
        </w:rPr>
        <w:t>。</w:t>
      </w:r>
    </w:p>
    <w:p>
      <w:pPr>
        <w:adjustRightInd w:val="0"/>
        <w:snapToGrid w:val="0"/>
        <w:spacing w:line="440" w:lineRule="exact"/>
        <w:ind w:firstLine="480" w:firstLineChars="200"/>
        <w:jc w:val="both"/>
      </w:pPr>
    </w:p>
    <w:p>
      <w:pPr>
        <w:adjustRightInd w:val="0"/>
        <w:snapToGrid w:val="0"/>
        <w:spacing w:line="440" w:lineRule="exact"/>
        <w:ind w:firstLine="480" w:firstLineChars="200"/>
        <w:jc w:val="both"/>
        <w:rPr>
          <w:snapToGrid w:val="0"/>
          <w:shd w:val="clear" w:color="auto" w:fill="FFFFFF"/>
        </w:rPr>
      </w:pPr>
    </w:p>
    <w:p>
      <w:pPr>
        <w:pStyle w:val="361"/>
        <w:rPr>
          <w:rFonts w:hAnsi="宋体" w:eastAsia="宋体"/>
        </w:rPr>
        <w:sectPr>
          <w:pgSz w:w="11907" w:h="16840"/>
          <w:pgMar w:top="1247" w:right="1418" w:bottom="1247" w:left="1418" w:header="992" w:footer="992" w:gutter="0"/>
          <w:cols w:space="425" w:num="1"/>
          <w:docGrid w:linePitch="312" w:charSpace="0"/>
        </w:sectPr>
      </w:pPr>
    </w:p>
    <w:p>
      <w:pPr>
        <w:pStyle w:val="361"/>
        <w:spacing w:line="240" w:lineRule="auto"/>
        <w:ind w:firstLine="0"/>
        <w:jc w:val="center"/>
        <w:rPr>
          <w:rFonts w:hint="eastAsia" w:eastAsia="华文中宋"/>
          <w:lang w:eastAsia="zh-CN"/>
        </w:rPr>
      </w:pPr>
      <w:r>
        <w:rPr>
          <w:rFonts w:hint="eastAsia" w:eastAsia="华文中宋"/>
          <w:lang w:eastAsia="zh-CN"/>
        </w:rPr>
        <w:drawing>
          <wp:inline distT="0" distB="0" distL="114300" distR="114300">
            <wp:extent cx="7556500" cy="5344160"/>
            <wp:effectExtent l="0" t="0" r="6350" b="8890"/>
            <wp:docPr id="49" name="图片 49" descr="土壤侵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土壤侵蚀图"/>
                    <pic:cNvPicPr>
                      <a:picLocks noChangeAspect="1"/>
                    </pic:cNvPicPr>
                  </pic:nvPicPr>
                  <pic:blipFill>
                    <a:blip r:embed="rId46"/>
                    <a:stretch>
                      <a:fillRect/>
                    </a:stretch>
                  </pic:blipFill>
                  <pic:spPr>
                    <a:xfrm>
                      <a:off x="0" y="0"/>
                      <a:ext cx="7556500" cy="5344160"/>
                    </a:xfrm>
                    <a:prstGeom prst="rect">
                      <a:avLst/>
                    </a:prstGeom>
                  </pic:spPr>
                </pic:pic>
              </a:graphicData>
            </a:graphic>
          </wp:inline>
        </w:drawing>
      </w:r>
    </w:p>
    <w:p>
      <w:pPr>
        <w:pStyle w:val="361"/>
        <w:spacing w:line="240" w:lineRule="auto"/>
        <w:ind w:firstLine="0"/>
        <w:jc w:val="center"/>
        <w:sectPr>
          <w:pgSz w:w="16840" w:h="11907" w:orient="landscape"/>
          <w:pgMar w:top="1418" w:right="1247" w:bottom="1418" w:left="1247" w:header="992" w:footer="992" w:gutter="0"/>
          <w:cols w:space="425" w:num="1"/>
          <w:docGrid w:linePitch="312" w:charSpace="0"/>
        </w:sectPr>
      </w:pPr>
      <w:r>
        <w:rPr>
          <w:rFonts w:hint="eastAsia"/>
        </w:rPr>
        <w:t>图4-4-3 评价区土壤侵蚀现状图</w:t>
      </w:r>
    </w:p>
    <w:p>
      <w:pPr>
        <w:widowControl w:val="0"/>
        <w:adjustRightInd w:val="0"/>
        <w:snapToGrid w:val="0"/>
        <w:spacing w:before="120" w:beforeLines="50" w:after="120" w:afterLines="50"/>
        <w:jc w:val="both"/>
        <w:outlineLvl w:val="2"/>
        <w:rPr>
          <w:rFonts w:ascii="宋体" w:hAnsi="宋体"/>
          <w:color w:val="auto"/>
        </w:rPr>
      </w:pPr>
      <w:bookmarkStart w:id="279" w:name="_Toc396395428"/>
      <w:bookmarkStart w:id="280" w:name="_Toc399150413"/>
      <w:bookmarkStart w:id="281" w:name="_Toc395801265"/>
      <w:r>
        <w:rPr>
          <w:b/>
          <w:color w:val="auto"/>
          <w:kern w:val="2"/>
        </w:rPr>
        <w:t>4.</w:t>
      </w:r>
      <w:r>
        <w:rPr>
          <w:rFonts w:hint="eastAsia"/>
          <w:b/>
          <w:color w:val="auto"/>
          <w:kern w:val="2"/>
        </w:rPr>
        <w:t>4</w:t>
      </w:r>
      <w:r>
        <w:rPr>
          <w:b/>
          <w:color w:val="auto"/>
          <w:kern w:val="2"/>
        </w:rPr>
        <w:t>.</w:t>
      </w:r>
      <w:r>
        <w:rPr>
          <w:rFonts w:hint="eastAsia"/>
          <w:b/>
          <w:color w:val="auto"/>
          <w:kern w:val="2"/>
        </w:rPr>
        <w:t>8评价因子现状综合值</w:t>
      </w:r>
    </w:p>
    <w:p>
      <w:pPr>
        <w:adjustRightInd w:val="0"/>
        <w:snapToGrid w:val="0"/>
        <w:spacing w:line="420" w:lineRule="exact"/>
        <w:ind w:firstLine="480"/>
      </w:pPr>
      <w:r>
        <w:t>综合上述计算结果</w:t>
      </w:r>
      <w:r>
        <w:rPr>
          <w:rFonts w:hint="eastAsia"/>
        </w:rPr>
        <w:t>，</w:t>
      </w:r>
      <w:r>
        <w:t>本项目评价区所有评价因子现状综合值见表4</w:t>
      </w:r>
      <w:r>
        <w:rPr>
          <w:rFonts w:hint="eastAsia"/>
        </w:rPr>
        <w:t>.4-12。</w:t>
      </w:r>
    </w:p>
    <w:p>
      <w:pPr>
        <w:adjustRightInd w:val="0"/>
        <w:snapToGrid w:val="0"/>
        <w:spacing w:before="120" w:beforeLines="50"/>
        <w:jc w:val="center"/>
        <w:rPr>
          <w:rFonts w:ascii="黑体" w:hAnsi="黑体" w:eastAsia="黑体" w:cs="黑体"/>
          <w:bCs/>
          <w:snapToGrid w:val="0"/>
          <w:sz w:val="21"/>
          <w:szCs w:val="21"/>
          <w:shd w:val="clear" w:color="auto" w:fill="FFFFFF"/>
        </w:rPr>
      </w:pPr>
      <w:r>
        <w:rPr>
          <w:rFonts w:hint="eastAsia" w:ascii="黑体" w:hAnsi="黑体" w:eastAsia="黑体" w:cs="黑体"/>
          <w:bCs/>
          <w:snapToGrid w:val="0"/>
          <w:sz w:val="21"/>
          <w:szCs w:val="21"/>
          <w:shd w:val="clear" w:color="auto" w:fill="FFFFFF"/>
        </w:rPr>
        <w:t>表</w:t>
      </w:r>
      <w:r>
        <w:rPr>
          <w:rFonts w:eastAsia="黑体"/>
          <w:bCs/>
          <w:snapToGrid w:val="0"/>
          <w:sz w:val="21"/>
          <w:szCs w:val="21"/>
          <w:shd w:val="clear" w:color="auto" w:fill="FFFFFF"/>
        </w:rPr>
        <w:t>4.4-12</w:t>
      </w:r>
      <w:r>
        <w:rPr>
          <w:rFonts w:hint="eastAsia" w:ascii="黑体" w:hAnsi="黑体" w:eastAsia="黑体" w:cs="黑体"/>
          <w:bCs/>
          <w:snapToGrid w:val="0"/>
          <w:sz w:val="21"/>
          <w:szCs w:val="21"/>
          <w:shd w:val="clear" w:color="auto" w:fill="FFFFFF"/>
        </w:rPr>
        <w:t xml:space="preserve">  评价区生态因子现状综合值</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1853"/>
        <w:gridCol w:w="1909"/>
        <w:gridCol w:w="3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Align w:val="center"/>
          </w:tcPr>
          <w:p>
            <w:pPr>
              <w:adjustRightInd w:val="0"/>
              <w:snapToGrid w:val="0"/>
              <w:spacing w:line="360" w:lineRule="exact"/>
              <w:jc w:val="center"/>
              <w:rPr>
                <w:sz w:val="21"/>
                <w:szCs w:val="20"/>
              </w:rPr>
            </w:pPr>
            <w:r>
              <w:rPr>
                <w:sz w:val="21"/>
                <w:szCs w:val="20"/>
              </w:rPr>
              <w:t>范围</w:t>
            </w:r>
          </w:p>
        </w:tc>
        <w:tc>
          <w:tcPr>
            <w:tcW w:w="998" w:type="pct"/>
            <w:vAlign w:val="center"/>
          </w:tcPr>
          <w:p>
            <w:pPr>
              <w:adjustRightInd w:val="0"/>
              <w:snapToGrid w:val="0"/>
              <w:spacing w:line="360" w:lineRule="exact"/>
              <w:jc w:val="center"/>
              <w:rPr>
                <w:sz w:val="21"/>
                <w:szCs w:val="20"/>
              </w:rPr>
            </w:pPr>
            <w:r>
              <w:rPr>
                <w:sz w:val="21"/>
                <w:szCs w:val="20"/>
              </w:rPr>
              <w:t>因子</w:t>
            </w:r>
          </w:p>
        </w:tc>
        <w:tc>
          <w:tcPr>
            <w:tcW w:w="1028" w:type="pct"/>
            <w:vAlign w:val="center"/>
          </w:tcPr>
          <w:p>
            <w:pPr>
              <w:adjustRightInd w:val="0"/>
              <w:snapToGrid w:val="0"/>
              <w:spacing w:line="360" w:lineRule="exact"/>
              <w:jc w:val="center"/>
              <w:rPr>
                <w:sz w:val="21"/>
                <w:szCs w:val="20"/>
              </w:rPr>
            </w:pPr>
            <w:r>
              <w:rPr>
                <w:rFonts w:hint="eastAsia"/>
                <w:sz w:val="21"/>
                <w:szCs w:val="20"/>
              </w:rPr>
              <w:t>现状</w:t>
            </w:r>
            <w:r>
              <w:rPr>
                <w:sz w:val="21"/>
                <w:szCs w:val="20"/>
              </w:rPr>
              <w:t>值</w:t>
            </w:r>
          </w:p>
        </w:tc>
        <w:tc>
          <w:tcPr>
            <w:tcW w:w="1942" w:type="pct"/>
            <w:vAlign w:val="center"/>
          </w:tcPr>
          <w:p>
            <w:pPr>
              <w:adjustRightInd w:val="0"/>
              <w:snapToGrid w:val="0"/>
              <w:spacing w:line="360" w:lineRule="exact"/>
              <w:jc w:val="center"/>
              <w:rPr>
                <w:sz w:val="21"/>
                <w:szCs w:val="20"/>
              </w:rPr>
            </w:pPr>
            <w:r>
              <w:rPr>
                <w:sz w:val="21"/>
                <w:szCs w:val="20"/>
              </w:rPr>
              <w:t>综合值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Merge w:val="restart"/>
            <w:vAlign w:val="center"/>
          </w:tcPr>
          <w:p>
            <w:pPr>
              <w:adjustRightInd w:val="0"/>
              <w:snapToGrid w:val="0"/>
              <w:spacing w:line="360" w:lineRule="exact"/>
              <w:jc w:val="center"/>
              <w:rPr>
                <w:sz w:val="21"/>
                <w:szCs w:val="20"/>
              </w:rPr>
            </w:pPr>
            <w:r>
              <w:rPr>
                <w:sz w:val="21"/>
                <w:szCs w:val="20"/>
              </w:rPr>
              <w:t>评价范围</w:t>
            </w:r>
          </w:p>
        </w:tc>
        <w:tc>
          <w:tcPr>
            <w:tcW w:w="998" w:type="pct"/>
            <w:vAlign w:val="center"/>
          </w:tcPr>
          <w:p>
            <w:pPr>
              <w:adjustRightInd w:val="0"/>
              <w:snapToGrid w:val="0"/>
              <w:spacing w:line="360" w:lineRule="exact"/>
              <w:jc w:val="center"/>
              <w:rPr>
                <w:sz w:val="21"/>
                <w:szCs w:val="20"/>
              </w:rPr>
            </w:pPr>
            <w:r>
              <w:rPr>
                <w:sz w:val="21"/>
                <w:szCs w:val="20"/>
              </w:rPr>
              <w:t>土地利用</w:t>
            </w:r>
          </w:p>
        </w:tc>
        <w:tc>
          <w:tcPr>
            <w:tcW w:w="1028" w:type="pct"/>
            <w:vAlign w:val="center"/>
          </w:tcPr>
          <w:p>
            <w:pPr>
              <w:adjustRightInd w:val="0"/>
              <w:snapToGrid w:val="0"/>
              <w:spacing w:line="360" w:lineRule="exact"/>
              <w:jc w:val="center"/>
              <w:rPr>
                <w:rFonts w:hint="default" w:eastAsia="宋体"/>
                <w:sz w:val="21"/>
                <w:szCs w:val="20"/>
                <w:lang w:val="en-US" w:eastAsia="zh-CN"/>
              </w:rPr>
            </w:pPr>
            <w:r>
              <w:rPr>
                <w:rFonts w:hint="eastAsia"/>
                <w:sz w:val="21"/>
                <w:szCs w:val="20"/>
              </w:rPr>
              <w:t>0.</w:t>
            </w:r>
            <w:r>
              <w:rPr>
                <w:rFonts w:hint="eastAsia"/>
                <w:sz w:val="21"/>
                <w:szCs w:val="20"/>
                <w:lang w:val="en-US" w:eastAsia="zh-CN"/>
              </w:rPr>
              <w:t>685</w:t>
            </w:r>
          </w:p>
        </w:tc>
        <w:tc>
          <w:tcPr>
            <w:tcW w:w="1942" w:type="pct"/>
            <w:vMerge w:val="restart"/>
            <w:vAlign w:val="center"/>
          </w:tcPr>
          <w:p>
            <w:pPr>
              <w:adjustRightInd w:val="0"/>
              <w:snapToGrid w:val="0"/>
              <w:spacing w:line="360" w:lineRule="exact"/>
              <w:jc w:val="center"/>
              <w:rPr>
                <w:rFonts w:hint="default" w:eastAsia="宋体"/>
                <w:sz w:val="21"/>
                <w:szCs w:val="20"/>
                <w:lang w:val="en-US" w:eastAsia="zh-CN"/>
              </w:rPr>
            </w:pPr>
            <w:r>
              <w:rPr>
                <w:rFonts w:hint="eastAsia"/>
                <w:sz w:val="21"/>
                <w:szCs w:val="20"/>
                <w:lang w:val="en-US" w:eastAsia="zh-CN"/>
              </w:rPr>
              <w:t>1.741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Merge w:val="continue"/>
            <w:vAlign w:val="center"/>
          </w:tcPr>
          <w:p>
            <w:pPr>
              <w:adjustRightInd w:val="0"/>
              <w:snapToGrid w:val="0"/>
              <w:spacing w:line="360" w:lineRule="exact"/>
              <w:jc w:val="center"/>
              <w:rPr>
                <w:sz w:val="21"/>
                <w:szCs w:val="20"/>
              </w:rPr>
            </w:pPr>
          </w:p>
        </w:tc>
        <w:tc>
          <w:tcPr>
            <w:tcW w:w="998" w:type="pct"/>
            <w:vAlign w:val="center"/>
          </w:tcPr>
          <w:p>
            <w:pPr>
              <w:adjustRightInd w:val="0"/>
              <w:snapToGrid w:val="0"/>
              <w:spacing w:line="360" w:lineRule="exact"/>
              <w:jc w:val="center"/>
              <w:rPr>
                <w:sz w:val="21"/>
                <w:szCs w:val="20"/>
              </w:rPr>
            </w:pPr>
            <w:r>
              <w:rPr>
                <w:sz w:val="21"/>
                <w:szCs w:val="20"/>
              </w:rPr>
              <w:t>植被覆盖</w:t>
            </w:r>
          </w:p>
        </w:tc>
        <w:tc>
          <w:tcPr>
            <w:tcW w:w="1028" w:type="pct"/>
            <w:vAlign w:val="center"/>
          </w:tcPr>
          <w:p>
            <w:pPr>
              <w:adjustRightInd w:val="0"/>
              <w:snapToGrid w:val="0"/>
              <w:spacing w:line="360" w:lineRule="exact"/>
              <w:jc w:val="center"/>
              <w:rPr>
                <w:rFonts w:hint="default" w:eastAsia="宋体"/>
                <w:sz w:val="21"/>
                <w:szCs w:val="20"/>
                <w:lang w:val="en-US" w:eastAsia="zh-CN"/>
              </w:rPr>
            </w:pPr>
            <w:r>
              <w:rPr>
                <w:rFonts w:hint="eastAsia"/>
                <w:sz w:val="21"/>
                <w:szCs w:val="20"/>
                <w:lang w:val="en-US" w:eastAsia="zh-CN"/>
              </w:rPr>
              <w:t>0.685</w:t>
            </w:r>
          </w:p>
        </w:tc>
        <w:tc>
          <w:tcPr>
            <w:tcW w:w="1942" w:type="pct"/>
            <w:vMerge w:val="continue"/>
            <w:vAlign w:val="center"/>
          </w:tcPr>
          <w:p>
            <w:pPr>
              <w:adjustRightInd w:val="0"/>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Merge w:val="continue"/>
            <w:vAlign w:val="center"/>
          </w:tcPr>
          <w:p>
            <w:pPr>
              <w:adjustRightInd w:val="0"/>
              <w:snapToGrid w:val="0"/>
              <w:spacing w:line="360" w:lineRule="exact"/>
              <w:jc w:val="center"/>
              <w:rPr>
                <w:sz w:val="21"/>
                <w:szCs w:val="20"/>
              </w:rPr>
            </w:pPr>
          </w:p>
        </w:tc>
        <w:tc>
          <w:tcPr>
            <w:tcW w:w="998" w:type="pct"/>
            <w:vAlign w:val="center"/>
          </w:tcPr>
          <w:p>
            <w:pPr>
              <w:adjustRightInd w:val="0"/>
              <w:snapToGrid w:val="0"/>
              <w:spacing w:line="360" w:lineRule="exact"/>
              <w:jc w:val="center"/>
              <w:rPr>
                <w:sz w:val="21"/>
                <w:szCs w:val="20"/>
              </w:rPr>
            </w:pPr>
            <w:r>
              <w:rPr>
                <w:sz w:val="21"/>
                <w:szCs w:val="20"/>
              </w:rPr>
              <w:t>水土流失</w:t>
            </w:r>
          </w:p>
        </w:tc>
        <w:tc>
          <w:tcPr>
            <w:tcW w:w="1028" w:type="pct"/>
            <w:vAlign w:val="center"/>
          </w:tcPr>
          <w:p>
            <w:pPr>
              <w:adjustRightInd w:val="0"/>
              <w:snapToGrid w:val="0"/>
              <w:spacing w:line="360" w:lineRule="exact"/>
              <w:jc w:val="center"/>
              <w:rPr>
                <w:rFonts w:hint="default" w:eastAsia="宋体"/>
                <w:sz w:val="21"/>
                <w:szCs w:val="20"/>
                <w:lang w:val="en-US" w:eastAsia="zh-CN"/>
              </w:rPr>
            </w:pPr>
            <w:r>
              <w:rPr>
                <w:rFonts w:hint="eastAsia"/>
                <w:sz w:val="21"/>
                <w:szCs w:val="20"/>
              </w:rPr>
              <w:t>0</w:t>
            </w:r>
            <w:r>
              <w:rPr>
                <w:rFonts w:hint="eastAsia"/>
                <w:sz w:val="21"/>
                <w:szCs w:val="20"/>
                <w:lang w:val="en-US" w:eastAsia="zh-CN"/>
              </w:rPr>
              <w:t>.371</w:t>
            </w:r>
          </w:p>
        </w:tc>
        <w:tc>
          <w:tcPr>
            <w:tcW w:w="1942" w:type="pct"/>
            <w:vMerge w:val="continue"/>
            <w:vAlign w:val="center"/>
          </w:tcPr>
          <w:p>
            <w:pPr>
              <w:adjustRightInd w:val="0"/>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Merge w:val="restart"/>
            <w:vAlign w:val="center"/>
          </w:tcPr>
          <w:p>
            <w:pPr>
              <w:adjustRightInd w:val="0"/>
              <w:snapToGrid w:val="0"/>
              <w:spacing w:line="360" w:lineRule="exact"/>
              <w:jc w:val="center"/>
              <w:rPr>
                <w:sz w:val="21"/>
                <w:szCs w:val="20"/>
              </w:rPr>
            </w:pPr>
            <w:r>
              <w:rPr>
                <w:rFonts w:hint="eastAsia"/>
                <w:sz w:val="21"/>
                <w:szCs w:val="20"/>
              </w:rPr>
              <w:t>项目占地</w:t>
            </w:r>
          </w:p>
        </w:tc>
        <w:tc>
          <w:tcPr>
            <w:tcW w:w="998" w:type="pct"/>
            <w:vAlign w:val="center"/>
          </w:tcPr>
          <w:p>
            <w:pPr>
              <w:adjustRightInd w:val="0"/>
              <w:snapToGrid w:val="0"/>
              <w:spacing w:line="360" w:lineRule="exact"/>
              <w:jc w:val="center"/>
              <w:rPr>
                <w:sz w:val="21"/>
                <w:szCs w:val="20"/>
              </w:rPr>
            </w:pPr>
            <w:r>
              <w:rPr>
                <w:sz w:val="21"/>
                <w:szCs w:val="20"/>
              </w:rPr>
              <w:t>土地利用</w:t>
            </w:r>
          </w:p>
        </w:tc>
        <w:tc>
          <w:tcPr>
            <w:tcW w:w="1028" w:type="pct"/>
            <w:vAlign w:val="center"/>
          </w:tcPr>
          <w:p>
            <w:pPr>
              <w:adjustRightInd w:val="0"/>
              <w:snapToGrid w:val="0"/>
              <w:spacing w:line="360" w:lineRule="exact"/>
              <w:jc w:val="center"/>
              <w:rPr>
                <w:rFonts w:hint="default" w:eastAsia="宋体"/>
                <w:sz w:val="21"/>
                <w:szCs w:val="20"/>
                <w:lang w:val="en-US" w:eastAsia="zh-CN"/>
              </w:rPr>
            </w:pPr>
            <w:r>
              <w:rPr>
                <w:rFonts w:hint="eastAsia"/>
                <w:sz w:val="21"/>
                <w:szCs w:val="20"/>
              </w:rPr>
              <w:t>0.4</w:t>
            </w:r>
            <w:r>
              <w:rPr>
                <w:rFonts w:hint="eastAsia"/>
                <w:sz w:val="21"/>
                <w:szCs w:val="20"/>
                <w:lang w:val="en-US" w:eastAsia="zh-CN"/>
              </w:rPr>
              <w:t>33</w:t>
            </w:r>
          </w:p>
        </w:tc>
        <w:tc>
          <w:tcPr>
            <w:tcW w:w="1942" w:type="pct"/>
            <w:vMerge w:val="restart"/>
            <w:vAlign w:val="center"/>
          </w:tcPr>
          <w:p>
            <w:pPr>
              <w:adjustRightInd w:val="0"/>
              <w:snapToGrid w:val="0"/>
              <w:spacing w:line="360" w:lineRule="exact"/>
              <w:jc w:val="center"/>
              <w:rPr>
                <w:rFonts w:hint="default" w:eastAsia="宋体"/>
                <w:sz w:val="21"/>
                <w:szCs w:val="20"/>
                <w:lang w:val="en-US" w:eastAsia="zh-CN"/>
              </w:rPr>
            </w:pPr>
            <w:r>
              <w:rPr>
                <w:rFonts w:hint="eastAsia"/>
                <w:sz w:val="21"/>
                <w:szCs w:val="20"/>
                <w:lang w:val="en-US" w:eastAsia="zh-CN"/>
              </w:rPr>
              <w:t>1.082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Merge w:val="continue"/>
            <w:vAlign w:val="center"/>
          </w:tcPr>
          <w:p>
            <w:pPr>
              <w:adjustRightInd w:val="0"/>
              <w:snapToGrid w:val="0"/>
              <w:spacing w:line="360" w:lineRule="exact"/>
              <w:jc w:val="center"/>
              <w:rPr>
                <w:sz w:val="21"/>
                <w:szCs w:val="20"/>
              </w:rPr>
            </w:pPr>
          </w:p>
        </w:tc>
        <w:tc>
          <w:tcPr>
            <w:tcW w:w="998" w:type="pct"/>
            <w:vAlign w:val="center"/>
          </w:tcPr>
          <w:p>
            <w:pPr>
              <w:adjustRightInd w:val="0"/>
              <w:snapToGrid w:val="0"/>
              <w:spacing w:line="360" w:lineRule="exact"/>
              <w:jc w:val="center"/>
              <w:rPr>
                <w:sz w:val="21"/>
                <w:szCs w:val="20"/>
              </w:rPr>
            </w:pPr>
            <w:r>
              <w:rPr>
                <w:sz w:val="21"/>
                <w:szCs w:val="20"/>
              </w:rPr>
              <w:t>植被覆盖</w:t>
            </w:r>
          </w:p>
        </w:tc>
        <w:tc>
          <w:tcPr>
            <w:tcW w:w="1028" w:type="pct"/>
            <w:vAlign w:val="center"/>
          </w:tcPr>
          <w:p>
            <w:pPr>
              <w:adjustRightInd w:val="0"/>
              <w:snapToGrid w:val="0"/>
              <w:spacing w:line="360" w:lineRule="exact"/>
              <w:jc w:val="center"/>
              <w:rPr>
                <w:rFonts w:hint="default" w:eastAsia="宋体"/>
                <w:sz w:val="21"/>
                <w:szCs w:val="20"/>
                <w:lang w:val="en-US" w:eastAsia="zh-CN"/>
              </w:rPr>
            </w:pPr>
            <w:r>
              <w:rPr>
                <w:rFonts w:hint="eastAsia"/>
                <w:sz w:val="21"/>
                <w:szCs w:val="20"/>
                <w:lang w:val="en-US" w:eastAsia="zh-CN"/>
              </w:rPr>
              <w:t>0.433</w:t>
            </w:r>
          </w:p>
        </w:tc>
        <w:tc>
          <w:tcPr>
            <w:tcW w:w="1942" w:type="pct"/>
            <w:vMerge w:val="continue"/>
            <w:vAlign w:val="center"/>
          </w:tcPr>
          <w:p>
            <w:pPr>
              <w:adjustRightInd w:val="0"/>
              <w:snapToGrid w:val="0"/>
              <w:spacing w:line="360" w:lineRule="exact"/>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Merge w:val="continue"/>
            <w:vAlign w:val="center"/>
          </w:tcPr>
          <w:p>
            <w:pPr>
              <w:adjustRightInd w:val="0"/>
              <w:snapToGrid w:val="0"/>
              <w:spacing w:line="360" w:lineRule="exact"/>
              <w:jc w:val="center"/>
              <w:rPr>
                <w:sz w:val="21"/>
                <w:szCs w:val="20"/>
              </w:rPr>
            </w:pPr>
          </w:p>
        </w:tc>
        <w:tc>
          <w:tcPr>
            <w:tcW w:w="998" w:type="pct"/>
            <w:vAlign w:val="center"/>
          </w:tcPr>
          <w:p>
            <w:pPr>
              <w:adjustRightInd w:val="0"/>
              <w:snapToGrid w:val="0"/>
              <w:spacing w:line="360" w:lineRule="exact"/>
              <w:jc w:val="center"/>
              <w:rPr>
                <w:sz w:val="21"/>
                <w:szCs w:val="20"/>
              </w:rPr>
            </w:pPr>
            <w:r>
              <w:rPr>
                <w:sz w:val="21"/>
                <w:szCs w:val="20"/>
              </w:rPr>
              <w:t>水土流失</w:t>
            </w:r>
          </w:p>
        </w:tc>
        <w:tc>
          <w:tcPr>
            <w:tcW w:w="1028" w:type="pct"/>
            <w:vAlign w:val="center"/>
          </w:tcPr>
          <w:p>
            <w:pPr>
              <w:adjustRightInd w:val="0"/>
              <w:snapToGrid w:val="0"/>
              <w:spacing w:line="360" w:lineRule="exact"/>
              <w:jc w:val="center"/>
              <w:rPr>
                <w:rFonts w:hint="default" w:eastAsia="宋体"/>
                <w:sz w:val="21"/>
                <w:szCs w:val="20"/>
                <w:lang w:val="en-US" w:eastAsia="zh-CN"/>
              </w:rPr>
            </w:pPr>
            <w:r>
              <w:rPr>
                <w:rFonts w:hint="eastAsia"/>
                <w:sz w:val="21"/>
                <w:szCs w:val="20"/>
                <w:lang w:val="en-US" w:eastAsia="zh-CN"/>
              </w:rPr>
              <w:t>0.216</w:t>
            </w:r>
          </w:p>
        </w:tc>
        <w:tc>
          <w:tcPr>
            <w:tcW w:w="1942" w:type="pct"/>
            <w:vMerge w:val="continue"/>
            <w:vAlign w:val="center"/>
          </w:tcPr>
          <w:p>
            <w:pPr>
              <w:adjustRightInd w:val="0"/>
              <w:snapToGrid w:val="0"/>
              <w:spacing w:line="360" w:lineRule="exact"/>
              <w:jc w:val="center"/>
              <w:rPr>
                <w:sz w:val="21"/>
                <w:szCs w:val="20"/>
              </w:rPr>
            </w:pPr>
          </w:p>
        </w:tc>
      </w:tr>
    </w:tbl>
    <w:p>
      <w:pPr>
        <w:widowControl w:val="0"/>
        <w:adjustRightInd w:val="0"/>
        <w:snapToGrid w:val="0"/>
        <w:spacing w:line="440" w:lineRule="exact"/>
        <w:jc w:val="center"/>
        <w:rPr>
          <w:rFonts w:eastAsia="黑体"/>
          <w:bCs/>
          <w:kern w:val="2"/>
          <w:sz w:val="44"/>
          <w:szCs w:val="44"/>
        </w:rPr>
        <w:sectPr>
          <w:pgSz w:w="11907" w:h="16840"/>
          <w:pgMar w:top="1247" w:right="1418" w:bottom="1247" w:left="1418" w:header="992" w:footer="992" w:gutter="0"/>
          <w:cols w:space="425" w:num="1"/>
          <w:docGrid w:linePitch="312" w:charSpace="0"/>
        </w:sectPr>
      </w:pPr>
    </w:p>
    <w:p>
      <w:pPr>
        <w:widowControl w:val="0"/>
        <w:adjustRightInd w:val="0"/>
        <w:snapToGrid w:val="0"/>
        <w:spacing w:before="312" w:beforeLines="100" w:after="312" w:afterLines="100"/>
        <w:jc w:val="center"/>
        <w:outlineLvl w:val="0"/>
        <w:rPr>
          <w:rFonts w:eastAsia="黑体"/>
          <w:b/>
          <w:kern w:val="2"/>
          <w:sz w:val="44"/>
          <w:szCs w:val="44"/>
        </w:rPr>
      </w:pPr>
      <w:bookmarkStart w:id="282" w:name="_Toc6778"/>
      <w:r>
        <w:rPr>
          <w:rFonts w:eastAsia="黑体"/>
          <w:b/>
          <w:kern w:val="2"/>
          <w:sz w:val="44"/>
          <w:szCs w:val="44"/>
        </w:rPr>
        <w:t xml:space="preserve">第五章  </w:t>
      </w:r>
      <w:bookmarkEnd w:id="234"/>
      <w:bookmarkEnd w:id="235"/>
      <w:bookmarkEnd w:id="236"/>
      <w:bookmarkEnd w:id="237"/>
      <w:r>
        <w:rPr>
          <w:rFonts w:eastAsia="黑体"/>
          <w:b/>
          <w:kern w:val="2"/>
          <w:sz w:val="44"/>
          <w:szCs w:val="44"/>
        </w:rPr>
        <w:t>环境影响预测与评价</w:t>
      </w:r>
      <w:bookmarkEnd w:id="238"/>
      <w:bookmarkEnd w:id="279"/>
      <w:bookmarkEnd w:id="280"/>
      <w:bookmarkEnd w:id="281"/>
      <w:bookmarkEnd w:id="282"/>
    </w:p>
    <w:p>
      <w:pPr>
        <w:pStyle w:val="5"/>
        <w:adjustRightInd w:val="0"/>
        <w:snapToGrid w:val="0"/>
        <w:spacing w:before="156" w:beforeLines="50" w:line="360" w:lineRule="auto"/>
        <w:rPr>
          <w:rFonts w:eastAsia="宋体"/>
          <w:sz w:val="28"/>
          <w:szCs w:val="28"/>
        </w:rPr>
      </w:pPr>
      <w:bookmarkStart w:id="283" w:name="_Toc399150420"/>
      <w:bookmarkStart w:id="284" w:name="_Toc396395430"/>
      <w:bookmarkStart w:id="285" w:name="_Toc395801272"/>
      <w:bookmarkStart w:id="286" w:name="_Toc1449"/>
      <w:r>
        <w:rPr>
          <w:rFonts w:eastAsia="宋体"/>
          <w:sz w:val="28"/>
          <w:szCs w:val="28"/>
        </w:rPr>
        <w:t>5.1大气环境影响预测与评价</w:t>
      </w:r>
      <w:bookmarkEnd w:id="283"/>
      <w:bookmarkEnd w:id="284"/>
      <w:bookmarkEnd w:id="285"/>
      <w:bookmarkEnd w:id="286"/>
    </w:p>
    <w:p>
      <w:pPr>
        <w:pStyle w:val="6"/>
        <w:adjustRightInd w:val="0"/>
        <w:snapToGrid w:val="0"/>
        <w:spacing w:before="156" w:beforeLines="50" w:line="360" w:lineRule="auto"/>
        <w:rPr>
          <w:rFonts w:eastAsia="宋体"/>
          <w:bCs w:val="0"/>
          <w:i w:val="0"/>
          <w:color w:val="auto"/>
          <w:sz w:val="24"/>
          <w:szCs w:val="24"/>
        </w:rPr>
      </w:pPr>
      <w:r>
        <w:rPr>
          <w:rFonts w:eastAsia="宋体"/>
          <w:bCs w:val="0"/>
          <w:i w:val="0"/>
          <w:color w:val="auto"/>
          <w:sz w:val="24"/>
          <w:szCs w:val="24"/>
        </w:rPr>
        <w:t>5.1.1  大气污染源调查</w:t>
      </w:r>
    </w:p>
    <w:p>
      <w:pPr>
        <w:adjustRightInd w:val="0"/>
        <w:snapToGrid w:val="0"/>
        <w:spacing w:line="440" w:lineRule="exact"/>
        <w:ind w:firstLine="480"/>
        <w:rPr>
          <w:bCs/>
        </w:rPr>
      </w:pPr>
      <w:r>
        <w:rPr>
          <w:rFonts w:hint="eastAsia"/>
          <w:bCs/>
        </w:rPr>
        <w:t>本项目大气污染源主要考虑原料库排放的粉尘。污染源参数见下表：</w:t>
      </w:r>
    </w:p>
    <w:p>
      <w:pPr>
        <w:spacing w:before="156" w:beforeLines="50"/>
        <w:ind w:firstLine="3360" w:firstLineChars="1600"/>
        <w:rPr>
          <w:rFonts w:ascii="黑体" w:hAnsi="黑体" w:eastAsia="黑体" w:cs="黑体"/>
          <w:szCs w:val="20"/>
        </w:rPr>
      </w:pPr>
      <w:r>
        <w:rPr>
          <w:rFonts w:hint="eastAsia" w:ascii="黑体" w:hAnsi="黑体" w:eastAsia="黑体" w:cs="黑体"/>
          <w:sz w:val="21"/>
        </w:rPr>
        <w:t>表</w:t>
      </w:r>
      <w:r>
        <w:rPr>
          <w:rFonts w:eastAsia="黑体"/>
          <w:sz w:val="21"/>
        </w:rPr>
        <w:t xml:space="preserve">5.1-1 </w:t>
      </w:r>
      <w:r>
        <w:rPr>
          <w:rFonts w:hint="eastAsia" w:eastAsia="黑体"/>
          <w:sz w:val="21"/>
        </w:rPr>
        <w:t xml:space="preserve"> </w:t>
      </w:r>
      <w:r>
        <w:rPr>
          <w:rFonts w:hint="eastAsia" w:ascii="黑体" w:hAnsi="黑体" w:eastAsia="黑体" w:cs="黑体"/>
          <w:sz w:val="21"/>
        </w:rPr>
        <w:t>矩形面源参数表</w:t>
      </w:r>
    </w:p>
    <w:tbl>
      <w:tblPr>
        <w:tblStyle w:val="8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286"/>
        <w:gridCol w:w="1200"/>
        <w:gridCol w:w="994"/>
        <w:gridCol w:w="822"/>
        <w:gridCol w:w="773"/>
        <w:gridCol w:w="743"/>
        <w:gridCol w:w="677"/>
        <w:gridCol w:w="85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43" w:type="pct"/>
            <w:vMerge w:val="restart"/>
            <w:vAlign w:val="center"/>
          </w:tcPr>
          <w:p>
            <w:pPr>
              <w:spacing w:line="360" w:lineRule="exact"/>
              <w:jc w:val="center"/>
              <w:rPr>
                <w:sz w:val="21"/>
              </w:rPr>
            </w:pPr>
            <w:r>
              <w:rPr>
                <w:sz w:val="21"/>
              </w:rPr>
              <w:t>污染源名称</w:t>
            </w:r>
          </w:p>
        </w:tc>
        <w:tc>
          <w:tcPr>
            <w:tcW w:w="1355" w:type="pct"/>
            <w:gridSpan w:val="2"/>
            <w:vAlign w:val="center"/>
          </w:tcPr>
          <w:p>
            <w:pPr>
              <w:spacing w:line="360" w:lineRule="exact"/>
              <w:jc w:val="center"/>
              <w:rPr>
                <w:sz w:val="21"/>
              </w:rPr>
            </w:pPr>
            <w:r>
              <w:rPr>
                <w:sz w:val="21"/>
              </w:rPr>
              <w:t>面源起点坐标</w:t>
            </w:r>
          </w:p>
        </w:tc>
        <w:tc>
          <w:tcPr>
            <w:tcW w:w="542" w:type="pct"/>
            <w:vMerge w:val="restart"/>
            <w:vAlign w:val="center"/>
          </w:tcPr>
          <w:p>
            <w:pPr>
              <w:spacing w:line="360" w:lineRule="exact"/>
              <w:jc w:val="center"/>
              <w:rPr>
                <w:sz w:val="21"/>
              </w:rPr>
            </w:pPr>
            <w:r>
              <w:rPr>
                <w:sz w:val="21"/>
              </w:rPr>
              <w:t>海拔高度(m)</w:t>
            </w:r>
          </w:p>
        </w:tc>
        <w:tc>
          <w:tcPr>
            <w:tcW w:w="1275" w:type="pct"/>
            <w:gridSpan w:val="3"/>
            <w:vAlign w:val="center"/>
          </w:tcPr>
          <w:p>
            <w:pPr>
              <w:spacing w:line="360" w:lineRule="exact"/>
              <w:jc w:val="center"/>
              <w:rPr>
                <w:sz w:val="21"/>
              </w:rPr>
            </w:pPr>
            <w:r>
              <w:rPr>
                <w:sz w:val="21"/>
              </w:rPr>
              <w:t>矩形面源</w:t>
            </w:r>
          </w:p>
        </w:tc>
        <w:tc>
          <w:tcPr>
            <w:tcW w:w="369" w:type="pct"/>
            <w:vMerge w:val="restart"/>
            <w:vAlign w:val="center"/>
          </w:tcPr>
          <w:p>
            <w:pPr>
              <w:spacing w:line="360" w:lineRule="exact"/>
              <w:jc w:val="center"/>
              <w:rPr>
                <w:sz w:val="21"/>
              </w:rPr>
            </w:pPr>
            <w:r>
              <w:rPr>
                <w:sz w:val="21"/>
              </w:rPr>
              <w:t>污染物名称</w:t>
            </w:r>
          </w:p>
        </w:tc>
        <w:tc>
          <w:tcPr>
            <w:tcW w:w="466" w:type="pct"/>
            <w:vMerge w:val="restart"/>
            <w:vAlign w:val="center"/>
          </w:tcPr>
          <w:p>
            <w:pPr>
              <w:spacing w:line="360" w:lineRule="exact"/>
              <w:jc w:val="center"/>
              <w:rPr>
                <w:sz w:val="21"/>
              </w:rPr>
            </w:pPr>
            <w:r>
              <w:rPr>
                <w:sz w:val="21"/>
              </w:rPr>
              <w:t>排放速率</w:t>
            </w:r>
          </w:p>
        </w:tc>
        <w:tc>
          <w:tcPr>
            <w:tcW w:w="346" w:type="pct"/>
            <w:vMerge w:val="restart"/>
            <w:vAlign w:val="center"/>
          </w:tcPr>
          <w:p>
            <w:pPr>
              <w:spacing w:line="360" w:lineRule="exact"/>
              <w:jc w:val="center"/>
              <w:rPr>
                <w:sz w:val="21"/>
              </w:rPr>
            </w:pPr>
            <w:r>
              <w:rPr>
                <w:sz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43" w:type="pct"/>
            <w:vMerge w:val="continue"/>
            <w:vAlign w:val="center"/>
          </w:tcPr>
          <w:p>
            <w:pPr>
              <w:spacing w:line="360" w:lineRule="exact"/>
              <w:jc w:val="center"/>
            </w:pPr>
          </w:p>
        </w:tc>
        <w:tc>
          <w:tcPr>
            <w:tcW w:w="701" w:type="pct"/>
            <w:vAlign w:val="center"/>
          </w:tcPr>
          <w:p>
            <w:pPr>
              <w:spacing w:line="360" w:lineRule="exact"/>
              <w:jc w:val="center"/>
              <w:rPr>
                <w:sz w:val="21"/>
              </w:rPr>
            </w:pPr>
            <w:r>
              <w:rPr>
                <w:sz w:val="21"/>
              </w:rPr>
              <w:t>经度</w:t>
            </w:r>
          </w:p>
        </w:tc>
        <w:tc>
          <w:tcPr>
            <w:tcW w:w="654" w:type="pct"/>
            <w:vAlign w:val="center"/>
          </w:tcPr>
          <w:p>
            <w:pPr>
              <w:spacing w:line="360" w:lineRule="exact"/>
              <w:jc w:val="center"/>
              <w:rPr>
                <w:sz w:val="21"/>
              </w:rPr>
            </w:pPr>
            <w:r>
              <w:rPr>
                <w:sz w:val="21"/>
              </w:rPr>
              <w:t>纬度</w:t>
            </w:r>
          </w:p>
        </w:tc>
        <w:tc>
          <w:tcPr>
            <w:tcW w:w="542" w:type="pct"/>
            <w:vMerge w:val="continue"/>
            <w:vAlign w:val="center"/>
          </w:tcPr>
          <w:p>
            <w:pPr>
              <w:spacing w:line="360" w:lineRule="exact"/>
              <w:jc w:val="center"/>
              <w:rPr>
                <w:sz w:val="21"/>
              </w:rPr>
            </w:pPr>
          </w:p>
        </w:tc>
        <w:tc>
          <w:tcPr>
            <w:tcW w:w="448" w:type="pct"/>
            <w:vAlign w:val="center"/>
          </w:tcPr>
          <w:p>
            <w:pPr>
              <w:spacing w:line="360" w:lineRule="exact"/>
              <w:jc w:val="center"/>
              <w:rPr>
                <w:sz w:val="21"/>
              </w:rPr>
            </w:pPr>
            <w:r>
              <w:rPr>
                <w:sz w:val="21"/>
              </w:rPr>
              <w:t>面源长度(m)</w:t>
            </w:r>
          </w:p>
        </w:tc>
        <w:tc>
          <w:tcPr>
            <w:tcW w:w="421" w:type="pct"/>
            <w:vAlign w:val="center"/>
          </w:tcPr>
          <w:p>
            <w:pPr>
              <w:spacing w:line="360" w:lineRule="exact"/>
              <w:jc w:val="center"/>
              <w:rPr>
                <w:sz w:val="21"/>
              </w:rPr>
            </w:pPr>
            <w:r>
              <w:rPr>
                <w:sz w:val="21"/>
              </w:rPr>
              <w:t>面源宽度(m)</w:t>
            </w:r>
          </w:p>
        </w:tc>
        <w:tc>
          <w:tcPr>
            <w:tcW w:w="405" w:type="pct"/>
            <w:vAlign w:val="center"/>
          </w:tcPr>
          <w:p>
            <w:pPr>
              <w:spacing w:line="360" w:lineRule="exact"/>
              <w:jc w:val="center"/>
              <w:rPr>
                <w:sz w:val="21"/>
              </w:rPr>
            </w:pPr>
            <w:r>
              <w:rPr>
                <w:sz w:val="21"/>
              </w:rPr>
              <w:t>有效高度(m)</w:t>
            </w:r>
          </w:p>
        </w:tc>
        <w:tc>
          <w:tcPr>
            <w:tcW w:w="369" w:type="pct"/>
            <w:vMerge w:val="continue"/>
            <w:vAlign w:val="center"/>
          </w:tcPr>
          <w:p>
            <w:pPr>
              <w:spacing w:line="360" w:lineRule="exact"/>
              <w:jc w:val="center"/>
              <w:rPr>
                <w:sz w:val="21"/>
              </w:rPr>
            </w:pPr>
          </w:p>
        </w:tc>
        <w:tc>
          <w:tcPr>
            <w:tcW w:w="466" w:type="pct"/>
            <w:vMerge w:val="continue"/>
            <w:vAlign w:val="center"/>
          </w:tcPr>
          <w:p>
            <w:pPr>
              <w:spacing w:line="360" w:lineRule="exact"/>
              <w:jc w:val="center"/>
              <w:rPr>
                <w:sz w:val="21"/>
              </w:rPr>
            </w:pPr>
          </w:p>
        </w:tc>
        <w:tc>
          <w:tcPr>
            <w:tcW w:w="346" w:type="pct"/>
            <w:vMerge w:val="continue"/>
            <w:vAlign w:val="center"/>
          </w:tcPr>
          <w:p>
            <w:pPr>
              <w:spacing w:line="36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43" w:type="pct"/>
            <w:vAlign w:val="center"/>
          </w:tcPr>
          <w:p>
            <w:pPr>
              <w:spacing w:line="360" w:lineRule="exact"/>
              <w:jc w:val="center"/>
              <w:rPr>
                <w:sz w:val="21"/>
              </w:rPr>
            </w:pPr>
            <w:r>
              <w:rPr>
                <w:rFonts w:hint="eastAsia"/>
                <w:sz w:val="21"/>
                <w:szCs w:val="21"/>
              </w:rPr>
              <w:t>采装作业区</w:t>
            </w:r>
          </w:p>
        </w:tc>
        <w:tc>
          <w:tcPr>
            <w:tcW w:w="701" w:type="pct"/>
            <w:vAlign w:val="center"/>
          </w:tcPr>
          <w:p>
            <w:pPr>
              <w:spacing w:line="360" w:lineRule="exact"/>
              <w:jc w:val="center"/>
              <w:rPr>
                <w:kern w:val="2"/>
                <w:sz w:val="21"/>
                <w:szCs w:val="21"/>
              </w:rPr>
            </w:pPr>
            <w:r>
              <w:rPr>
                <w:sz w:val="21"/>
                <w:szCs w:val="21"/>
              </w:rPr>
              <w:t>113.863072</w:t>
            </w:r>
          </w:p>
        </w:tc>
        <w:tc>
          <w:tcPr>
            <w:tcW w:w="654" w:type="pct"/>
            <w:vAlign w:val="center"/>
          </w:tcPr>
          <w:p>
            <w:pPr>
              <w:spacing w:line="360" w:lineRule="exact"/>
              <w:jc w:val="center"/>
              <w:rPr>
                <w:kern w:val="2"/>
                <w:sz w:val="21"/>
                <w:szCs w:val="21"/>
              </w:rPr>
            </w:pPr>
            <w:r>
              <w:rPr>
                <w:sz w:val="21"/>
                <w:szCs w:val="21"/>
              </w:rPr>
              <w:t>39.286614</w:t>
            </w:r>
          </w:p>
        </w:tc>
        <w:tc>
          <w:tcPr>
            <w:tcW w:w="542" w:type="pct"/>
            <w:vAlign w:val="center"/>
          </w:tcPr>
          <w:p>
            <w:pPr>
              <w:spacing w:line="360" w:lineRule="exact"/>
              <w:jc w:val="center"/>
              <w:rPr>
                <w:kern w:val="2"/>
                <w:sz w:val="21"/>
                <w:szCs w:val="21"/>
              </w:rPr>
            </w:pPr>
            <w:r>
              <w:rPr>
                <w:sz w:val="21"/>
                <w:szCs w:val="21"/>
              </w:rPr>
              <w:t>1260.00</w:t>
            </w:r>
          </w:p>
        </w:tc>
        <w:tc>
          <w:tcPr>
            <w:tcW w:w="448" w:type="pct"/>
            <w:vAlign w:val="center"/>
          </w:tcPr>
          <w:p>
            <w:pPr>
              <w:spacing w:line="360" w:lineRule="exact"/>
              <w:jc w:val="center"/>
              <w:rPr>
                <w:sz w:val="21"/>
              </w:rPr>
            </w:pPr>
            <w:r>
              <w:rPr>
                <w:rFonts w:hint="eastAsia"/>
                <w:sz w:val="21"/>
                <w:szCs w:val="21"/>
              </w:rPr>
              <w:t>170</w:t>
            </w:r>
          </w:p>
        </w:tc>
        <w:tc>
          <w:tcPr>
            <w:tcW w:w="421" w:type="pct"/>
            <w:vAlign w:val="center"/>
          </w:tcPr>
          <w:p>
            <w:pPr>
              <w:spacing w:line="360" w:lineRule="exact"/>
              <w:jc w:val="center"/>
              <w:rPr>
                <w:sz w:val="21"/>
              </w:rPr>
            </w:pPr>
            <w:r>
              <w:rPr>
                <w:rFonts w:hint="eastAsia"/>
                <w:sz w:val="21"/>
                <w:szCs w:val="21"/>
              </w:rPr>
              <w:t>60</w:t>
            </w:r>
          </w:p>
        </w:tc>
        <w:tc>
          <w:tcPr>
            <w:tcW w:w="405" w:type="pct"/>
            <w:vAlign w:val="center"/>
          </w:tcPr>
          <w:p>
            <w:pPr>
              <w:spacing w:line="360" w:lineRule="exact"/>
              <w:jc w:val="center"/>
              <w:rPr>
                <w:sz w:val="21"/>
              </w:rPr>
            </w:pPr>
            <w:r>
              <w:rPr>
                <w:rFonts w:hint="eastAsia"/>
                <w:sz w:val="21"/>
                <w:szCs w:val="21"/>
              </w:rPr>
              <w:t>5</w:t>
            </w:r>
          </w:p>
        </w:tc>
        <w:tc>
          <w:tcPr>
            <w:tcW w:w="369" w:type="pct"/>
            <w:vAlign w:val="center"/>
          </w:tcPr>
          <w:p>
            <w:pPr>
              <w:spacing w:line="360" w:lineRule="exact"/>
              <w:jc w:val="center"/>
              <w:rPr>
                <w:sz w:val="21"/>
              </w:rPr>
            </w:pPr>
            <w:r>
              <w:rPr>
                <w:sz w:val="21"/>
                <w:szCs w:val="21"/>
              </w:rPr>
              <w:t>TSP</w:t>
            </w:r>
          </w:p>
        </w:tc>
        <w:tc>
          <w:tcPr>
            <w:tcW w:w="466" w:type="pct"/>
            <w:vAlign w:val="center"/>
          </w:tcPr>
          <w:p>
            <w:pPr>
              <w:spacing w:line="360" w:lineRule="exact"/>
              <w:jc w:val="center"/>
              <w:rPr>
                <w:sz w:val="21"/>
              </w:rPr>
            </w:pPr>
            <w:r>
              <w:rPr>
                <w:rFonts w:hint="eastAsia"/>
                <w:sz w:val="21"/>
                <w:szCs w:val="21"/>
              </w:rPr>
              <w:t>0.0472</w:t>
            </w:r>
          </w:p>
        </w:tc>
        <w:tc>
          <w:tcPr>
            <w:tcW w:w="346" w:type="pct"/>
            <w:vAlign w:val="center"/>
          </w:tcPr>
          <w:p>
            <w:pPr>
              <w:spacing w:line="360" w:lineRule="exact"/>
              <w:jc w:val="center"/>
              <w:rPr>
                <w:sz w:val="21"/>
              </w:rPr>
            </w:pPr>
            <w:r>
              <w:rPr>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43" w:type="pct"/>
            <w:vAlign w:val="center"/>
          </w:tcPr>
          <w:p>
            <w:pPr>
              <w:spacing w:line="360" w:lineRule="exact"/>
              <w:jc w:val="center"/>
              <w:rPr>
                <w:sz w:val="21"/>
              </w:rPr>
            </w:pPr>
            <w:r>
              <w:rPr>
                <w:rFonts w:hint="eastAsia"/>
                <w:sz w:val="21"/>
                <w:szCs w:val="21"/>
              </w:rPr>
              <w:t>排土场</w:t>
            </w:r>
          </w:p>
        </w:tc>
        <w:tc>
          <w:tcPr>
            <w:tcW w:w="701" w:type="pct"/>
            <w:vAlign w:val="center"/>
          </w:tcPr>
          <w:p>
            <w:pPr>
              <w:spacing w:line="360" w:lineRule="exact"/>
              <w:jc w:val="center"/>
              <w:rPr>
                <w:sz w:val="21"/>
                <w:szCs w:val="21"/>
              </w:rPr>
            </w:pPr>
            <w:r>
              <w:rPr>
                <w:sz w:val="21"/>
                <w:szCs w:val="21"/>
              </w:rPr>
              <w:t>113.864019</w:t>
            </w:r>
          </w:p>
        </w:tc>
        <w:tc>
          <w:tcPr>
            <w:tcW w:w="654" w:type="pct"/>
            <w:vAlign w:val="center"/>
          </w:tcPr>
          <w:p>
            <w:pPr>
              <w:spacing w:line="360" w:lineRule="exact"/>
              <w:jc w:val="center"/>
              <w:rPr>
                <w:sz w:val="21"/>
                <w:szCs w:val="21"/>
              </w:rPr>
            </w:pPr>
            <w:r>
              <w:rPr>
                <w:sz w:val="21"/>
                <w:szCs w:val="21"/>
              </w:rPr>
              <w:t>39.285909</w:t>
            </w:r>
          </w:p>
        </w:tc>
        <w:tc>
          <w:tcPr>
            <w:tcW w:w="542" w:type="pct"/>
            <w:vAlign w:val="center"/>
          </w:tcPr>
          <w:p>
            <w:pPr>
              <w:spacing w:line="360" w:lineRule="exact"/>
              <w:jc w:val="center"/>
              <w:rPr>
                <w:sz w:val="21"/>
                <w:szCs w:val="21"/>
              </w:rPr>
            </w:pPr>
            <w:r>
              <w:rPr>
                <w:sz w:val="21"/>
                <w:szCs w:val="21"/>
              </w:rPr>
              <w:t>1254.00</w:t>
            </w:r>
          </w:p>
        </w:tc>
        <w:tc>
          <w:tcPr>
            <w:tcW w:w="448" w:type="pct"/>
            <w:vAlign w:val="center"/>
          </w:tcPr>
          <w:p>
            <w:pPr>
              <w:spacing w:line="360" w:lineRule="exact"/>
              <w:jc w:val="center"/>
              <w:rPr>
                <w:sz w:val="21"/>
              </w:rPr>
            </w:pPr>
            <w:r>
              <w:rPr>
                <w:rFonts w:hint="eastAsia"/>
                <w:sz w:val="21"/>
                <w:szCs w:val="21"/>
              </w:rPr>
              <w:t>14</w:t>
            </w:r>
          </w:p>
        </w:tc>
        <w:tc>
          <w:tcPr>
            <w:tcW w:w="421" w:type="pct"/>
            <w:vAlign w:val="center"/>
          </w:tcPr>
          <w:p>
            <w:pPr>
              <w:spacing w:line="360" w:lineRule="exact"/>
              <w:jc w:val="center"/>
              <w:rPr>
                <w:sz w:val="21"/>
              </w:rPr>
            </w:pPr>
            <w:r>
              <w:rPr>
                <w:rFonts w:hint="eastAsia"/>
                <w:sz w:val="21"/>
                <w:szCs w:val="21"/>
              </w:rPr>
              <w:t>13</w:t>
            </w:r>
          </w:p>
        </w:tc>
        <w:tc>
          <w:tcPr>
            <w:tcW w:w="405" w:type="pct"/>
            <w:vAlign w:val="center"/>
          </w:tcPr>
          <w:p>
            <w:pPr>
              <w:spacing w:line="360" w:lineRule="exact"/>
              <w:jc w:val="center"/>
              <w:rPr>
                <w:sz w:val="21"/>
              </w:rPr>
            </w:pPr>
            <w:r>
              <w:rPr>
                <w:rFonts w:hint="eastAsia"/>
                <w:sz w:val="21"/>
                <w:szCs w:val="21"/>
              </w:rPr>
              <w:t>5</w:t>
            </w:r>
          </w:p>
        </w:tc>
        <w:tc>
          <w:tcPr>
            <w:tcW w:w="369" w:type="pct"/>
            <w:vAlign w:val="center"/>
          </w:tcPr>
          <w:p>
            <w:pPr>
              <w:spacing w:line="360" w:lineRule="exact"/>
              <w:jc w:val="center"/>
              <w:rPr>
                <w:sz w:val="21"/>
              </w:rPr>
            </w:pPr>
            <w:r>
              <w:rPr>
                <w:sz w:val="21"/>
                <w:szCs w:val="21"/>
              </w:rPr>
              <w:t>TSP</w:t>
            </w:r>
          </w:p>
        </w:tc>
        <w:tc>
          <w:tcPr>
            <w:tcW w:w="466" w:type="pct"/>
            <w:vAlign w:val="center"/>
          </w:tcPr>
          <w:p>
            <w:pPr>
              <w:spacing w:line="360" w:lineRule="exact"/>
              <w:jc w:val="center"/>
              <w:rPr>
                <w:sz w:val="21"/>
              </w:rPr>
            </w:pPr>
            <w:r>
              <w:rPr>
                <w:rFonts w:hint="eastAsia"/>
                <w:sz w:val="21"/>
                <w:szCs w:val="21"/>
              </w:rPr>
              <w:t>0.0004</w:t>
            </w:r>
          </w:p>
        </w:tc>
        <w:tc>
          <w:tcPr>
            <w:tcW w:w="346" w:type="pct"/>
            <w:vAlign w:val="center"/>
          </w:tcPr>
          <w:p>
            <w:pPr>
              <w:spacing w:line="360" w:lineRule="exact"/>
              <w:jc w:val="center"/>
              <w:rPr>
                <w:sz w:val="21"/>
              </w:rPr>
            </w:pPr>
            <w:r>
              <w:rPr>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43" w:type="pct"/>
            <w:vAlign w:val="center"/>
          </w:tcPr>
          <w:p>
            <w:pPr>
              <w:spacing w:line="360" w:lineRule="exact"/>
              <w:jc w:val="center"/>
              <w:rPr>
                <w:sz w:val="21"/>
              </w:rPr>
            </w:pPr>
            <w:r>
              <w:rPr>
                <w:rFonts w:hint="eastAsia"/>
                <w:sz w:val="21"/>
                <w:szCs w:val="21"/>
              </w:rPr>
              <w:t>原料库</w:t>
            </w:r>
          </w:p>
        </w:tc>
        <w:tc>
          <w:tcPr>
            <w:tcW w:w="701" w:type="pct"/>
            <w:vAlign w:val="center"/>
          </w:tcPr>
          <w:p>
            <w:pPr>
              <w:widowControl w:val="0"/>
              <w:spacing w:line="360" w:lineRule="exact"/>
              <w:jc w:val="center"/>
              <w:rPr>
                <w:kern w:val="2"/>
                <w:sz w:val="21"/>
                <w:szCs w:val="21"/>
              </w:rPr>
            </w:pPr>
            <w:r>
              <w:rPr>
                <w:sz w:val="21"/>
                <w:szCs w:val="21"/>
              </w:rPr>
              <w:t>113.863322</w:t>
            </w:r>
          </w:p>
        </w:tc>
        <w:tc>
          <w:tcPr>
            <w:tcW w:w="654" w:type="pct"/>
            <w:vAlign w:val="center"/>
          </w:tcPr>
          <w:p>
            <w:pPr>
              <w:widowControl w:val="0"/>
              <w:spacing w:line="360" w:lineRule="exact"/>
              <w:jc w:val="center"/>
              <w:rPr>
                <w:kern w:val="2"/>
                <w:sz w:val="21"/>
                <w:szCs w:val="21"/>
              </w:rPr>
            </w:pPr>
            <w:r>
              <w:rPr>
                <w:sz w:val="21"/>
                <w:szCs w:val="21"/>
              </w:rPr>
              <w:t>39.284857</w:t>
            </w:r>
          </w:p>
        </w:tc>
        <w:tc>
          <w:tcPr>
            <w:tcW w:w="542" w:type="pct"/>
            <w:vAlign w:val="center"/>
          </w:tcPr>
          <w:p>
            <w:pPr>
              <w:widowControl w:val="0"/>
              <w:spacing w:line="360" w:lineRule="exact"/>
              <w:jc w:val="center"/>
              <w:rPr>
                <w:kern w:val="2"/>
                <w:sz w:val="21"/>
                <w:szCs w:val="21"/>
              </w:rPr>
            </w:pPr>
            <w:r>
              <w:rPr>
                <w:sz w:val="21"/>
                <w:szCs w:val="21"/>
              </w:rPr>
              <w:t>1254.00</w:t>
            </w:r>
          </w:p>
        </w:tc>
        <w:tc>
          <w:tcPr>
            <w:tcW w:w="448" w:type="pct"/>
            <w:vAlign w:val="center"/>
          </w:tcPr>
          <w:p>
            <w:pPr>
              <w:spacing w:line="360" w:lineRule="exact"/>
              <w:jc w:val="center"/>
              <w:rPr>
                <w:sz w:val="21"/>
              </w:rPr>
            </w:pPr>
            <w:r>
              <w:rPr>
                <w:rFonts w:hint="eastAsia"/>
                <w:sz w:val="21"/>
                <w:szCs w:val="21"/>
              </w:rPr>
              <w:t>50</w:t>
            </w:r>
          </w:p>
        </w:tc>
        <w:tc>
          <w:tcPr>
            <w:tcW w:w="421" w:type="pct"/>
            <w:vAlign w:val="center"/>
          </w:tcPr>
          <w:p>
            <w:pPr>
              <w:spacing w:line="360" w:lineRule="exact"/>
              <w:jc w:val="center"/>
              <w:rPr>
                <w:sz w:val="21"/>
              </w:rPr>
            </w:pPr>
            <w:r>
              <w:rPr>
                <w:rFonts w:hint="eastAsia"/>
                <w:sz w:val="21"/>
                <w:szCs w:val="21"/>
              </w:rPr>
              <w:t>10</w:t>
            </w:r>
          </w:p>
        </w:tc>
        <w:tc>
          <w:tcPr>
            <w:tcW w:w="405" w:type="pct"/>
            <w:vAlign w:val="center"/>
          </w:tcPr>
          <w:p>
            <w:pPr>
              <w:spacing w:line="360" w:lineRule="exact"/>
              <w:jc w:val="center"/>
              <w:rPr>
                <w:sz w:val="21"/>
              </w:rPr>
            </w:pPr>
            <w:r>
              <w:rPr>
                <w:rFonts w:hint="eastAsia"/>
                <w:sz w:val="21"/>
                <w:szCs w:val="21"/>
              </w:rPr>
              <w:t>10</w:t>
            </w:r>
          </w:p>
        </w:tc>
        <w:tc>
          <w:tcPr>
            <w:tcW w:w="369" w:type="pct"/>
            <w:vAlign w:val="center"/>
          </w:tcPr>
          <w:p>
            <w:pPr>
              <w:spacing w:line="360" w:lineRule="exact"/>
              <w:jc w:val="center"/>
              <w:rPr>
                <w:sz w:val="21"/>
              </w:rPr>
            </w:pPr>
            <w:r>
              <w:rPr>
                <w:sz w:val="21"/>
                <w:szCs w:val="21"/>
              </w:rPr>
              <w:t>TSP</w:t>
            </w:r>
          </w:p>
        </w:tc>
        <w:tc>
          <w:tcPr>
            <w:tcW w:w="466" w:type="pct"/>
            <w:vAlign w:val="center"/>
          </w:tcPr>
          <w:p>
            <w:pPr>
              <w:spacing w:line="360" w:lineRule="exact"/>
              <w:jc w:val="center"/>
              <w:rPr>
                <w:sz w:val="21"/>
              </w:rPr>
            </w:pPr>
            <w:r>
              <w:rPr>
                <w:rFonts w:hint="eastAsia"/>
                <w:sz w:val="21"/>
                <w:szCs w:val="21"/>
              </w:rPr>
              <w:t>0.0022</w:t>
            </w:r>
          </w:p>
        </w:tc>
        <w:tc>
          <w:tcPr>
            <w:tcW w:w="346" w:type="pct"/>
            <w:vAlign w:val="center"/>
          </w:tcPr>
          <w:p>
            <w:pPr>
              <w:spacing w:line="360" w:lineRule="exact"/>
              <w:jc w:val="center"/>
              <w:rPr>
                <w:sz w:val="21"/>
              </w:rPr>
            </w:pPr>
            <w:r>
              <w:rPr>
                <w:sz w:val="21"/>
                <w:szCs w:val="21"/>
              </w:rPr>
              <w:t>kg/h</w:t>
            </w:r>
          </w:p>
        </w:tc>
      </w:tr>
    </w:tbl>
    <w:p>
      <w:pPr>
        <w:pStyle w:val="6"/>
        <w:adjustRightInd w:val="0"/>
        <w:snapToGrid w:val="0"/>
        <w:spacing w:before="156" w:beforeLines="50" w:line="360" w:lineRule="auto"/>
        <w:rPr>
          <w:bCs w:val="0"/>
          <w:i w:val="0"/>
          <w:iCs w:val="0"/>
          <w:color w:val="auto"/>
          <w:sz w:val="24"/>
          <w:szCs w:val="24"/>
        </w:rPr>
      </w:pPr>
      <w:r>
        <w:rPr>
          <w:bCs w:val="0"/>
          <w:i w:val="0"/>
          <w:iCs w:val="0"/>
          <w:color w:val="auto"/>
          <w:sz w:val="24"/>
          <w:szCs w:val="24"/>
        </w:rPr>
        <w:t>5.1.</w:t>
      </w:r>
      <w:r>
        <w:rPr>
          <w:rFonts w:hint="eastAsia"/>
          <w:bCs w:val="0"/>
          <w:i w:val="0"/>
          <w:iCs w:val="0"/>
          <w:color w:val="auto"/>
          <w:sz w:val="24"/>
          <w:szCs w:val="24"/>
        </w:rPr>
        <w:t>2</w:t>
      </w:r>
      <w:r>
        <w:rPr>
          <w:bCs w:val="0"/>
          <w:i w:val="0"/>
          <w:iCs w:val="0"/>
          <w:color w:val="auto"/>
          <w:sz w:val="24"/>
          <w:szCs w:val="24"/>
        </w:rPr>
        <w:t xml:space="preserve">  环境</w:t>
      </w:r>
      <w:r>
        <w:rPr>
          <w:rFonts w:hint="eastAsia"/>
          <w:bCs w:val="0"/>
          <w:i w:val="0"/>
          <w:iCs w:val="0"/>
          <w:color w:val="auto"/>
          <w:sz w:val="24"/>
          <w:szCs w:val="24"/>
        </w:rPr>
        <w:t>影响预测</w:t>
      </w:r>
    </w:p>
    <w:p>
      <w:pPr>
        <w:adjustRightInd w:val="0"/>
        <w:snapToGrid w:val="0"/>
        <w:spacing w:line="440" w:lineRule="exact"/>
        <w:ind w:firstLine="480" w:firstLineChars="200"/>
        <w:jc w:val="both"/>
      </w:pPr>
      <w:r>
        <w:rPr>
          <w:rFonts w:hint="eastAsia"/>
        </w:rPr>
        <w:t>本项目大气评价等级为二级，不进行进一步预测与评价，只对污染物排放量进行核算。根据估算模式预测结果，本项目污染源最大地面浓度及占标率见下表。</w:t>
      </w:r>
    </w:p>
    <w:p>
      <w:pPr>
        <w:widowControl w:val="0"/>
        <w:spacing w:before="312" w:beforeLines="100"/>
        <w:jc w:val="center"/>
        <w:rPr>
          <w:rFonts w:eastAsia="黑体" w:cs="宋体"/>
          <w:bCs/>
          <w:kern w:val="2"/>
          <w:sz w:val="21"/>
        </w:rPr>
      </w:pPr>
      <w:r>
        <w:rPr>
          <w:rFonts w:hint="eastAsia" w:eastAsia="黑体" w:cs="宋体"/>
          <w:bCs/>
          <w:kern w:val="2"/>
          <w:sz w:val="21"/>
        </w:rPr>
        <w:t xml:space="preserve">表5.1-2 </w:t>
      </w:r>
      <w:r>
        <w:rPr>
          <w:rFonts w:eastAsia="黑体" w:cs="宋体"/>
          <w:bCs/>
          <w:kern w:val="2"/>
          <w:sz w:val="21"/>
        </w:rPr>
        <w:t>大气污染物估算结果一览表</w:t>
      </w:r>
    </w:p>
    <w:tbl>
      <w:tblPr>
        <w:tblStyle w:val="8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6"/>
        <w:gridCol w:w="2878"/>
        <w:gridCol w:w="2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Merge w:val="restart"/>
            <w:vAlign w:val="center"/>
          </w:tcPr>
          <w:p>
            <w:pPr>
              <w:widowControl w:val="0"/>
              <w:adjustRightInd w:val="0"/>
              <w:snapToGrid w:val="0"/>
              <w:spacing w:line="360" w:lineRule="exact"/>
              <w:jc w:val="center"/>
              <w:rPr>
                <w:kern w:val="2"/>
                <w:sz w:val="21"/>
                <w:szCs w:val="21"/>
              </w:rPr>
            </w:pPr>
            <w:r>
              <w:rPr>
                <w:kern w:val="2"/>
                <w:sz w:val="21"/>
                <w:szCs w:val="21"/>
              </w:rPr>
              <w:t>距源中心</w:t>
            </w:r>
          </w:p>
          <w:p>
            <w:pPr>
              <w:widowControl w:val="0"/>
              <w:adjustRightInd w:val="0"/>
              <w:snapToGrid w:val="0"/>
              <w:spacing w:line="360" w:lineRule="exact"/>
              <w:jc w:val="center"/>
              <w:rPr>
                <w:kern w:val="2"/>
                <w:sz w:val="21"/>
                <w:szCs w:val="21"/>
              </w:rPr>
            </w:pPr>
            <w:r>
              <w:rPr>
                <w:kern w:val="2"/>
                <w:sz w:val="21"/>
                <w:szCs w:val="21"/>
              </w:rPr>
              <w:t>下风向距离D(m)</w:t>
            </w:r>
          </w:p>
        </w:tc>
        <w:tc>
          <w:tcPr>
            <w:tcW w:w="3141" w:type="pct"/>
            <w:gridSpan w:val="2"/>
            <w:vAlign w:val="center"/>
          </w:tcPr>
          <w:p>
            <w:pPr>
              <w:widowControl w:val="0"/>
              <w:adjustRightInd w:val="0"/>
              <w:snapToGrid w:val="0"/>
              <w:spacing w:line="360" w:lineRule="exact"/>
              <w:jc w:val="center"/>
              <w:rPr>
                <w:kern w:val="2"/>
                <w:sz w:val="21"/>
                <w:szCs w:val="21"/>
              </w:rPr>
            </w:pPr>
            <w:r>
              <w:rPr>
                <w:kern w:val="2"/>
                <w:sz w:val="21"/>
                <w:szCs w:val="21"/>
              </w:rPr>
              <w:t>采装作业区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Merge w:val="continue"/>
            <w:vAlign w:val="center"/>
          </w:tcPr>
          <w:p>
            <w:pPr>
              <w:widowControl w:val="0"/>
              <w:adjustRightInd w:val="0"/>
              <w:snapToGrid w:val="0"/>
              <w:spacing w:line="360" w:lineRule="exact"/>
              <w:jc w:val="center"/>
              <w:rPr>
                <w:kern w:val="2"/>
                <w:sz w:val="21"/>
                <w:szCs w:val="21"/>
              </w:rPr>
            </w:pPr>
          </w:p>
        </w:tc>
        <w:tc>
          <w:tcPr>
            <w:tcW w:w="3141" w:type="pct"/>
            <w:gridSpan w:val="2"/>
            <w:vAlign w:val="center"/>
          </w:tcPr>
          <w:p>
            <w:pPr>
              <w:widowControl w:val="0"/>
              <w:adjustRightInd w:val="0"/>
              <w:snapToGrid w:val="0"/>
              <w:spacing w:line="360" w:lineRule="exact"/>
              <w:jc w:val="center"/>
              <w:rPr>
                <w:kern w:val="2"/>
                <w:sz w:val="21"/>
                <w:szCs w:val="21"/>
              </w:rPr>
            </w:pPr>
            <w:r>
              <w:rPr>
                <w:kern w:val="2"/>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Merge w:val="continue"/>
            <w:vAlign w:val="center"/>
          </w:tcPr>
          <w:p>
            <w:pPr>
              <w:widowControl w:val="0"/>
              <w:adjustRightInd w:val="0"/>
              <w:snapToGrid w:val="0"/>
              <w:spacing w:line="360" w:lineRule="exact"/>
              <w:jc w:val="center"/>
              <w:rPr>
                <w:kern w:val="2"/>
                <w:sz w:val="21"/>
                <w:szCs w:val="21"/>
              </w:rPr>
            </w:pPr>
          </w:p>
        </w:tc>
        <w:tc>
          <w:tcPr>
            <w:tcW w:w="1568" w:type="pct"/>
            <w:vAlign w:val="center"/>
          </w:tcPr>
          <w:p>
            <w:pPr>
              <w:widowControl w:val="0"/>
              <w:adjustRightInd w:val="0"/>
              <w:snapToGrid w:val="0"/>
              <w:spacing w:line="360" w:lineRule="exact"/>
              <w:jc w:val="center"/>
              <w:rPr>
                <w:kern w:val="2"/>
                <w:sz w:val="21"/>
                <w:szCs w:val="21"/>
              </w:rPr>
            </w:pPr>
            <w:r>
              <w:rPr>
                <w:kern w:val="2"/>
                <w:sz w:val="21"/>
                <w:szCs w:val="21"/>
              </w:rPr>
              <w:t>Ci(ug/m</w:t>
            </w:r>
            <w:r>
              <w:rPr>
                <w:kern w:val="2"/>
                <w:sz w:val="21"/>
                <w:szCs w:val="21"/>
                <w:vertAlign w:val="superscript"/>
              </w:rPr>
              <w:t>3</w:t>
            </w:r>
            <w:r>
              <w:rPr>
                <w:kern w:val="2"/>
                <w:sz w:val="21"/>
                <w:szCs w:val="21"/>
              </w:rPr>
              <w:t>)</w:t>
            </w:r>
          </w:p>
        </w:tc>
        <w:tc>
          <w:tcPr>
            <w:tcW w:w="1573" w:type="pct"/>
            <w:vAlign w:val="center"/>
          </w:tcPr>
          <w:p>
            <w:pPr>
              <w:widowControl w:val="0"/>
              <w:adjustRightInd w:val="0"/>
              <w:snapToGrid w:val="0"/>
              <w:spacing w:line="360" w:lineRule="exact"/>
              <w:jc w:val="center"/>
              <w:rPr>
                <w:kern w:val="2"/>
                <w:sz w:val="21"/>
                <w:szCs w:val="21"/>
              </w:rPr>
            </w:pPr>
            <w:r>
              <w:rPr>
                <w:kern w:val="2"/>
                <w:sz w:val="21"/>
                <w:szCs w:val="21"/>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50.0</w:t>
            </w:r>
          </w:p>
        </w:tc>
        <w:tc>
          <w:tcPr>
            <w:tcW w:w="2911" w:type="dxa"/>
            <w:vAlign w:val="center"/>
          </w:tcPr>
          <w:p>
            <w:pPr>
              <w:spacing w:line="360" w:lineRule="exact"/>
              <w:jc w:val="center"/>
              <w:rPr>
                <w:kern w:val="2"/>
                <w:sz w:val="21"/>
                <w:szCs w:val="21"/>
              </w:rPr>
            </w:pPr>
            <w:r>
              <w:rPr>
                <w:sz w:val="21"/>
                <w:szCs w:val="21"/>
              </w:rPr>
              <w:t>39.7100</w:t>
            </w:r>
          </w:p>
        </w:tc>
        <w:tc>
          <w:tcPr>
            <w:tcW w:w="2920" w:type="dxa"/>
            <w:vAlign w:val="center"/>
          </w:tcPr>
          <w:p>
            <w:pPr>
              <w:spacing w:line="360" w:lineRule="exact"/>
              <w:jc w:val="center"/>
              <w:rPr>
                <w:kern w:val="2"/>
                <w:sz w:val="21"/>
                <w:szCs w:val="21"/>
              </w:rPr>
            </w:pPr>
            <w:r>
              <w:rPr>
                <w:sz w:val="21"/>
                <w:szCs w:val="21"/>
              </w:rPr>
              <w:t>4.4122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100.0</w:t>
            </w:r>
          </w:p>
        </w:tc>
        <w:tc>
          <w:tcPr>
            <w:tcW w:w="2911" w:type="dxa"/>
            <w:vAlign w:val="center"/>
          </w:tcPr>
          <w:p>
            <w:pPr>
              <w:spacing w:line="360" w:lineRule="exact"/>
              <w:jc w:val="center"/>
              <w:rPr>
                <w:kern w:val="2"/>
                <w:sz w:val="21"/>
                <w:szCs w:val="21"/>
              </w:rPr>
            </w:pPr>
            <w:r>
              <w:rPr>
                <w:sz w:val="21"/>
                <w:szCs w:val="21"/>
              </w:rPr>
              <w:t>52.5740</w:t>
            </w:r>
          </w:p>
        </w:tc>
        <w:tc>
          <w:tcPr>
            <w:tcW w:w="2920" w:type="dxa"/>
            <w:vAlign w:val="center"/>
          </w:tcPr>
          <w:p>
            <w:pPr>
              <w:spacing w:line="360" w:lineRule="exact"/>
              <w:jc w:val="center"/>
              <w:rPr>
                <w:kern w:val="2"/>
                <w:sz w:val="21"/>
                <w:szCs w:val="21"/>
              </w:rPr>
            </w:pPr>
            <w:r>
              <w:rPr>
                <w:sz w:val="21"/>
                <w:szCs w:val="21"/>
              </w:rPr>
              <w:t>5.8416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200.0</w:t>
            </w:r>
          </w:p>
        </w:tc>
        <w:tc>
          <w:tcPr>
            <w:tcW w:w="2911" w:type="dxa"/>
            <w:vAlign w:val="center"/>
          </w:tcPr>
          <w:p>
            <w:pPr>
              <w:spacing w:line="360" w:lineRule="exact"/>
              <w:jc w:val="center"/>
              <w:rPr>
                <w:kern w:val="2"/>
                <w:sz w:val="21"/>
                <w:szCs w:val="21"/>
              </w:rPr>
            </w:pPr>
            <w:r>
              <w:rPr>
                <w:sz w:val="21"/>
                <w:szCs w:val="21"/>
              </w:rPr>
              <w:t>46.5030</w:t>
            </w:r>
          </w:p>
        </w:tc>
        <w:tc>
          <w:tcPr>
            <w:tcW w:w="2920" w:type="dxa"/>
            <w:vAlign w:val="center"/>
          </w:tcPr>
          <w:p>
            <w:pPr>
              <w:spacing w:line="360" w:lineRule="exact"/>
              <w:jc w:val="center"/>
              <w:rPr>
                <w:kern w:val="2"/>
                <w:sz w:val="21"/>
                <w:szCs w:val="21"/>
              </w:rPr>
            </w:pPr>
            <w:r>
              <w:rPr>
                <w:sz w:val="21"/>
                <w:szCs w:val="21"/>
              </w:rPr>
              <w:t>5.1670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300.0</w:t>
            </w:r>
          </w:p>
        </w:tc>
        <w:tc>
          <w:tcPr>
            <w:tcW w:w="2911" w:type="dxa"/>
            <w:vAlign w:val="center"/>
          </w:tcPr>
          <w:p>
            <w:pPr>
              <w:spacing w:line="360" w:lineRule="exact"/>
              <w:jc w:val="center"/>
              <w:rPr>
                <w:kern w:val="2"/>
                <w:sz w:val="21"/>
                <w:szCs w:val="21"/>
              </w:rPr>
            </w:pPr>
            <w:r>
              <w:rPr>
                <w:sz w:val="21"/>
                <w:szCs w:val="21"/>
              </w:rPr>
              <w:t>41.7290</w:t>
            </w:r>
          </w:p>
        </w:tc>
        <w:tc>
          <w:tcPr>
            <w:tcW w:w="2920" w:type="dxa"/>
            <w:vAlign w:val="center"/>
          </w:tcPr>
          <w:p>
            <w:pPr>
              <w:spacing w:line="360" w:lineRule="exact"/>
              <w:jc w:val="center"/>
              <w:rPr>
                <w:kern w:val="2"/>
                <w:sz w:val="21"/>
                <w:szCs w:val="21"/>
              </w:rPr>
            </w:pPr>
            <w:r>
              <w:rPr>
                <w:sz w:val="21"/>
                <w:szCs w:val="21"/>
              </w:rPr>
              <w:t>4.6366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400.0</w:t>
            </w:r>
          </w:p>
        </w:tc>
        <w:tc>
          <w:tcPr>
            <w:tcW w:w="2911" w:type="dxa"/>
            <w:vAlign w:val="center"/>
          </w:tcPr>
          <w:p>
            <w:pPr>
              <w:spacing w:line="360" w:lineRule="exact"/>
              <w:jc w:val="center"/>
              <w:rPr>
                <w:kern w:val="2"/>
                <w:sz w:val="21"/>
                <w:szCs w:val="21"/>
              </w:rPr>
            </w:pPr>
            <w:r>
              <w:rPr>
                <w:sz w:val="21"/>
                <w:szCs w:val="21"/>
              </w:rPr>
              <w:t>37.1710</w:t>
            </w:r>
          </w:p>
        </w:tc>
        <w:tc>
          <w:tcPr>
            <w:tcW w:w="2920" w:type="dxa"/>
            <w:vAlign w:val="center"/>
          </w:tcPr>
          <w:p>
            <w:pPr>
              <w:spacing w:line="360" w:lineRule="exact"/>
              <w:jc w:val="center"/>
              <w:rPr>
                <w:kern w:val="2"/>
                <w:sz w:val="21"/>
                <w:szCs w:val="21"/>
              </w:rPr>
            </w:pPr>
            <w:r>
              <w:rPr>
                <w:sz w:val="21"/>
                <w:szCs w:val="21"/>
              </w:rPr>
              <w:t>4.1301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500.0</w:t>
            </w:r>
          </w:p>
        </w:tc>
        <w:tc>
          <w:tcPr>
            <w:tcW w:w="2911" w:type="dxa"/>
            <w:vAlign w:val="center"/>
          </w:tcPr>
          <w:p>
            <w:pPr>
              <w:spacing w:line="360" w:lineRule="exact"/>
              <w:jc w:val="center"/>
              <w:rPr>
                <w:kern w:val="2"/>
                <w:sz w:val="21"/>
                <w:szCs w:val="21"/>
              </w:rPr>
            </w:pPr>
            <w:r>
              <w:rPr>
                <w:sz w:val="21"/>
                <w:szCs w:val="21"/>
              </w:rPr>
              <w:t>33.0810</w:t>
            </w:r>
          </w:p>
        </w:tc>
        <w:tc>
          <w:tcPr>
            <w:tcW w:w="2920" w:type="dxa"/>
            <w:vAlign w:val="center"/>
          </w:tcPr>
          <w:p>
            <w:pPr>
              <w:spacing w:line="360" w:lineRule="exact"/>
              <w:jc w:val="center"/>
              <w:rPr>
                <w:kern w:val="2"/>
                <w:sz w:val="21"/>
                <w:szCs w:val="21"/>
              </w:rPr>
            </w:pPr>
            <w:r>
              <w:rPr>
                <w:sz w:val="21"/>
                <w:szCs w:val="21"/>
              </w:rPr>
              <w:t>3.6757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600.0</w:t>
            </w:r>
          </w:p>
        </w:tc>
        <w:tc>
          <w:tcPr>
            <w:tcW w:w="2911" w:type="dxa"/>
            <w:vAlign w:val="center"/>
          </w:tcPr>
          <w:p>
            <w:pPr>
              <w:spacing w:line="360" w:lineRule="exact"/>
              <w:jc w:val="center"/>
              <w:rPr>
                <w:kern w:val="2"/>
                <w:sz w:val="21"/>
                <w:szCs w:val="21"/>
              </w:rPr>
            </w:pPr>
            <w:r>
              <w:rPr>
                <w:sz w:val="21"/>
                <w:szCs w:val="21"/>
              </w:rPr>
              <w:t>29.6020</w:t>
            </w:r>
          </w:p>
        </w:tc>
        <w:tc>
          <w:tcPr>
            <w:tcW w:w="2920" w:type="dxa"/>
            <w:vAlign w:val="center"/>
          </w:tcPr>
          <w:p>
            <w:pPr>
              <w:spacing w:line="360" w:lineRule="exact"/>
              <w:jc w:val="center"/>
              <w:rPr>
                <w:kern w:val="2"/>
                <w:sz w:val="21"/>
                <w:szCs w:val="21"/>
              </w:rPr>
            </w:pPr>
            <w:r>
              <w:rPr>
                <w:sz w:val="21"/>
                <w:szCs w:val="21"/>
              </w:rPr>
              <w:t>3.2891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700.0</w:t>
            </w:r>
          </w:p>
        </w:tc>
        <w:tc>
          <w:tcPr>
            <w:tcW w:w="2911" w:type="dxa"/>
            <w:vAlign w:val="center"/>
          </w:tcPr>
          <w:p>
            <w:pPr>
              <w:spacing w:line="360" w:lineRule="exact"/>
              <w:jc w:val="center"/>
              <w:rPr>
                <w:kern w:val="2"/>
                <w:sz w:val="21"/>
                <w:szCs w:val="21"/>
              </w:rPr>
            </w:pPr>
            <w:r>
              <w:rPr>
                <w:sz w:val="21"/>
                <w:szCs w:val="21"/>
              </w:rPr>
              <w:t>26.7870</w:t>
            </w:r>
          </w:p>
        </w:tc>
        <w:tc>
          <w:tcPr>
            <w:tcW w:w="2920" w:type="dxa"/>
            <w:vAlign w:val="center"/>
          </w:tcPr>
          <w:p>
            <w:pPr>
              <w:spacing w:line="360" w:lineRule="exact"/>
              <w:jc w:val="center"/>
              <w:rPr>
                <w:kern w:val="2"/>
                <w:sz w:val="21"/>
                <w:szCs w:val="21"/>
              </w:rPr>
            </w:pPr>
            <w:r>
              <w:rPr>
                <w:sz w:val="21"/>
                <w:szCs w:val="21"/>
              </w:rPr>
              <w:t>2.9763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800.0</w:t>
            </w:r>
          </w:p>
        </w:tc>
        <w:tc>
          <w:tcPr>
            <w:tcW w:w="2911" w:type="dxa"/>
            <w:vAlign w:val="center"/>
          </w:tcPr>
          <w:p>
            <w:pPr>
              <w:spacing w:line="360" w:lineRule="exact"/>
              <w:jc w:val="center"/>
              <w:rPr>
                <w:kern w:val="2"/>
                <w:sz w:val="21"/>
                <w:szCs w:val="21"/>
              </w:rPr>
            </w:pPr>
            <w:r>
              <w:rPr>
                <w:sz w:val="21"/>
                <w:szCs w:val="21"/>
              </w:rPr>
              <w:t>24.4640</w:t>
            </w:r>
          </w:p>
        </w:tc>
        <w:tc>
          <w:tcPr>
            <w:tcW w:w="2920" w:type="dxa"/>
            <w:vAlign w:val="center"/>
          </w:tcPr>
          <w:p>
            <w:pPr>
              <w:spacing w:line="360" w:lineRule="exact"/>
              <w:jc w:val="center"/>
              <w:rPr>
                <w:kern w:val="2"/>
                <w:sz w:val="21"/>
                <w:szCs w:val="21"/>
              </w:rPr>
            </w:pPr>
            <w:r>
              <w:rPr>
                <w:sz w:val="21"/>
                <w:szCs w:val="21"/>
              </w:rPr>
              <w:t>2.7182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900.0</w:t>
            </w:r>
          </w:p>
        </w:tc>
        <w:tc>
          <w:tcPr>
            <w:tcW w:w="2911" w:type="dxa"/>
            <w:vAlign w:val="center"/>
          </w:tcPr>
          <w:p>
            <w:pPr>
              <w:spacing w:line="360" w:lineRule="exact"/>
              <w:jc w:val="center"/>
              <w:rPr>
                <w:kern w:val="2"/>
                <w:sz w:val="21"/>
                <w:szCs w:val="21"/>
              </w:rPr>
            </w:pPr>
            <w:r>
              <w:rPr>
                <w:sz w:val="21"/>
                <w:szCs w:val="21"/>
              </w:rPr>
              <w:t>22.4900</w:t>
            </w:r>
          </w:p>
        </w:tc>
        <w:tc>
          <w:tcPr>
            <w:tcW w:w="2920" w:type="dxa"/>
            <w:vAlign w:val="center"/>
          </w:tcPr>
          <w:p>
            <w:pPr>
              <w:spacing w:line="360" w:lineRule="exact"/>
              <w:jc w:val="center"/>
              <w:rPr>
                <w:kern w:val="2"/>
                <w:sz w:val="21"/>
                <w:szCs w:val="21"/>
              </w:rPr>
            </w:pPr>
            <w:r>
              <w:rPr>
                <w:sz w:val="21"/>
                <w:szCs w:val="21"/>
              </w:rPr>
              <w:t>2.4989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1000.0</w:t>
            </w:r>
          </w:p>
        </w:tc>
        <w:tc>
          <w:tcPr>
            <w:tcW w:w="2911" w:type="dxa"/>
            <w:vAlign w:val="center"/>
          </w:tcPr>
          <w:p>
            <w:pPr>
              <w:spacing w:line="360" w:lineRule="exact"/>
              <w:jc w:val="center"/>
              <w:rPr>
                <w:kern w:val="2"/>
                <w:sz w:val="21"/>
                <w:szCs w:val="21"/>
              </w:rPr>
            </w:pPr>
            <w:r>
              <w:rPr>
                <w:sz w:val="21"/>
                <w:szCs w:val="21"/>
              </w:rPr>
              <w:t>20.8070</w:t>
            </w:r>
          </w:p>
        </w:tc>
        <w:tc>
          <w:tcPr>
            <w:tcW w:w="2920" w:type="dxa"/>
            <w:vAlign w:val="center"/>
          </w:tcPr>
          <w:p>
            <w:pPr>
              <w:spacing w:line="360" w:lineRule="exact"/>
              <w:jc w:val="center"/>
              <w:rPr>
                <w:kern w:val="2"/>
                <w:sz w:val="21"/>
                <w:szCs w:val="21"/>
              </w:rPr>
            </w:pPr>
            <w:r>
              <w:rPr>
                <w:sz w:val="21"/>
                <w:szCs w:val="21"/>
              </w:rPr>
              <w:t>2.3119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1200.0</w:t>
            </w:r>
          </w:p>
        </w:tc>
        <w:tc>
          <w:tcPr>
            <w:tcW w:w="2911" w:type="dxa"/>
            <w:vAlign w:val="center"/>
          </w:tcPr>
          <w:p>
            <w:pPr>
              <w:spacing w:line="360" w:lineRule="exact"/>
              <w:jc w:val="center"/>
              <w:rPr>
                <w:kern w:val="2"/>
                <w:sz w:val="21"/>
                <w:szCs w:val="21"/>
              </w:rPr>
            </w:pPr>
            <w:r>
              <w:rPr>
                <w:sz w:val="21"/>
                <w:szCs w:val="21"/>
              </w:rPr>
              <w:t>18.0430</w:t>
            </w:r>
          </w:p>
        </w:tc>
        <w:tc>
          <w:tcPr>
            <w:tcW w:w="2920" w:type="dxa"/>
            <w:vAlign w:val="center"/>
          </w:tcPr>
          <w:p>
            <w:pPr>
              <w:spacing w:line="360" w:lineRule="exact"/>
              <w:jc w:val="center"/>
              <w:rPr>
                <w:kern w:val="2"/>
                <w:sz w:val="21"/>
                <w:szCs w:val="21"/>
              </w:rPr>
            </w:pPr>
            <w:r>
              <w:rPr>
                <w:sz w:val="21"/>
                <w:szCs w:val="21"/>
              </w:rPr>
              <w:t>2.0048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1400.0</w:t>
            </w:r>
          </w:p>
        </w:tc>
        <w:tc>
          <w:tcPr>
            <w:tcW w:w="2911" w:type="dxa"/>
            <w:vAlign w:val="center"/>
          </w:tcPr>
          <w:p>
            <w:pPr>
              <w:spacing w:line="360" w:lineRule="exact"/>
              <w:jc w:val="center"/>
              <w:rPr>
                <w:kern w:val="2"/>
                <w:sz w:val="21"/>
                <w:szCs w:val="21"/>
              </w:rPr>
            </w:pPr>
            <w:r>
              <w:rPr>
                <w:sz w:val="21"/>
                <w:szCs w:val="21"/>
              </w:rPr>
              <w:t>15.8760</w:t>
            </w:r>
          </w:p>
        </w:tc>
        <w:tc>
          <w:tcPr>
            <w:tcW w:w="2920" w:type="dxa"/>
            <w:vAlign w:val="center"/>
          </w:tcPr>
          <w:p>
            <w:pPr>
              <w:spacing w:line="360" w:lineRule="exact"/>
              <w:jc w:val="center"/>
              <w:rPr>
                <w:kern w:val="2"/>
                <w:sz w:val="21"/>
                <w:szCs w:val="21"/>
              </w:rPr>
            </w:pPr>
            <w:r>
              <w:rPr>
                <w:sz w:val="21"/>
                <w:szCs w:val="21"/>
              </w:rPr>
              <w:t>1.7640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1600.0</w:t>
            </w:r>
          </w:p>
        </w:tc>
        <w:tc>
          <w:tcPr>
            <w:tcW w:w="2911" w:type="dxa"/>
            <w:vAlign w:val="center"/>
          </w:tcPr>
          <w:p>
            <w:pPr>
              <w:spacing w:line="360" w:lineRule="exact"/>
              <w:jc w:val="center"/>
              <w:rPr>
                <w:kern w:val="2"/>
                <w:sz w:val="21"/>
                <w:szCs w:val="21"/>
              </w:rPr>
            </w:pPr>
            <w:r>
              <w:rPr>
                <w:sz w:val="21"/>
                <w:szCs w:val="21"/>
              </w:rPr>
              <w:t>14.1230</w:t>
            </w:r>
          </w:p>
        </w:tc>
        <w:tc>
          <w:tcPr>
            <w:tcW w:w="2920" w:type="dxa"/>
            <w:vAlign w:val="center"/>
          </w:tcPr>
          <w:p>
            <w:pPr>
              <w:spacing w:line="360" w:lineRule="exact"/>
              <w:jc w:val="center"/>
              <w:rPr>
                <w:kern w:val="2"/>
                <w:sz w:val="21"/>
                <w:szCs w:val="21"/>
              </w:rPr>
            </w:pPr>
            <w:r>
              <w:rPr>
                <w:sz w:val="21"/>
                <w:szCs w:val="21"/>
              </w:rPr>
              <w:t>1.5692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1800.0</w:t>
            </w:r>
          </w:p>
        </w:tc>
        <w:tc>
          <w:tcPr>
            <w:tcW w:w="2911" w:type="dxa"/>
            <w:vAlign w:val="center"/>
          </w:tcPr>
          <w:p>
            <w:pPr>
              <w:spacing w:line="360" w:lineRule="exact"/>
              <w:jc w:val="center"/>
              <w:rPr>
                <w:kern w:val="2"/>
                <w:sz w:val="21"/>
                <w:szCs w:val="21"/>
              </w:rPr>
            </w:pPr>
            <w:r>
              <w:rPr>
                <w:sz w:val="21"/>
                <w:szCs w:val="21"/>
              </w:rPr>
              <w:t>13.1720</w:t>
            </w:r>
          </w:p>
        </w:tc>
        <w:tc>
          <w:tcPr>
            <w:tcW w:w="2920" w:type="dxa"/>
            <w:vAlign w:val="center"/>
          </w:tcPr>
          <w:p>
            <w:pPr>
              <w:spacing w:line="360" w:lineRule="exact"/>
              <w:jc w:val="center"/>
              <w:rPr>
                <w:kern w:val="2"/>
                <w:sz w:val="21"/>
                <w:szCs w:val="21"/>
              </w:rPr>
            </w:pPr>
            <w:r>
              <w:rPr>
                <w:sz w:val="21"/>
                <w:szCs w:val="21"/>
              </w:rPr>
              <w:t>1.4636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2000.0</w:t>
            </w:r>
          </w:p>
        </w:tc>
        <w:tc>
          <w:tcPr>
            <w:tcW w:w="2911" w:type="dxa"/>
            <w:vAlign w:val="center"/>
          </w:tcPr>
          <w:p>
            <w:pPr>
              <w:spacing w:line="360" w:lineRule="exact"/>
              <w:jc w:val="center"/>
              <w:rPr>
                <w:kern w:val="2"/>
                <w:sz w:val="21"/>
                <w:szCs w:val="21"/>
              </w:rPr>
            </w:pPr>
            <w:r>
              <w:rPr>
                <w:sz w:val="21"/>
                <w:szCs w:val="21"/>
              </w:rPr>
              <w:t>12.2210</w:t>
            </w:r>
          </w:p>
        </w:tc>
        <w:tc>
          <w:tcPr>
            <w:tcW w:w="2920" w:type="dxa"/>
            <w:vAlign w:val="center"/>
          </w:tcPr>
          <w:p>
            <w:pPr>
              <w:spacing w:line="360" w:lineRule="exact"/>
              <w:jc w:val="center"/>
              <w:rPr>
                <w:kern w:val="2"/>
                <w:sz w:val="21"/>
                <w:szCs w:val="21"/>
              </w:rPr>
            </w:pPr>
            <w:r>
              <w:rPr>
                <w:sz w:val="21"/>
                <w:szCs w:val="21"/>
              </w:rPr>
              <w:t>1.3579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2500.0</w:t>
            </w:r>
          </w:p>
        </w:tc>
        <w:tc>
          <w:tcPr>
            <w:tcW w:w="2911" w:type="dxa"/>
            <w:vAlign w:val="center"/>
          </w:tcPr>
          <w:p>
            <w:pPr>
              <w:spacing w:line="360" w:lineRule="exact"/>
              <w:jc w:val="center"/>
              <w:rPr>
                <w:kern w:val="2"/>
                <w:sz w:val="21"/>
                <w:szCs w:val="21"/>
              </w:rPr>
            </w:pPr>
            <w:r>
              <w:rPr>
                <w:sz w:val="21"/>
                <w:szCs w:val="21"/>
              </w:rPr>
              <w:t>10.3140</w:t>
            </w:r>
          </w:p>
        </w:tc>
        <w:tc>
          <w:tcPr>
            <w:tcW w:w="2920" w:type="dxa"/>
            <w:vAlign w:val="center"/>
          </w:tcPr>
          <w:p>
            <w:pPr>
              <w:spacing w:line="360" w:lineRule="exact"/>
              <w:jc w:val="center"/>
              <w:rPr>
                <w:kern w:val="2"/>
                <w:sz w:val="21"/>
                <w:szCs w:val="21"/>
              </w:rPr>
            </w:pPr>
            <w:r>
              <w:rPr>
                <w:sz w:val="21"/>
                <w:szCs w:val="21"/>
              </w:rPr>
              <w:t>1.1460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adjustRightInd w:val="0"/>
              <w:snapToGrid w:val="0"/>
              <w:spacing w:line="360" w:lineRule="exact"/>
              <w:jc w:val="center"/>
              <w:rPr>
                <w:kern w:val="2"/>
                <w:sz w:val="21"/>
                <w:szCs w:val="21"/>
              </w:rPr>
            </w:pPr>
            <w:r>
              <w:rPr>
                <w:kern w:val="2"/>
                <w:sz w:val="21"/>
                <w:szCs w:val="21"/>
              </w:rPr>
              <w:t>下风向最大浓度</w:t>
            </w:r>
          </w:p>
        </w:tc>
        <w:tc>
          <w:tcPr>
            <w:tcW w:w="2911" w:type="dxa"/>
            <w:vAlign w:val="center"/>
          </w:tcPr>
          <w:p>
            <w:pPr>
              <w:spacing w:line="360" w:lineRule="exact"/>
              <w:jc w:val="center"/>
              <w:rPr>
                <w:kern w:val="2"/>
                <w:sz w:val="21"/>
                <w:szCs w:val="21"/>
              </w:rPr>
            </w:pPr>
            <w:r>
              <w:rPr>
                <w:sz w:val="21"/>
                <w:szCs w:val="21"/>
              </w:rPr>
              <w:t>53.9180</w:t>
            </w:r>
          </w:p>
        </w:tc>
        <w:tc>
          <w:tcPr>
            <w:tcW w:w="2920" w:type="dxa"/>
            <w:vAlign w:val="center"/>
          </w:tcPr>
          <w:p>
            <w:pPr>
              <w:spacing w:line="360" w:lineRule="exact"/>
              <w:jc w:val="center"/>
              <w:rPr>
                <w:kern w:val="2"/>
                <w:sz w:val="21"/>
                <w:szCs w:val="21"/>
              </w:rPr>
            </w:pPr>
            <w:r>
              <w:rPr>
                <w:sz w:val="21"/>
                <w:szCs w:val="21"/>
              </w:rPr>
              <w:t>5.9909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adjustRightInd w:val="0"/>
              <w:snapToGrid w:val="0"/>
              <w:spacing w:line="360" w:lineRule="exact"/>
              <w:jc w:val="both"/>
              <w:rPr>
                <w:kern w:val="2"/>
                <w:sz w:val="21"/>
                <w:szCs w:val="21"/>
              </w:rPr>
            </w:pPr>
            <w:r>
              <w:rPr>
                <w:kern w:val="2"/>
                <w:sz w:val="21"/>
                <w:szCs w:val="21"/>
              </w:rPr>
              <w:t>下风向最大浓度出现距离（m）</w:t>
            </w:r>
          </w:p>
        </w:tc>
        <w:tc>
          <w:tcPr>
            <w:tcW w:w="3141" w:type="pct"/>
            <w:gridSpan w:val="2"/>
          </w:tcPr>
          <w:p>
            <w:pPr>
              <w:widowControl w:val="0"/>
              <w:adjustRightInd w:val="0"/>
              <w:snapToGrid w:val="0"/>
              <w:spacing w:line="360" w:lineRule="exact"/>
              <w:jc w:val="center"/>
              <w:rPr>
                <w:kern w:val="2"/>
                <w:sz w:val="21"/>
                <w:szCs w:val="21"/>
              </w:rPr>
            </w:pPr>
            <w:r>
              <w:rPr>
                <w:kern w:val="2"/>
                <w:sz w:val="21"/>
                <w:szCs w:val="21"/>
              </w:rPr>
              <w:t>121.0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Merge w:val="restart"/>
            <w:vAlign w:val="center"/>
          </w:tcPr>
          <w:p>
            <w:pPr>
              <w:widowControl w:val="0"/>
              <w:adjustRightInd w:val="0"/>
              <w:snapToGrid w:val="0"/>
              <w:spacing w:line="360" w:lineRule="exact"/>
              <w:jc w:val="center"/>
              <w:rPr>
                <w:kern w:val="2"/>
                <w:sz w:val="21"/>
                <w:szCs w:val="21"/>
              </w:rPr>
            </w:pPr>
            <w:r>
              <w:rPr>
                <w:kern w:val="2"/>
                <w:sz w:val="21"/>
                <w:szCs w:val="21"/>
              </w:rPr>
              <w:t>距源中心</w:t>
            </w:r>
          </w:p>
          <w:p>
            <w:pPr>
              <w:widowControl w:val="0"/>
              <w:adjustRightInd w:val="0"/>
              <w:snapToGrid w:val="0"/>
              <w:spacing w:line="360" w:lineRule="exact"/>
              <w:jc w:val="center"/>
              <w:rPr>
                <w:kern w:val="2"/>
                <w:sz w:val="21"/>
                <w:szCs w:val="21"/>
              </w:rPr>
            </w:pPr>
            <w:r>
              <w:rPr>
                <w:kern w:val="2"/>
                <w:sz w:val="21"/>
                <w:szCs w:val="21"/>
              </w:rPr>
              <w:t>下风向距离D(m)</w:t>
            </w:r>
          </w:p>
        </w:tc>
        <w:tc>
          <w:tcPr>
            <w:tcW w:w="3141" w:type="pct"/>
            <w:gridSpan w:val="2"/>
            <w:vAlign w:val="center"/>
          </w:tcPr>
          <w:p>
            <w:pPr>
              <w:widowControl w:val="0"/>
              <w:adjustRightInd w:val="0"/>
              <w:snapToGrid w:val="0"/>
              <w:spacing w:line="360" w:lineRule="exact"/>
              <w:jc w:val="center"/>
              <w:rPr>
                <w:kern w:val="2"/>
                <w:sz w:val="21"/>
                <w:szCs w:val="21"/>
              </w:rPr>
            </w:pPr>
            <w:r>
              <w:rPr>
                <w:kern w:val="2"/>
                <w:sz w:val="21"/>
                <w:szCs w:val="21"/>
              </w:rPr>
              <w:t>排土场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Merge w:val="continue"/>
            <w:vAlign w:val="center"/>
          </w:tcPr>
          <w:p>
            <w:pPr>
              <w:widowControl w:val="0"/>
              <w:adjustRightInd w:val="0"/>
              <w:snapToGrid w:val="0"/>
              <w:spacing w:line="360" w:lineRule="exact"/>
              <w:jc w:val="both"/>
              <w:rPr>
                <w:kern w:val="2"/>
                <w:sz w:val="21"/>
                <w:szCs w:val="21"/>
              </w:rPr>
            </w:pPr>
          </w:p>
        </w:tc>
        <w:tc>
          <w:tcPr>
            <w:tcW w:w="3141" w:type="pct"/>
            <w:gridSpan w:val="2"/>
            <w:vAlign w:val="center"/>
          </w:tcPr>
          <w:p>
            <w:pPr>
              <w:widowControl w:val="0"/>
              <w:adjustRightInd w:val="0"/>
              <w:snapToGrid w:val="0"/>
              <w:spacing w:line="360" w:lineRule="exact"/>
              <w:jc w:val="center"/>
              <w:rPr>
                <w:kern w:val="2"/>
                <w:sz w:val="21"/>
                <w:szCs w:val="21"/>
              </w:rPr>
            </w:pPr>
            <w:r>
              <w:rPr>
                <w:kern w:val="2"/>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Merge w:val="continue"/>
            <w:vAlign w:val="center"/>
          </w:tcPr>
          <w:p>
            <w:pPr>
              <w:widowControl w:val="0"/>
              <w:adjustRightInd w:val="0"/>
              <w:snapToGrid w:val="0"/>
              <w:spacing w:line="360" w:lineRule="exact"/>
              <w:jc w:val="both"/>
              <w:rPr>
                <w:kern w:val="2"/>
                <w:sz w:val="21"/>
                <w:szCs w:val="21"/>
              </w:rPr>
            </w:pPr>
          </w:p>
        </w:tc>
        <w:tc>
          <w:tcPr>
            <w:tcW w:w="1568" w:type="pct"/>
            <w:vAlign w:val="center"/>
          </w:tcPr>
          <w:p>
            <w:pPr>
              <w:widowControl w:val="0"/>
              <w:adjustRightInd w:val="0"/>
              <w:snapToGrid w:val="0"/>
              <w:spacing w:line="360" w:lineRule="exact"/>
              <w:jc w:val="center"/>
              <w:rPr>
                <w:kern w:val="2"/>
                <w:sz w:val="21"/>
                <w:szCs w:val="21"/>
              </w:rPr>
            </w:pPr>
            <w:r>
              <w:rPr>
                <w:kern w:val="2"/>
                <w:sz w:val="21"/>
                <w:szCs w:val="21"/>
              </w:rPr>
              <w:t>Ci(ug/m</w:t>
            </w:r>
            <w:r>
              <w:rPr>
                <w:kern w:val="2"/>
                <w:sz w:val="21"/>
                <w:szCs w:val="21"/>
                <w:vertAlign w:val="superscript"/>
              </w:rPr>
              <w:t>3</w:t>
            </w:r>
            <w:r>
              <w:rPr>
                <w:kern w:val="2"/>
                <w:sz w:val="21"/>
                <w:szCs w:val="21"/>
              </w:rPr>
              <w:t>)</w:t>
            </w:r>
          </w:p>
        </w:tc>
        <w:tc>
          <w:tcPr>
            <w:tcW w:w="1573" w:type="pct"/>
            <w:vAlign w:val="center"/>
          </w:tcPr>
          <w:p>
            <w:pPr>
              <w:widowControl w:val="0"/>
              <w:adjustRightInd w:val="0"/>
              <w:snapToGrid w:val="0"/>
              <w:spacing w:line="360" w:lineRule="exact"/>
              <w:jc w:val="center"/>
              <w:rPr>
                <w:kern w:val="2"/>
                <w:sz w:val="21"/>
                <w:szCs w:val="21"/>
              </w:rPr>
            </w:pPr>
            <w:r>
              <w:rPr>
                <w:kern w:val="2"/>
                <w:sz w:val="21"/>
                <w:szCs w:val="21"/>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50.0</w:t>
            </w:r>
          </w:p>
        </w:tc>
        <w:tc>
          <w:tcPr>
            <w:tcW w:w="2915" w:type="dxa"/>
            <w:vAlign w:val="center"/>
          </w:tcPr>
          <w:p>
            <w:pPr>
              <w:spacing w:line="360" w:lineRule="exact"/>
              <w:jc w:val="center"/>
              <w:rPr>
                <w:kern w:val="2"/>
                <w:sz w:val="21"/>
                <w:szCs w:val="21"/>
              </w:rPr>
            </w:pPr>
            <w:r>
              <w:rPr>
                <w:sz w:val="21"/>
                <w:szCs w:val="21"/>
              </w:rPr>
              <w:t>0.8003</w:t>
            </w:r>
          </w:p>
        </w:tc>
        <w:tc>
          <w:tcPr>
            <w:tcW w:w="2916" w:type="dxa"/>
            <w:vAlign w:val="center"/>
          </w:tcPr>
          <w:p>
            <w:pPr>
              <w:spacing w:line="360" w:lineRule="exact"/>
              <w:jc w:val="center"/>
              <w:rPr>
                <w:kern w:val="2"/>
                <w:sz w:val="21"/>
                <w:szCs w:val="21"/>
              </w:rPr>
            </w:pPr>
            <w:r>
              <w:rPr>
                <w:sz w:val="21"/>
                <w:szCs w:val="21"/>
              </w:rPr>
              <w:t>0.0889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100.0</w:t>
            </w:r>
          </w:p>
        </w:tc>
        <w:tc>
          <w:tcPr>
            <w:tcW w:w="2915" w:type="dxa"/>
            <w:vAlign w:val="center"/>
          </w:tcPr>
          <w:p>
            <w:pPr>
              <w:spacing w:line="360" w:lineRule="exact"/>
              <w:jc w:val="center"/>
              <w:rPr>
                <w:kern w:val="2"/>
                <w:sz w:val="21"/>
                <w:szCs w:val="21"/>
              </w:rPr>
            </w:pPr>
            <w:r>
              <w:rPr>
                <w:sz w:val="21"/>
                <w:szCs w:val="21"/>
              </w:rPr>
              <w:t>0.6570</w:t>
            </w:r>
          </w:p>
        </w:tc>
        <w:tc>
          <w:tcPr>
            <w:tcW w:w="2916" w:type="dxa"/>
            <w:vAlign w:val="center"/>
          </w:tcPr>
          <w:p>
            <w:pPr>
              <w:spacing w:line="360" w:lineRule="exact"/>
              <w:jc w:val="center"/>
              <w:rPr>
                <w:kern w:val="2"/>
                <w:sz w:val="21"/>
                <w:szCs w:val="21"/>
              </w:rPr>
            </w:pPr>
            <w:r>
              <w:rPr>
                <w:sz w:val="21"/>
                <w:szCs w:val="21"/>
              </w:rPr>
              <w:t>0.0730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200.0</w:t>
            </w:r>
          </w:p>
        </w:tc>
        <w:tc>
          <w:tcPr>
            <w:tcW w:w="2915" w:type="dxa"/>
            <w:vAlign w:val="center"/>
          </w:tcPr>
          <w:p>
            <w:pPr>
              <w:spacing w:line="360" w:lineRule="exact"/>
              <w:jc w:val="center"/>
              <w:rPr>
                <w:kern w:val="2"/>
                <w:sz w:val="21"/>
                <w:szCs w:val="21"/>
              </w:rPr>
            </w:pPr>
            <w:r>
              <w:rPr>
                <w:sz w:val="21"/>
                <w:szCs w:val="21"/>
              </w:rPr>
              <w:t>0.4692</w:t>
            </w:r>
          </w:p>
        </w:tc>
        <w:tc>
          <w:tcPr>
            <w:tcW w:w="2916" w:type="dxa"/>
            <w:vAlign w:val="center"/>
          </w:tcPr>
          <w:p>
            <w:pPr>
              <w:spacing w:line="360" w:lineRule="exact"/>
              <w:jc w:val="center"/>
              <w:rPr>
                <w:kern w:val="2"/>
                <w:sz w:val="21"/>
                <w:szCs w:val="21"/>
              </w:rPr>
            </w:pPr>
            <w:r>
              <w:rPr>
                <w:sz w:val="21"/>
                <w:szCs w:val="21"/>
              </w:rPr>
              <w:t>0.0521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300.0</w:t>
            </w:r>
          </w:p>
        </w:tc>
        <w:tc>
          <w:tcPr>
            <w:tcW w:w="2915" w:type="dxa"/>
            <w:vAlign w:val="center"/>
          </w:tcPr>
          <w:p>
            <w:pPr>
              <w:spacing w:line="360" w:lineRule="exact"/>
              <w:jc w:val="center"/>
              <w:rPr>
                <w:kern w:val="2"/>
                <w:sz w:val="21"/>
                <w:szCs w:val="21"/>
              </w:rPr>
            </w:pPr>
            <w:r>
              <w:rPr>
                <w:sz w:val="21"/>
                <w:szCs w:val="21"/>
              </w:rPr>
              <w:t>0.3942</w:t>
            </w:r>
          </w:p>
        </w:tc>
        <w:tc>
          <w:tcPr>
            <w:tcW w:w="2916" w:type="dxa"/>
            <w:vAlign w:val="center"/>
          </w:tcPr>
          <w:p>
            <w:pPr>
              <w:spacing w:line="360" w:lineRule="exact"/>
              <w:jc w:val="center"/>
              <w:rPr>
                <w:kern w:val="2"/>
                <w:sz w:val="21"/>
                <w:szCs w:val="21"/>
              </w:rPr>
            </w:pPr>
            <w:r>
              <w:rPr>
                <w:sz w:val="21"/>
                <w:szCs w:val="21"/>
              </w:rPr>
              <w:t>0.0438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400.0</w:t>
            </w:r>
          </w:p>
        </w:tc>
        <w:tc>
          <w:tcPr>
            <w:tcW w:w="2915" w:type="dxa"/>
            <w:vAlign w:val="center"/>
          </w:tcPr>
          <w:p>
            <w:pPr>
              <w:spacing w:line="360" w:lineRule="exact"/>
              <w:jc w:val="center"/>
              <w:rPr>
                <w:kern w:val="2"/>
                <w:sz w:val="21"/>
                <w:szCs w:val="21"/>
              </w:rPr>
            </w:pPr>
            <w:r>
              <w:rPr>
                <w:sz w:val="21"/>
                <w:szCs w:val="21"/>
              </w:rPr>
              <w:t>0.3398</w:t>
            </w:r>
          </w:p>
        </w:tc>
        <w:tc>
          <w:tcPr>
            <w:tcW w:w="2916" w:type="dxa"/>
            <w:vAlign w:val="center"/>
          </w:tcPr>
          <w:p>
            <w:pPr>
              <w:spacing w:line="360" w:lineRule="exact"/>
              <w:jc w:val="center"/>
              <w:rPr>
                <w:kern w:val="2"/>
                <w:sz w:val="21"/>
                <w:szCs w:val="21"/>
              </w:rPr>
            </w:pPr>
            <w:r>
              <w:rPr>
                <w:sz w:val="21"/>
                <w:szCs w:val="21"/>
              </w:rPr>
              <w:t>0.0378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500.0</w:t>
            </w:r>
          </w:p>
        </w:tc>
        <w:tc>
          <w:tcPr>
            <w:tcW w:w="2915" w:type="dxa"/>
            <w:vAlign w:val="center"/>
          </w:tcPr>
          <w:p>
            <w:pPr>
              <w:spacing w:line="360" w:lineRule="exact"/>
              <w:jc w:val="center"/>
              <w:rPr>
                <w:kern w:val="2"/>
                <w:sz w:val="21"/>
                <w:szCs w:val="21"/>
              </w:rPr>
            </w:pPr>
            <w:r>
              <w:rPr>
                <w:sz w:val="21"/>
                <w:szCs w:val="21"/>
              </w:rPr>
              <w:t>0.2963</w:t>
            </w:r>
          </w:p>
        </w:tc>
        <w:tc>
          <w:tcPr>
            <w:tcW w:w="2916" w:type="dxa"/>
            <w:vAlign w:val="center"/>
          </w:tcPr>
          <w:p>
            <w:pPr>
              <w:spacing w:line="360" w:lineRule="exact"/>
              <w:jc w:val="center"/>
              <w:rPr>
                <w:kern w:val="2"/>
                <w:sz w:val="21"/>
                <w:szCs w:val="21"/>
              </w:rPr>
            </w:pPr>
            <w:r>
              <w:rPr>
                <w:sz w:val="21"/>
                <w:szCs w:val="21"/>
              </w:rPr>
              <w:t>0.0329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600.0</w:t>
            </w:r>
          </w:p>
        </w:tc>
        <w:tc>
          <w:tcPr>
            <w:tcW w:w="2915" w:type="dxa"/>
            <w:vAlign w:val="center"/>
          </w:tcPr>
          <w:p>
            <w:pPr>
              <w:spacing w:line="360" w:lineRule="exact"/>
              <w:jc w:val="center"/>
              <w:rPr>
                <w:kern w:val="2"/>
                <w:sz w:val="21"/>
                <w:szCs w:val="21"/>
              </w:rPr>
            </w:pPr>
            <w:r>
              <w:rPr>
                <w:sz w:val="21"/>
                <w:szCs w:val="21"/>
              </w:rPr>
              <w:t>0.2618</w:t>
            </w:r>
          </w:p>
        </w:tc>
        <w:tc>
          <w:tcPr>
            <w:tcW w:w="2916" w:type="dxa"/>
            <w:vAlign w:val="center"/>
          </w:tcPr>
          <w:p>
            <w:pPr>
              <w:spacing w:line="360" w:lineRule="exact"/>
              <w:jc w:val="center"/>
              <w:rPr>
                <w:kern w:val="2"/>
                <w:sz w:val="21"/>
                <w:szCs w:val="21"/>
              </w:rPr>
            </w:pPr>
            <w:r>
              <w:rPr>
                <w:sz w:val="21"/>
                <w:szCs w:val="21"/>
              </w:rPr>
              <w:t>0.0291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700.0</w:t>
            </w:r>
          </w:p>
        </w:tc>
        <w:tc>
          <w:tcPr>
            <w:tcW w:w="2915" w:type="dxa"/>
            <w:vAlign w:val="center"/>
          </w:tcPr>
          <w:p>
            <w:pPr>
              <w:spacing w:line="360" w:lineRule="exact"/>
              <w:jc w:val="center"/>
              <w:rPr>
                <w:kern w:val="2"/>
                <w:sz w:val="21"/>
                <w:szCs w:val="21"/>
              </w:rPr>
            </w:pPr>
            <w:r>
              <w:rPr>
                <w:sz w:val="21"/>
                <w:szCs w:val="21"/>
              </w:rPr>
              <w:t>0.2350</w:t>
            </w:r>
          </w:p>
        </w:tc>
        <w:tc>
          <w:tcPr>
            <w:tcW w:w="2916" w:type="dxa"/>
            <w:vAlign w:val="center"/>
          </w:tcPr>
          <w:p>
            <w:pPr>
              <w:spacing w:line="360" w:lineRule="exact"/>
              <w:jc w:val="center"/>
              <w:rPr>
                <w:kern w:val="2"/>
                <w:sz w:val="21"/>
                <w:szCs w:val="21"/>
              </w:rPr>
            </w:pPr>
            <w:r>
              <w:rPr>
                <w:sz w:val="21"/>
                <w:szCs w:val="21"/>
              </w:rPr>
              <w:t>0.0261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800.0</w:t>
            </w:r>
          </w:p>
        </w:tc>
        <w:tc>
          <w:tcPr>
            <w:tcW w:w="2915" w:type="dxa"/>
            <w:vAlign w:val="center"/>
          </w:tcPr>
          <w:p>
            <w:pPr>
              <w:spacing w:line="360" w:lineRule="exact"/>
              <w:jc w:val="center"/>
              <w:rPr>
                <w:kern w:val="2"/>
                <w:sz w:val="21"/>
                <w:szCs w:val="21"/>
              </w:rPr>
            </w:pPr>
            <w:r>
              <w:rPr>
                <w:sz w:val="21"/>
                <w:szCs w:val="21"/>
              </w:rPr>
              <w:t>0.2133</w:t>
            </w:r>
          </w:p>
        </w:tc>
        <w:tc>
          <w:tcPr>
            <w:tcW w:w="2916" w:type="dxa"/>
            <w:vAlign w:val="center"/>
          </w:tcPr>
          <w:p>
            <w:pPr>
              <w:spacing w:line="360" w:lineRule="exact"/>
              <w:jc w:val="center"/>
              <w:rPr>
                <w:kern w:val="2"/>
                <w:sz w:val="21"/>
                <w:szCs w:val="21"/>
              </w:rPr>
            </w:pPr>
            <w:r>
              <w:rPr>
                <w:sz w:val="21"/>
                <w:szCs w:val="21"/>
              </w:rPr>
              <w:t>0.0237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900.0</w:t>
            </w:r>
          </w:p>
        </w:tc>
        <w:tc>
          <w:tcPr>
            <w:tcW w:w="2915" w:type="dxa"/>
            <w:vAlign w:val="center"/>
          </w:tcPr>
          <w:p>
            <w:pPr>
              <w:spacing w:line="360" w:lineRule="exact"/>
              <w:jc w:val="center"/>
              <w:rPr>
                <w:kern w:val="2"/>
                <w:sz w:val="21"/>
                <w:szCs w:val="21"/>
              </w:rPr>
            </w:pPr>
            <w:r>
              <w:rPr>
                <w:sz w:val="21"/>
                <w:szCs w:val="21"/>
              </w:rPr>
              <w:t>0.1954</w:t>
            </w:r>
          </w:p>
        </w:tc>
        <w:tc>
          <w:tcPr>
            <w:tcW w:w="2916" w:type="dxa"/>
            <w:vAlign w:val="center"/>
          </w:tcPr>
          <w:p>
            <w:pPr>
              <w:spacing w:line="360" w:lineRule="exact"/>
              <w:jc w:val="center"/>
              <w:rPr>
                <w:kern w:val="2"/>
                <w:sz w:val="21"/>
                <w:szCs w:val="21"/>
              </w:rPr>
            </w:pPr>
            <w:r>
              <w:rPr>
                <w:sz w:val="21"/>
                <w:szCs w:val="21"/>
              </w:rPr>
              <w:t>0.0217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1000.0</w:t>
            </w:r>
          </w:p>
        </w:tc>
        <w:tc>
          <w:tcPr>
            <w:tcW w:w="2915" w:type="dxa"/>
            <w:vAlign w:val="center"/>
          </w:tcPr>
          <w:p>
            <w:pPr>
              <w:spacing w:line="360" w:lineRule="exact"/>
              <w:jc w:val="center"/>
              <w:rPr>
                <w:kern w:val="2"/>
                <w:sz w:val="21"/>
                <w:szCs w:val="21"/>
              </w:rPr>
            </w:pPr>
            <w:r>
              <w:rPr>
                <w:sz w:val="21"/>
                <w:szCs w:val="21"/>
              </w:rPr>
              <w:t>0.1802</w:t>
            </w:r>
          </w:p>
        </w:tc>
        <w:tc>
          <w:tcPr>
            <w:tcW w:w="2916" w:type="dxa"/>
            <w:vAlign w:val="center"/>
          </w:tcPr>
          <w:p>
            <w:pPr>
              <w:spacing w:line="360" w:lineRule="exact"/>
              <w:jc w:val="center"/>
              <w:rPr>
                <w:kern w:val="2"/>
                <w:sz w:val="21"/>
                <w:szCs w:val="21"/>
              </w:rPr>
            </w:pPr>
            <w:r>
              <w:rPr>
                <w:sz w:val="21"/>
                <w:szCs w:val="21"/>
              </w:rPr>
              <w:t>0.0200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1200.0</w:t>
            </w:r>
          </w:p>
        </w:tc>
        <w:tc>
          <w:tcPr>
            <w:tcW w:w="2915" w:type="dxa"/>
            <w:vAlign w:val="center"/>
          </w:tcPr>
          <w:p>
            <w:pPr>
              <w:spacing w:line="360" w:lineRule="exact"/>
              <w:jc w:val="center"/>
              <w:rPr>
                <w:kern w:val="2"/>
                <w:sz w:val="21"/>
                <w:szCs w:val="21"/>
              </w:rPr>
            </w:pPr>
            <w:r>
              <w:rPr>
                <w:sz w:val="21"/>
                <w:szCs w:val="21"/>
              </w:rPr>
              <w:t>0.1556</w:t>
            </w:r>
          </w:p>
        </w:tc>
        <w:tc>
          <w:tcPr>
            <w:tcW w:w="2916" w:type="dxa"/>
            <w:vAlign w:val="center"/>
          </w:tcPr>
          <w:p>
            <w:pPr>
              <w:spacing w:line="360" w:lineRule="exact"/>
              <w:jc w:val="center"/>
              <w:rPr>
                <w:kern w:val="2"/>
                <w:sz w:val="21"/>
                <w:szCs w:val="21"/>
              </w:rPr>
            </w:pPr>
            <w:r>
              <w:rPr>
                <w:sz w:val="21"/>
                <w:szCs w:val="21"/>
              </w:rPr>
              <w:t>0.0173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1400.0</w:t>
            </w:r>
          </w:p>
        </w:tc>
        <w:tc>
          <w:tcPr>
            <w:tcW w:w="2915" w:type="dxa"/>
            <w:vAlign w:val="center"/>
          </w:tcPr>
          <w:p>
            <w:pPr>
              <w:spacing w:line="360" w:lineRule="exact"/>
              <w:jc w:val="center"/>
              <w:rPr>
                <w:kern w:val="2"/>
                <w:sz w:val="21"/>
                <w:szCs w:val="21"/>
              </w:rPr>
            </w:pPr>
            <w:r>
              <w:rPr>
                <w:sz w:val="21"/>
                <w:szCs w:val="21"/>
              </w:rPr>
              <w:t>0.1364</w:t>
            </w:r>
          </w:p>
        </w:tc>
        <w:tc>
          <w:tcPr>
            <w:tcW w:w="2916" w:type="dxa"/>
            <w:vAlign w:val="center"/>
          </w:tcPr>
          <w:p>
            <w:pPr>
              <w:spacing w:line="360" w:lineRule="exact"/>
              <w:jc w:val="center"/>
              <w:rPr>
                <w:kern w:val="2"/>
                <w:sz w:val="21"/>
                <w:szCs w:val="21"/>
              </w:rPr>
            </w:pPr>
            <w:r>
              <w:rPr>
                <w:sz w:val="21"/>
                <w:szCs w:val="21"/>
              </w:rPr>
              <w:t>0.0152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1600.0</w:t>
            </w:r>
          </w:p>
        </w:tc>
        <w:tc>
          <w:tcPr>
            <w:tcW w:w="2915" w:type="dxa"/>
            <w:vAlign w:val="center"/>
          </w:tcPr>
          <w:p>
            <w:pPr>
              <w:spacing w:line="360" w:lineRule="exact"/>
              <w:jc w:val="center"/>
              <w:rPr>
                <w:kern w:val="2"/>
                <w:sz w:val="21"/>
                <w:szCs w:val="21"/>
              </w:rPr>
            </w:pPr>
            <w:r>
              <w:rPr>
                <w:sz w:val="21"/>
                <w:szCs w:val="21"/>
              </w:rPr>
              <w:t>0.1211</w:t>
            </w:r>
          </w:p>
        </w:tc>
        <w:tc>
          <w:tcPr>
            <w:tcW w:w="2916" w:type="dxa"/>
            <w:vAlign w:val="center"/>
          </w:tcPr>
          <w:p>
            <w:pPr>
              <w:spacing w:line="360" w:lineRule="exact"/>
              <w:jc w:val="center"/>
              <w:rPr>
                <w:kern w:val="2"/>
                <w:sz w:val="21"/>
                <w:szCs w:val="21"/>
              </w:rPr>
            </w:pPr>
            <w:r>
              <w:rPr>
                <w:sz w:val="21"/>
                <w:szCs w:val="21"/>
              </w:rPr>
              <w:t>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1800.0</w:t>
            </w:r>
          </w:p>
        </w:tc>
        <w:tc>
          <w:tcPr>
            <w:tcW w:w="2915" w:type="dxa"/>
            <w:vAlign w:val="center"/>
          </w:tcPr>
          <w:p>
            <w:pPr>
              <w:spacing w:line="360" w:lineRule="exact"/>
              <w:jc w:val="center"/>
              <w:rPr>
                <w:kern w:val="2"/>
                <w:sz w:val="21"/>
                <w:szCs w:val="21"/>
              </w:rPr>
            </w:pPr>
            <w:r>
              <w:rPr>
                <w:sz w:val="21"/>
                <w:szCs w:val="21"/>
              </w:rPr>
              <w:t>0.1117</w:t>
            </w:r>
          </w:p>
        </w:tc>
        <w:tc>
          <w:tcPr>
            <w:tcW w:w="2916" w:type="dxa"/>
            <w:vAlign w:val="center"/>
          </w:tcPr>
          <w:p>
            <w:pPr>
              <w:spacing w:line="360" w:lineRule="exact"/>
              <w:jc w:val="center"/>
              <w:rPr>
                <w:kern w:val="2"/>
                <w:sz w:val="21"/>
                <w:szCs w:val="21"/>
              </w:rPr>
            </w:pPr>
            <w:r>
              <w:rPr>
                <w:sz w:val="21"/>
                <w:szCs w:val="21"/>
              </w:rPr>
              <w:t>0.0124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2000.0</w:t>
            </w:r>
          </w:p>
        </w:tc>
        <w:tc>
          <w:tcPr>
            <w:tcW w:w="2915" w:type="dxa"/>
            <w:vAlign w:val="center"/>
          </w:tcPr>
          <w:p>
            <w:pPr>
              <w:spacing w:line="360" w:lineRule="exact"/>
              <w:jc w:val="center"/>
              <w:rPr>
                <w:kern w:val="2"/>
                <w:sz w:val="21"/>
                <w:szCs w:val="21"/>
              </w:rPr>
            </w:pPr>
            <w:r>
              <w:rPr>
                <w:sz w:val="21"/>
                <w:szCs w:val="21"/>
              </w:rPr>
              <w:t>0.1036</w:t>
            </w:r>
          </w:p>
        </w:tc>
        <w:tc>
          <w:tcPr>
            <w:tcW w:w="2916" w:type="dxa"/>
            <w:vAlign w:val="center"/>
          </w:tcPr>
          <w:p>
            <w:pPr>
              <w:spacing w:line="360" w:lineRule="exact"/>
              <w:jc w:val="center"/>
              <w:rPr>
                <w:kern w:val="2"/>
                <w:sz w:val="21"/>
                <w:szCs w:val="21"/>
              </w:rPr>
            </w:pPr>
            <w:r>
              <w:rPr>
                <w:sz w:val="21"/>
                <w:szCs w:val="21"/>
              </w:rPr>
              <w:t>0.0115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2500.0</w:t>
            </w:r>
          </w:p>
        </w:tc>
        <w:tc>
          <w:tcPr>
            <w:tcW w:w="2915" w:type="dxa"/>
            <w:vAlign w:val="center"/>
          </w:tcPr>
          <w:p>
            <w:pPr>
              <w:spacing w:line="360" w:lineRule="exact"/>
              <w:jc w:val="center"/>
              <w:rPr>
                <w:kern w:val="2"/>
                <w:sz w:val="21"/>
                <w:szCs w:val="21"/>
              </w:rPr>
            </w:pPr>
            <w:r>
              <w:rPr>
                <w:sz w:val="21"/>
                <w:szCs w:val="21"/>
              </w:rPr>
              <w:t>0.0874</w:t>
            </w:r>
          </w:p>
        </w:tc>
        <w:tc>
          <w:tcPr>
            <w:tcW w:w="2916" w:type="dxa"/>
            <w:vAlign w:val="center"/>
          </w:tcPr>
          <w:p>
            <w:pPr>
              <w:spacing w:line="360" w:lineRule="exact"/>
              <w:jc w:val="center"/>
              <w:rPr>
                <w:kern w:val="2"/>
                <w:sz w:val="21"/>
                <w:szCs w:val="21"/>
              </w:rPr>
            </w:pPr>
            <w:r>
              <w:rPr>
                <w:sz w:val="21"/>
                <w:szCs w:val="21"/>
              </w:rPr>
              <w:t>0.0097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adjustRightInd w:val="0"/>
              <w:snapToGrid w:val="0"/>
              <w:spacing w:line="360" w:lineRule="exact"/>
              <w:jc w:val="center"/>
              <w:rPr>
                <w:kern w:val="2"/>
                <w:sz w:val="21"/>
                <w:szCs w:val="21"/>
              </w:rPr>
            </w:pPr>
            <w:r>
              <w:rPr>
                <w:kern w:val="2"/>
                <w:sz w:val="21"/>
                <w:szCs w:val="21"/>
              </w:rPr>
              <w:t>下风向最大浓度</w:t>
            </w:r>
          </w:p>
        </w:tc>
        <w:tc>
          <w:tcPr>
            <w:tcW w:w="2915" w:type="dxa"/>
            <w:vAlign w:val="center"/>
          </w:tcPr>
          <w:p>
            <w:pPr>
              <w:spacing w:line="360" w:lineRule="exact"/>
              <w:jc w:val="center"/>
              <w:rPr>
                <w:kern w:val="2"/>
                <w:sz w:val="21"/>
                <w:szCs w:val="21"/>
              </w:rPr>
            </w:pPr>
            <w:r>
              <w:rPr>
                <w:sz w:val="21"/>
                <w:szCs w:val="21"/>
              </w:rPr>
              <w:t>1.5333</w:t>
            </w:r>
          </w:p>
        </w:tc>
        <w:tc>
          <w:tcPr>
            <w:tcW w:w="2916" w:type="dxa"/>
            <w:vAlign w:val="center"/>
          </w:tcPr>
          <w:p>
            <w:pPr>
              <w:spacing w:line="360" w:lineRule="exact"/>
              <w:jc w:val="center"/>
              <w:rPr>
                <w:kern w:val="2"/>
                <w:sz w:val="21"/>
                <w:szCs w:val="21"/>
              </w:rPr>
            </w:pPr>
            <w:r>
              <w:rPr>
                <w:sz w:val="21"/>
                <w:szCs w:val="21"/>
              </w:rPr>
              <w:t>0.1704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adjustRightInd w:val="0"/>
              <w:snapToGrid w:val="0"/>
              <w:spacing w:line="360" w:lineRule="exact"/>
              <w:jc w:val="both"/>
              <w:rPr>
                <w:kern w:val="2"/>
                <w:sz w:val="21"/>
                <w:szCs w:val="21"/>
              </w:rPr>
            </w:pPr>
            <w:r>
              <w:rPr>
                <w:kern w:val="2"/>
                <w:sz w:val="21"/>
                <w:szCs w:val="21"/>
              </w:rPr>
              <w:t>下风向最大浓度出现距离（m）</w:t>
            </w:r>
          </w:p>
        </w:tc>
        <w:tc>
          <w:tcPr>
            <w:tcW w:w="3141" w:type="pct"/>
            <w:gridSpan w:val="2"/>
          </w:tcPr>
          <w:p>
            <w:pPr>
              <w:widowControl w:val="0"/>
              <w:adjustRightInd w:val="0"/>
              <w:snapToGrid w:val="0"/>
              <w:spacing w:line="360" w:lineRule="exact"/>
              <w:jc w:val="center"/>
              <w:rPr>
                <w:kern w:val="2"/>
                <w:sz w:val="21"/>
                <w:szCs w:val="21"/>
              </w:rPr>
            </w:pPr>
            <w:r>
              <w:rPr>
                <w:kern w:val="2"/>
                <w:sz w:val="21"/>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Merge w:val="restart"/>
            <w:vAlign w:val="center"/>
          </w:tcPr>
          <w:p>
            <w:pPr>
              <w:widowControl w:val="0"/>
              <w:adjustRightInd w:val="0"/>
              <w:snapToGrid w:val="0"/>
              <w:spacing w:line="360" w:lineRule="exact"/>
              <w:jc w:val="center"/>
              <w:rPr>
                <w:kern w:val="2"/>
                <w:sz w:val="21"/>
                <w:szCs w:val="21"/>
              </w:rPr>
            </w:pPr>
            <w:r>
              <w:rPr>
                <w:kern w:val="2"/>
                <w:sz w:val="21"/>
                <w:szCs w:val="21"/>
              </w:rPr>
              <w:t>距源中心</w:t>
            </w:r>
          </w:p>
          <w:p>
            <w:pPr>
              <w:widowControl w:val="0"/>
              <w:adjustRightInd w:val="0"/>
              <w:snapToGrid w:val="0"/>
              <w:spacing w:line="360" w:lineRule="exact"/>
              <w:jc w:val="center"/>
              <w:rPr>
                <w:kern w:val="2"/>
                <w:sz w:val="21"/>
                <w:szCs w:val="21"/>
              </w:rPr>
            </w:pPr>
            <w:r>
              <w:rPr>
                <w:kern w:val="2"/>
                <w:sz w:val="21"/>
                <w:szCs w:val="21"/>
              </w:rPr>
              <w:t>下风向距离D(m)</w:t>
            </w:r>
          </w:p>
        </w:tc>
        <w:tc>
          <w:tcPr>
            <w:tcW w:w="3141" w:type="pct"/>
            <w:gridSpan w:val="2"/>
          </w:tcPr>
          <w:p>
            <w:pPr>
              <w:widowControl w:val="0"/>
              <w:adjustRightInd w:val="0"/>
              <w:snapToGrid w:val="0"/>
              <w:spacing w:line="360" w:lineRule="exact"/>
              <w:jc w:val="center"/>
              <w:rPr>
                <w:kern w:val="2"/>
                <w:sz w:val="21"/>
                <w:szCs w:val="21"/>
              </w:rPr>
            </w:pPr>
            <w:r>
              <w:rPr>
                <w:kern w:val="2"/>
                <w:sz w:val="21"/>
                <w:szCs w:val="21"/>
              </w:rPr>
              <w:t>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Merge w:val="continue"/>
            <w:vAlign w:val="center"/>
          </w:tcPr>
          <w:p>
            <w:pPr>
              <w:widowControl w:val="0"/>
              <w:adjustRightInd w:val="0"/>
              <w:snapToGrid w:val="0"/>
              <w:spacing w:line="360" w:lineRule="exact"/>
              <w:jc w:val="both"/>
              <w:rPr>
                <w:kern w:val="2"/>
                <w:sz w:val="21"/>
                <w:szCs w:val="21"/>
              </w:rPr>
            </w:pPr>
          </w:p>
        </w:tc>
        <w:tc>
          <w:tcPr>
            <w:tcW w:w="3141" w:type="pct"/>
            <w:gridSpan w:val="2"/>
          </w:tcPr>
          <w:p>
            <w:pPr>
              <w:widowControl w:val="0"/>
              <w:adjustRightInd w:val="0"/>
              <w:snapToGrid w:val="0"/>
              <w:spacing w:line="360" w:lineRule="exact"/>
              <w:jc w:val="center"/>
              <w:rPr>
                <w:kern w:val="2"/>
                <w:sz w:val="21"/>
                <w:szCs w:val="21"/>
              </w:rPr>
            </w:pPr>
            <w:r>
              <w:rPr>
                <w:kern w:val="2"/>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Merge w:val="continue"/>
            <w:vAlign w:val="center"/>
          </w:tcPr>
          <w:p>
            <w:pPr>
              <w:widowControl w:val="0"/>
              <w:adjustRightInd w:val="0"/>
              <w:snapToGrid w:val="0"/>
              <w:spacing w:line="360" w:lineRule="exact"/>
              <w:jc w:val="both"/>
              <w:rPr>
                <w:kern w:val="2"/>
                <w:sz w:val="21"/>
                <w:szCs w:val="21"/>
              </w:rPr>
            </w:pPr>
          </w:p>
        </w:tc>
        <w:tc>
          <w:tcPr>
            <w:tcW w:w="1570" w:type="pct"/>
            <w:vAlign w:val="center"/>
          </w:tcPr>
          <w:p>
            <w:pPr>
              <w:widowControl w:val="0"/>
              <w:adjustRightInd w:val="0"/>
              <w:snapToGrid w:val="0"/>
              <w:spacing w:line="360" w:lineRule="exact"/>
              <w:jc w:val="center"/>
              <w:rPr>
                <w:kern w:val="2"/>
                <w:sz w:val="21"/>
                <w:szCs w:val="21"/>
              </w:rPr>
            </w:pPr>
            <w:r>
              <w:rPr>
                <w:kern w:val="2"/>
                <w:sz w:val="21"/>
                <w:szCs w:val="21"/>
              </w:rPr>
              <w:t>Ci(ug/m</w:t>
            </w:r>
            <w:r>
              <w:rPr>
                <w:kern w:val="2"/>
                <w:sz w:val="21"/>
                <w:szCs w:val="21"/>
                <w:vertAlign w:val="superscript"/>
              </w:rPr>
              <w:t>3</w:t>
            </w:r>
            <w:r>
              <w:rPr>
                <w:kern w:val="2"/>
                <w:sz w:val="21"/>
                <w:szCs w:val="21"/>
              </w:rPr>
              <w:t>)</w:t>
            </w:r>
          </w:p>
        </w:tc>
        <w:tc>
          <w:tcPr>
            <w:tcW w:w="1571" w:type="pct"/>
            <w:vAlign w:val="center"/>
          </w:tcPr>
          <w:p>
            <w:pPr>
              <w:widowControl w:val="0"/>
              <w:adjustRightInd w:val="0"/>
              <w:snapToGrid w:val="0"/>
              <w:spacing w:line="360" w:lineRule="exact"/>
              <w:jc w:val="center"/>
              <w:rPr>
                <w:kern w:val="2"/>
                <w:sz w:val="21"/>
                <w:szCs w:val="21"/>
              </w:rPr>
            </w:pPr>
            <w:r>
              <w:rPr>
                <w:kern w:val="2"/>
                <w:sz w:val="21"/>
                <w:szCs w:val="21"/>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50.0</w:t>
            </w:r>
          </w:p>
        </w:tc>
        <w:tc>
          <w:tcPr>
            <w:tcW w:w="2915" w:type="dxa"/>
            <w:vAlign w:val="center"/>
          </w:tcPr>
          <w:p>
            <w:pPr>
              <w:spacing w:line="360" w:lineRule="exact"/>
              <w:jc w:val="center"/>
              <w:rPr>
                <w:kern w:val="2"/>
                <w:sz w:val="21"/>
                <w:szCs w:val="21"/>
              </w:rPr>
            </w:pPr>
            <w:r>
              <w:rPr>
                <w:sz w:val="21"/>
                <w:szCs w:val="21"/>
              </w:rPr>
              <w:t>2.0633</w:t>
            </w:r>
          </w:p>
        </w:tc>
        <w:tc>
          <w:tcPr>
            <w:tcW w:w="2916" w:type="dxa"/>
            <w:vAlign w:val="center"/>
          </w:tcPr>
          <w:p>
            <w:pPr>
              <w:spacing w:line="360" w:lineRule="exact"/>
              <w:jc w:val="center"/>
              <w:rPr>
                <w:kern w:val="2"/>
                <w:sz w:val="21"/>
                <w:szCs w:val="21"/>
              </w:rPr>
            </w:pPr>
            <w:r>
              <w:rPr>
                <w:sz w:val="21"/>
                <w:szCs w:val="21"/>
              </w:rPr>
              <w:t>0.2293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100.0</w:t>
            </w:r>
          </w:p>
        </w:tc>
        <w:tc>
          <w:tcPr>
            <w:tcW w:w="2915" w:type="dxa"/>
            <w:vAlign w:val="center"/>
          </w:tcPr>
          <w:p>
            <w:pPr>
              <w:spacing w:line="360" w:lineRule="exact"/>
              <w:jc w:val="center"/>
              <w:rPr>
                <w:kern w:val="2"/>
                <w:sz w:val="21"/>
                <w:szCs w:val="21"/>
              </w:rPr>
            </w:pPr>
            <w:r>
              <w:rPr>
                <w:sz w:val="21"/>
                <w:szCs w:val="21"/>
              </w:rPr>
              <w:t>1.4133</w:t>
            </w:r>
          </w:p>
        </w:tc>
        <w:tc>
          <w:tcPr>
            <w:tcW w:w="2916" w:type="dxa"/>
            <w:vAlign w:val="center"/>
          </w:tcPr>
          <w:p>
            <w:pPr>
              <w:spacing w:line="360" w:lineRule="exact"/>
              <w:jc w:val="center"/>
              <w:rPr>
                <w:kern w:val="2"/>
                <w:sz w:val="21"/>
                <w:szCs w:val="21"/>
              </w:rPr>
            </w:pPr>
            <w:r>
              <w:rPr>
                <w:sz w:val="21"/>
                <w:szCs w:val="21"/>
              </w:rPr>
              <w:t>0.1570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200.0</w:t>
            </w:r>
          </w:p>
        </w:tc>
        <w:tc>
          <w:tcPr>
            <w:tcW w:w="2915" w:type="dxa"/>
            <w:vAlign w:val="center"/>
          </w:tcPr>
          <w:p>
            <w:pPr>
              <w:spacing w:line="360" w:lineRule="exact"/>
              <w:jc w:val="center"/>
              <w:rPr>
                <w:kern w:val="2"/>
                <w:sz w:val="21"/>
                <w:szCs w:val="21"/>
              </w:rPr>
            </w:pPr>
            <w:r>
              <w:rPr>
                <w:sz w:val="21"/>
                <w:szCs w:val="21"/>
              </w:rPr>
              <w:t>0.8113</w:t>
            </w:r>
          </w:p>
        </w:tc>
        <w:tc>
          <w:tcPr>
            <w:tcW w:w="2916" w:type="dxa"/>
            <w:vAlign w:val="center"/>
          </w:tcPr>
          <w:p>
            <w:pPr>
              <w:spacing w:line="360" w:lineRule="exact"/>
              <w:jc w:val="center"/>
              <w:rPr>
                <w:kern w:val="2"/>
                <w:sz w:val="21"/>
                <w:szCs w:val="21"/>
              </w:rPr>
            </w:pPr>
            <w:r>
              <w:rPr>
                <w:sz w:val="21"/>
                <w:szCs w:val="21"/>
              </w:rPr>
              <w:t>0.0901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300.0</w:t>
            </w:r>
          </w:p>
        </w:tc>
        <w:tc>
          <w:tcPr>
            <w:tcW w:w="2915" w:type="dxa"/>
            <w:vAlign w:val="center"/>
          </w:tcPr>
          <w:p>
            <w:pPr>
              <w:spacing w:line="360" w:lineRule="exact"/>
              <w:jc w:val="center"/>
              <w:rPr>
                <w:kern w:val="2"/>
                <w:sz w:val="21"/>
                <w:szCs w:val="21"/>
              </w:rPr>
            </w:pPr>
            <w:r>
              <w:rPr>
                <w:sz w:val="21"/>
                <w:szCs w:val="21"/>
              </w:rPr>
              <w:t>0.6075</w:t>
            </w:r>
          </w:p>
        </w:tc>
        <w:tc>
          <w:tcPr>
            <w:tcW w:w="2916" w:type="dxa"/>
            <w:vAlign w:val="center"/>
          </w:tcPr>
          <w:p>
            <w:pPr>
              <w:spacing w:line="360" w:lineRule="exact"/>
              <w:jc w:val="center"/>
              <w:rPr>
                <w:kern w:val="2"/>
                <w:sz w:val="21"/>
                <w:szCs w:val="21"/>
              </w:rPr>
            </w:pPr>
            <w:r>
              <w:rPr>
                <w:sz w:val="21"/>
                <w:szCs w:val="21"/>
              </w:rPr>
              <w:t>0.0675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400.0</w:t>
            </w:r>
          </w:p>
        </w:tc>
        <w:tc>
          <w:tcPr>
            <w:tcW w:w="2915" w:type="dxa"/>
            <w:vAlign w:val="center"/>
          </w:tcPr>
          <w:p>
            <w:pPr>
              <w:spacing w:line="360" w:lineRule="exact"/>
              <w:jc w:val="center"/>
              <w:rPr>
                <w:sz w:val="21"/>
                <w:szCs w:val="21"/>
              </w:rPr>
            </w:pPr>
            <w:r>
              <w:rPr>
                <w:sz w:val="21"/>
                <w:szCs w:val="21"/>
              </w:rPr>
              <w:t>0.4953</w:t>
            </w:r>
          </w:p>
        </w:tc>
        <w:tc>
          <w:tcPr>
            <w:tcW w:w="2916" w:type="dxa"/>
            <w:vAlign w:val="center"/>
          </w:tcPr>
          <w:p>
            <w:pPr>
              <w:spacing w:line="360" w:lineRule="exact"/>
              <w:jc w:val="center"/>
              <w:rPr>
                <w:kern w:val="2"/>
                <w:sz w:val="21"/>
                <w:szCs w:val="21"/>
              </w:rPr>
            </w:pPr>
            <w:r>
              <w:rPr>
                <w:sz w:val="21"/>
                <w:szCs w:val="21"/>
              </w:rPr>
              <w:t>0.0550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500.0</w:t>
            </w:r>
          </w:p>
        </w:tc>
        <w:tc>
          <w:tcPr>
            <w:tcW w:w="2915" w:type="dxa"/>
            <w:vAlign w:val="center"/>
          </w:tcPr>
          <w:p>
            <w:pPr>
              <w:spacing w:line="360" w:lineRule="exact"/>
              <w:jc w:val="center"/>
              <w:rPr>
                <w:sz w:val="21"/>
                <w:szCs w:val="21"/>
              </w:rPr>
            </w:pPr>
            <w:r>
              <w:rPr>
                <w:sz w:val="21"/>
                <w:szCs w:val="21"/>
              </w:rPr>
              <w:t>0.4229</w:t>
            </w:r>
          </w:p>
        </w:tc>
        <w:tc>
          <w:tcPr>
            <w:tcW w:w="2916" w:type="dxa"/>
            <w:vAlign w:val="center"/>
          </w:tcPr>
          <w:p>
            <w:pPr>
              <w:spacing w:line="360" w:lineRule="exact"/>
              <w:jc w:val="center"/>
              <w:rPr>
                <w:kern w:val="2"/>
                <w:sz w:val="21"/>
                <w:szCs w:val="21"/>
              </w:rPr>
            </w:pPr>
            <w:r>
              <w:rPr>
                <w:sz w:val="21"/>
                <w:szCs w:val="21"/>
              </w:rPr>
              <w:t>0.0470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600.0</w:t>
            </w:r>
          </w:p>
        </w:tc>
        <w:tc>
          <w:tcPr>
            <w:tcW w:w="2915" w:type="dxa"/>
            <w:vAlign w:val="center"/>
          </w:tcPr>
          <w:p>
            <w:pPr>
              <w:spacing w:line="360" w:lineRule="exact"/>
              <w:jc w:val="center"/>
              <w:rPr>
                <w:sz w:val="21"/>
                <w:szCs w:val="21"/>
              </w:rPr>
            </w:pPr>
            <w:r>
              <w:rPr>
                <w:sz w:val="21"/>
                <w:szCs w:val="21"/>
              </w:rPr>
              <w:t>0.3884</w:t>
            </w:r>
          </w:p>
        </w:tc>
        <w:tc>
          <w:tcPr>
            <w:tcW w:w="2916" w:type="dxa"/>
            <w:vAlign w:val="center"/>
          </w:tcPr>
          <w:p>
            <w:pPr>
              <w:spacing w:line="360" w:lineRule="exact"/>
              <w:jc w:val="center"/>
              <w:rPr>
                <w:kern w:val="2"/>
                <w:sz w:val="21"/>
                <w:szCs w:val="21"/>
              </w:rPr>
            </w:pPr>
            <w:r>
              <w:rPr>
                <w:sz w:val="21"/>
                <w:szCs w:val="21"/>
              </w:rPr>
              <w:t>0.0432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700.0</w:t>
            </w:r>
          </w:p>
        </w:tc>
        <w:tc>
          <w:tcPr>
            <w:tcW w:w="2915" w:type="dxa"/>
            <w:vAlign w:val="center"/>
          </w:tcPr>
          <w:p>
            <w:pPr>
              <w:spacing w:line="360" w:lineRule="exact"/>
              <w:jc w:val="center"/>
              <w:rPr>
                <w:sz w:val="21"/>
                <w:szCs w:val="21"/>
              </w:rPr>
            </w:pPr>
            <w:r>
              <w:rPr>
                <w:sz w:val="21"/>
                <w:szCs w:val="21"/>
              </w:rPr>
              <w:t>0.3680</w:t>
            </w:r>
          </w:p>
        </w:tc>
        <w:tc>
          <w:tcPr>
            <w:tcW w:w="2916" w:type="dxa"/>
            <w:vAlign w:val="center"/>
          </w:tcPr>
          <w:p>
            <w:pPr>
              <w:spacing w:line="360" w:lineRule="exact"/>
              <w:jc w:val="center"/>
              <w:rPr>
                <w:kern w:val="2"/>
                <w:sz w:val="21"/>
                <w:szCs w:val="21"/>
              </w:rPr>
            </w:pPr>
            <w:r>
              <w:rPr>
                <w:sz w:val="21"/>
                <w:szCs w:val="21"/>
              </w:rPr>
              <w:t>0.0409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800.0</w:t>
            </w:r>
          </w:p>
        </w:tc>
        <w:tc>
          <w:tcPr>
            <w:tcW w:w="2915" w:type="dxa"/>
            <w:vAlign w:val="center"/>
          </w:tcPr>
          <w:p>
            <w:pPr>
              <w:spacing w:line="360" w:lineRule="exact"/>
              <w:jc w:val="center"/>
              <w:rPr>
                <w:sz w:val="21"/>
                <w:szCs w:val="21"/>
              </w:rPr>
            </w:pPr>
            <w:r>
              <w:rPr>
                <w:sz w:val="21"/>
                <w:szCs w:val="21"/>
              </w:rPr>
              <w:t>0.3504</w:t>
            </w:r>
          </w:p>
        </w:tc>
        <w:tc>
          <w:tcPr>
            <w:tcW w:w="2916" w:type="dxa"/>
            <w:vAlign w:val="center"/>
          </w:tcPr>
          <w:p>
            <w:pPr>
              <w:spacing w:line="360" w:lineRule="exact"/>
              <w:jc w:val="center"/>
              <w:rPr>
                <w:kern w:val="2"/>
                <w:sz w:val="21"/>
                <w:szCs w:val="21"/>
              </w:rPr>
            </w:pPr>
            <w:r>
              <w:rPr>
                <w:sz w:val="21"/>
                <w:szCs w:val="21"/>
              </w:rPr>
              <w:t>0.0389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900.0</w:t>
            </w:r>
          </w:p>
        </w:tc>
        <w:tc>
          <w:tcPr>
            <w:tcW w:w="2915" w:type="dxa"/>
            <w:vAlign w:val="center"/>
          </w:tcPr>
          <w:p>
            <w:pPr>
              <w:spacing w:line="360" w:lineRule="exact"/>
              <w:jc w:val="center"/>
              <w:rPr>
                <w:sz w:val="21"/>
                <w:szCs w:val="21"/>
              </w:rPr>
            </w:pPr>
            <w:r>
              <w:rPr>
                <w:sz w:val="21"/>
                <w:szCs w:val="21"/>
              </w:rPr>
              <w:t>0.3350</w:t>
            </w:r>
          </w:p>
        </w:tc>
        <w:tc>
          <w:tcPr>
            <w:tcW w:w="2916" w:type="dxa"/>
            <w:vAlign w:val="center"/>
          </w:tcPr>
          <w:p>
            <w:pPr>
              <w:spacing w:line="360" w:lineRule="exact"/>
              <w:jc w:val="center"/>
              <w:rPr>
                <w:kern w:val="2"/>
                <w:sz w:val="21"/>
                <w:szCs w:val="21"/>
              </w:rPr>
            </w:pPr>
            <w:r>
              <w:rPr>
                <w:sz w:val="21"/>
                <w:szCs w:val="21"/>
              </w:rPr>
              <w:t>0.0372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1000.0</w:t>
            </w:r>
          </w:p>
        </w:tc>
        <w:tc>
          <w:tcPr>
            <w:tcW w:w="2915" w:type="dxa"/>
            <w:vAlign w:val="center"/>
          </w:tcPr>
          <w:p>
            <w:pPr>
              <w:spacing w:line="360" w:lineRule="exact"/>
              <w:jc w:val="center"/>
              <w:rPr>
                <w:sz w:val="21"/>
                <w:szCs w:val="21"/>
              </w:rPr>
            </w:pPr>
            <w:r>
              <w:rPr>
                <w:sz w:val="21"/>
                <w:szCs w:val="21"/>
              </w:rPr>
              <w:t>0.3211</w:t>
            </w:r>
          </w:p>
        </w:tc>
        <w:tc>
          <w:tcPr>
            <w:tcW w:w="2916" w:type="dxa"/>
            <w:vAlign w:val="center"/>
          </w:tcPr>
          <w:p>
            <w:pPr>
              <w:spacing w:line="360" w:lineRule="exact"/>
              <w:jc w:val="center"/>
              <w:rPr>
                <w:kern w:val="2"/>
                <w:sz w:val="21"/>
                <w:szCs w:val="21"/>
              </w:rPr>
            </w:pPr>
            <w:r>
              <w:rPr>
                <w:sz w:val="21"/>
                <w:szCs w:val="21"/>
              </w:rPr>
              <w:t>0.0357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1200.0</w:t>
            </w:r>
          </w:p>
        </w:tc>
        <w:tc>
          <w:tcPr>
            <w:tcW w:w="2915" w:type="dxa"/>
            <w:vAlign w:val="center"/>
          </w:tcPr>
          <w:p>
            <w:pPr>
              <w:spacing w:line="360" w:lineRule="exact"/>
              <w:jc w:val="center"/>
              <w:rPr>
                <w:sz w:val="21"/>
                <w:szCs w:val="21"/>
              </w:rPr>
            </w:pPr>
            <w:r>
              <w:rPr>
                <w:sz w:val="21"/>
                <w:szCs w:val="21"/>
              </w:rPr>
              <w:t>0.2967</w:t>
            </w:r>
          </w:p>
        </w:tc>
        <w:tc>
          <w:tcPr>
            <w:tcW w:w="2916" w:type="dxa"/>
            <w:vAlign w:val="center"/>
          </w:tcPr>
          <w:p>
            <w:pPr>
              <w:spacing w:line="360" w:lineRule="exact"/>
              <w:jc w:val="center"/>
              <w:rPr>
                <w:kern w:val="2"/>
                <w:sz w:val="21"/>
                <w:szCs w:val="21"/>
              </w:rPr>
            </w:pPr>
            <w:r>
              <w:rPr>
                <w:sz w:val="21"/>
                <w:szCs w:val="21"/>
              </w:rPr>
              <w:t>0.0330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1400.0</w:t>
            </w:r>
          </w:p>
        </w:tc>
        <w:tc>
          <w:tcPr>
            <w:tcW w:w="2915" w:type="dxa"/>
            <w:vAlign w:val="center"/>
          </w:tcPr>
          <w:p>
            <w:pPr>
              <w:spacing w:line="360" w:lineRule="exact"/>
              <w:jc w:val="center"/>
              <w:rPr>
                <w:sz w:val="21"/>
                <w:szCs w:val="21"/>
              </w:rPr>
            </w:pPr>
            <w:r>
              <w:rPr>
                <w:sz w:val="21"/>
                <w:szCs w:val="21"/>
              </w:rPr>
              <w:t>0.2758</w:t>
            </w:r>
          </w:p>
        </w:tc>
        <w:tc>
          <w:tcPr>
            <w:tcW w:w="2916" w:type="dxa"/>
            <w:vAlign w:val="center"/>
          </w:tcPr>
          <w:p>
            <w:pPr>
              <w:spacing w:line="360" w:lineRule="exact"/>
              <w:jc w:val="center"/>
              <w:rPr>
                <w:kern w:val="2"/>
                <w:sz w:val="21"/>
                <w:szCs w:val="21"/>
              </w:rPr>
            </w:pPr>
            <w:r>
              <w:rPr>
                <w:sz w:val="21"/>
                <w:szCs w:val="21"/>
              </w:rPr>
              <w:t>0.0306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1600.0</w:t>
            </w:r>
          </w:p>
        </w:tc>
        <w:tc>
          <w:tcPr>
            <w:tcW w:w="2915" w:type="dxa"/>
            <w:vAlign w:val="center"/>
          </w:tcPr>
          <w:p>
            <w:pPr>
              <w:spacing w:line="360" w:lineRule="exact"/>
              <w:jc w:val="center"/>
              <w:rPr>
                <w:sz w:val="21"/>
                <w:szCs w:val="21"/>
              </w:rPr>
            </w:pPr>
            <w:r>
              <w:rPr>
                <w:sz w:val="21"/>
                <w:szCs w:val="21"/>
              </w:rPr>
              <w:t>0.2575</w:t>
            </w:r>
          </w:p>
        </w:tc>
        <w:tc>
          <w:tcPr>
            <w:tcW w:w="2916" w:type="dxa"/>
            <w:vAlign w:val="center"/>
          </w:tcPr>
          <w:p>
            <w:pPr>
              <w:spacing w:line="360" w:lineRule="exact"/>
              <w:jc w:val="center"/>
              <w:rPr>
                <w:kern w:val="2"/>
                <w:sz w:val="21"/>
                <w:szCs w:val="21"/>
              </w:rPr>
            </w:pPr>
            <w:r>
              <w:rPr>
                <w:sz w:val="21"/>
                <w:szCs w:val="21"/>
              </w:rPr>
              <w:t>0.0286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1800.0</w:t>
            </w:r>
          </w:p>
        </w:tc>
        <w:tc>
          <w:tcPr>
            <w:tcW w:w="2915" w:type="dxa"/>
            <w:vAlign w:val="center"/>
          </w:tcPr>
          <w:p>
            <w:pPr>
              <w:spacing w:line="360" w:lineRule="exact"/>
              <w:jc w:val="center"/>
              <w:rPr>
                <w:sz w:val="21"/>
                <w:szCs w:val="21"/>
              </w:rPr>
            </w:pPr>
            <w:r>
              <w:rPr>
                <w:sz w:val="21"/>
                <w:szCs w:val="21"/>
              </w:rPr>
              <w:t>0.2413</w:t>
            </w:r>
          </w:p>
        </w:tc>
        <w:tc>
          <w:tcPr>
            <w:tcW w:w="2916" w:type="dxa"/>
            <w:vAlign w:val="center"/>
          </w:tcPr>
          <w:p>
            <w:pPr>
              <w:spacing w:line="360" w:lineRule="exact"/>
              <w:jc w:val="center"/>
              <w:rPr>
                <w:kern w:val="2"/>
                <w:sz w:val="21"/>
                <w:szCs w:val="21"/>
              </w:rPr>
            </w:pPr>
            <w:r>
              <w:rPr>
                <w:sz w:val="21"/>
                <w:szCs w:val="21"/>
              </w:rPr>
              <w:t>0.0268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2000.0</w:t>
            </w:r>
          </w:p>
        </w:tc>
        <w:tc>
          <w:tcPr>
            <w:tcW w:w="2915" w:type="dxa"/>
            <w:vAlign w:val="center"/>
          </w:tcPr>
          <w:p>
            <w:pPr>
              <w:spacing w:line="360" w:lineRule="exact"/>
              <w:jc w:val="center"/>
              <w:rPr>
                <w:sz w:val="21"/>
                <w:szCs w:val="21"/>
              </w:rPr>
            </w:pPr>
            <w:r>
              <w:rPr>
                <w:sz w:val="21"/>
                <w:szCs w:val="21"/>
              </w:rPr>
              <w:t>0.2269</w:t>
            </w:r>
          </w:p>
        </w:tc>
        <w:tc>
          <w:tcPr>
            <w:tcW w:w="2916" w:type="dxa"/>
            <w:vAlign w:val="center"/>
          </w:tcPr>
          <w:p>
            <w:pPr>
              <w:spacing w:line="360" w:lineRule="exact"/>
              <w:jc w:val="center"/>
              <w:rPr>
                <w:kern w:val="2"/>
                <w:sz w:val="21"/>
                <w:szCs w:val="21"/>
              </w:rPr>
            </w:pPr>
            <w:r>
              <w:rPr>
                <w:sz w:val="21"/>
                <w:szCs w:val="21"/>
              </w:rPr>
              <w:t>0.0252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spacing w:line="360" w:lineRule="exact"/>
              <w:jc w:val="center"/>
              <w:rPr>
                <w:kern w:val="2"/>
                <w:sz w:val="21"/>
                <w:szCs w:val="21"/>
              </w:rPr>
            </w:pPr>
            <w:r>
              <w:rPr>
                <w:sz w:val="21"/>
                <w:szCs w:val="21"/>
              </w:rPr>
              <w:t>2500.0</w:t>
            </w:r>
          </w:p>
        </w:tc>
        <w:tc>
          <w:tcPr>
            <w:tcW w:w="2915" w:type="dxa"/>
            <w:vAlign w:val="center"/>
          </w:tcPr>
          <w:p>
            <w:pPr>
              <w:spacing w:line="360" w:lineRule="exact"/>
              <w:jc w:val="center"/>
              <w:rPr>
                <w:sz w:val="21"/>
                <w:szCs w:val="21"/>
              </w:rPr>
            </w:pPr>
            <w:r>
              <w:rPr>
                <w:sz w:val="21"/>
                <w:szCs w:val="21"/>
              </w:rPr>
              <w:t>0.1969</w:t>
            </w:r>
          </w:p>
        </w:tc>
        <w:tc>
          <w:tcPr>
            <w:tcW w:w="2916" w:type="dxa"/>
            <w:vAlign w:val="center"/>
          </w:tcPr>
          <w:p>
            <w:pPr>
              <w:spacing w:line="360" w:lineRule="exact"/>
              <w:jc w:val="center"/>
              <w:rPr>
                <w:kern w:val="2"/>
                <w:sz w:val="21"/>
                <w:szCs w:val="21"/>
              </w:rPr>
            </w:pPr>
            <w:r>
              <w:rPr>
                <w:sz w:val="21"/>
                <w:szCs w:val="21"/>
              </w:rPr>
              <w:t>0.0219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adjustRightInd w:val="0"/>
              <w:snapToGrid w:val="0"/>
              <w:spacing w:line="360" w:lineRule="exact"/>
              <w:jc w:val="center"/>
              <w:rPr>
                <w:kern w:val="2"/>
                <w:sz w:val="21"/>
                <w:szCs w:val="21"/>
              </w:rPr>
            </w:pPr>
            <w:r>
              <w:rPr>
                <w:kern w:val="2"/>
                <w:sz w:val="21"/>
                <w:szCs w:val="21"/>
              </w:rPr>
              <w:t>下风向最大浓度</w:t>
            </w:r>
          </w:p>
        </w:tc>
        <w:tc>
          <w:tcPr>
            <w:tcW w:w="2915" w:type="dxa"/>
            <w:vAlign w:val="center"/>
          </w:tcPr>
          <w:p>
            <w:pPr>
              <w:spacing w:line="360" w:lineRule="exact"/>
              <w:jc w:val="center"/>
              <w:rPr>
                <w:sz w:val="21"/>
                <w:szCs w:val="21"/>
              </w:rPr>
            </w:pPr>
            <w:r>
              <w:rPr>
                <w:sz w:val="21"/>
                <w:szCs w:val="21"/>
              </w:rPr>
              <w:t>2.5177</w:t>
            </w:r>
          </w:p>
        </w:tc>
        <w:tc>
          <w:tcPr>
            <w:tcW w:w="2916" w:type="dxa"/>
            <w:vAlign w:val="center"/>
          </w:tcPr>
          <w:p>
            <w:pPr>
              <w:spacing w:line="360" w:lineRule="exact"/>
              <w:jc w:val="center"/>
              <w:rPr>
                <w:kern w:val="2"/>
                <w:sz w:val="21"/>
                <w:szCs w:val="21"/>
              </w:rPr>
            </w:pPr>
            <w:r>
              <w:rPr>
                <w:sz w:val="21"/>
                <w:szCs w:val="21"/>
              </w:rPr>
              <w:t>0.2797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pct"/>
            <w:vAlign w:val="center"/>
          </w:tcPr>
          <w:p>
            <w:pPr>
              <w:widowControl w:val="0"/>
              <w:adjustRightInd w:val="0"/>
              <w:snapToGrid w:val="0"/>
              <w:spacing w:line="360" w:lineRule="exact"/>
              <w:jc w:val="both"/>
              <w:rPr>
                <w:kern w:val="2"/>
                <w:sz w:val="21"/>
                <w:szCs w:val="21"/>
              </w:rPr>
            </w:pPr>
            <w:r>
              <w:rPr>
                <w:kern w:val="2"/>
                <w:sz w:val="21"/>
                <w:szCs w:val="21"/>
              </w:rPr>
              <w:t>下风向最大浓度出现距离（m）</w:t>
            </w:r>
          </w:p>
        </w:tc>
        <w:tc>
          <w:tcPr>
            <w:tcW w:w="3141" w:type="pct"/>
            <w:gridSpan w:val="2"/>
          </w:tcPr>
          <w:p>
            <w:pPr>
              <w:widowControl w:val="0"/>
              <w:adjustRightInd w:val="0"/>
              <w:snapToGrid w:val="0"/>
              <w:spacing w:line="360" w:lineRule="exact"/>
              <w:jc w:val="center"/>
              <w:rPr>
                <w:kern w:val="2"/>
                <w:sz w:val="21"/>
                <w:szCs w:val="21"/>
              </w:rPr>
            </w:pPr>
            <w:r>
              <w:rPr>
                <w:kern w:val="2"/>
                <w:sz w:val="21"/>
                <w:szCs w:val="21"/>
              </w:rPr>
              <w:t>26.0</w:t>
            </w:r>
          </w:p>
        </w:tc>
      </w:tr>
    </w:tbl>
    <w:p>
      <w:pPr>
        <w:widowControl w:val="0"/>
        <w:adjustRightInd w:val="0"/>
        <w:snapToGrid w:val="0"/>
        <w:spacing w:line="440" w:lineRule="exact"/>
        <w:ind w:firstLine="480" w:firstLineChars="200"/>
        <w:jc w:val="both"/>
        <w:rPr>
          <w:kern w:val="2"/>
        </w:rPr>
      </w:pPr>
      <w:r>
        <w:rPr>
          <w:rFonts w:hint="eastAsia"/>
          <w:kern w:val="2"/>
        </w:rPr>
        <w:t>由预测结果可知，本项目污染物（TSP）下风向</w:t>
      </w:r>
      <w:r>
        <w:rPr>
          <w:bCs/>
          <w:kern w:val="2"/>
        </w:rPr>
        <w:t>最大</w:t>
      </w:r>
      <w:r>
        <w:rPr>
          <w:rFonts w:hint="eastAsia"/>
          <w:bCs/>
          <w:kern w:val="2"/>
        </w:rPr>
        <w:t>地面</w:t>
      </w:r>
      <w:r>
        <w:rPr>
          <w:bCs/>
          <w:kern w:val="2"/>
        </w:rPr>
        <w:t>浓度为</w:t>
      </w:r>
      <w:r>
        <w:rPr>
          <w:rFonts w:hint="eastAsia"/>
          <w:bCs/>
          <w:kern w:val="2"/>
        </w:rPr>
        <w:t>53.918u</w:t>
      </w:r>
      <w:r>
        <w:rPr>
          <w:bCs/>
          <w:kern w:val="2"/>
        </w:rPr>
        <w:t>g/m</w:t>
      </w:r>
      <w:r>
        <w:rPr>
          <w:bCs/>
          <w:kern w:val="2"/>
          <w:vertAlign w:val="superscript"/>
        </w:rPr>
        <w:t>3</w:t>
      </w:r>
      <w:r>
        <w:rPr>
          <w:bCs/>
          <w:kern w:val="2"/>
        </w:rPr>
        <w:t>，占标率为</w:t>
      </w:r>
      <w:r>
        <w:rPr>
          <w:rFonts w:hint="eastAsia"/>
          <w:bCs/>
          <w:kern w:val="2"/>
        </w:rPr>
        <w:t>5.9909</w:t>
      </w:r>
      <w:r>
        <w:rPr>
          <w:bCs/>
          <w:kern w:val="2"/>
        </w:rPr>
        <w:t>%</w:t>
      </w:r>
      <w:r>
        <w:rPr>
          <w:rFonts w:hint="eastAsia"/>
          <w:bCs/>
          <w:kern w:val="2"/>
        </w:rPr>
        <w:t>，小于10%，污染物贡献值很小，不会对周边</w:t>
      </w:r>
      <w:r>
        <w:rPr>
          <w:bCs/>
          <w:kern w:val="2"/>
        </w:rPr>
        <w:t>环境空气质量</w:t>
      </w:r>
      <w:r>
        <w:rPr>
          <w:rFonts w:hint="eastAsia"/>
          <w:bCs/>
          <w:kern w:val="2"/>
        </w:rPr>
        <w:t>产生明显影响</w:t>
      </w:r>
      <w:r>
        <w:rPr>
          <w:bCs/>
          <w:kern w:val="2"/>
        </w:rPr>
        <w:t>。</w:t>
      </w:r>
    </w:p>
    <w:p>
      <w:pPr>
        <w:pStyle w:val="6"/>
        <w:adjustRightInd w:val="0"/>
        <w:snapToGrid w:val="0"/>
        <w:spacing w:before="156" w:beforeLines="50" w:line="360" w:lineRule="auto"/>
        <w:rPr>
          <w:bCs w:val="0"/>
          <w:i w:val="0"/>
          <w:iCs w:val="0"/>
          <w:color w:val="auto"/>
          <w:sz w:val="24"/>
          <w:szCs w:val="24"/>
        </w:rPr>
      </w:pPr>
      <w:r>
        <w:rPr>
          <w:bCs w:val="0"/>
          <w:i w:val="0"/>
          <w:iCs w:val="0"/>
          <w:color w:val="auto"/>
          <w:sz w:val="24"/>
          <w:szCs w:val="24"/>
        </w:rPr>
        <w:t>5.1.</w:t>
      </w:r>
      <w:r>
        <w:rPr>
          <w:rFonts w:hint="eastAsia"/>
          <w:bCs w:val="0"/>
          <w:i w:val="0"/>
          <w:iCs w:val="0"/>
          <w:color w:val="auto"/>
          <w:sz w:val="24"/>
          <w:szCs w:val="24"/>
        </w:rPr>
        <w:t>3</w:t>
      </w:r>
      <w:r>
        <w:rPr>
          <w:bCs w:val="0"/>
          <w:i w:val="0"/>
          <w:iCs w:val="0"/>
          <w:color w:val="auto"/>
          <w:sz w:val="24"/>
          <w:szCs w:val="24"/>
        </w:rPr>
        <w:t xml:space="preserve">  </w:t>
      </w:r>
      <w:r>
        <w:rPr>
          <w:rFonts w:hint="eastAsia"/>
          <w:bCs w:val="0"/>
          <w:i w:val="0"/>
          <w:iCs w:val="0"/>
          <w:color w:val="auto"/>
          <w:sz w:val="24"/>
          <w:szCs w:val="24"/>
        </w:rPr>
        <w:t>环境空气影响评价结论</w:t>
      </w:r>
    </w:p>
    <w:p>
      <w:pPr>
        <w:adjustRightInd w:val="0"/>
        <w:snapToGrid w:val="0"/>
        <w:spacing w:line="440" w:lineRule="exact"/>
        <w:ind w:firstLine="480" w:firstLineChars="200"/>
        <w:jc w:val="both"/>
      </w:pPr>
      <w:r>
        <w:rPr>
          <w:rFonts w:hint="eastAsia"/>
        </w:rPr>
        <w:t>1、大气环境影响评价结论</w:t>
      </w:r>
    </w:p>
    <w:p>
      <w:pPr>
        <w:adjustRightInd w:val="0"/>
        <w:snapToGrid w:val="0"/>
        <w:spacing w:line="440" w:lineRule="exact"/>
        <w:ind w:firstLine="480" w:firstLineChars="200"/>
        <w:jc w:val="both"/>
      </w:pPr>
      <w:r>
        <w:rPr>
          <w:rFonts w:hint="eastAsia"/>
        </w:rPr>
        <w:t>本项目污染物最大地面浓度占标率小于10%，</w:t>
      </w:r>
      <w:r>
        <w:rPr>
          <w:szCs w:val="28"/>
        </w:rPr>
        <w:t>污染物贡献值很小，不会对周围环境空气产生明显影响</w:t>
      </w:r>
      <w:r>
        <w:rPr>
          <w:rFonts w:hint="eastAsia"/>
          <w:szCs w:val="28"/>
        </w:rPr>
        <w:t>。</w:t>
      </w:r>
    </w:p>
    <w:p>
      <w:pPr>
        <w:adjustRightInd w:val="0"/>
        <w:snapToGrid w:val="0"/>
        <w:spacing w:line="440" w:lineRule="exact"/>
        <w:ind w:firstLine="480" w:firstLineChars="200"/>
        <w:jc w:val="both"/>
      </w:pPr>
      <w:r>
        <w:rPr>
          <w:rFonts w:hint="eastAsia"/>
        </w:rPr>
        <w:t>因此，本项目建设环境影响可以接受。</w:t>
      </w:r>
    </w:p>
    <w:p>
      <w:pPr>
        <w:adjustRightInd w:val="0"/>
        <w:snapToGrid w:val="0"/>
        <w:spacing w:line="440" w:lineRule="exact"/>
        <w:ind w:firstLine="480" w:firstLineChars="200"/>
        <w:jc w:val="both"/>
      </w:pPr>
      <w:r>
        <w:rPr>
          <w:rFonts w:hint="eastAsia"/>
        </w:rPr>
        <w:t>2、污染控制措施可行性</w:t>
      </w:r>
    </w:p>
    <w:p>
      <w:pPr>
        <w:spacing w:line="440" w:lineRule="exact"/>
        <w:ind w:firstLine="480" w:firstLineChars="200"/>
        <w:jc w:val="both"/>
        <w:rPr>
          <w:snapToGrid w:val="0"/>
        </w:rPr>
      </w:pPr>
      <w:r>
        <w:rPr>
          <w:rFonts w:hint="eastAsia"/>
          <w:snapToGrid w:val="0"/>
        </w:rPr>
        <w:t>本项目粘土采装作业区设移动雾炮机，全覆盖喷雾洒水抑尘；排土场内堆土全部用防尘网进行遮挡覆盖，排土作业区设雾炮机喷雾洒水抑尘；原料库进行全封闭，并设雾炮机喷雾洒水抑尘；工业场地入口建设洗车平台，运输车辆进出厂时，对车身和轮胎进行冲洗，厂区道路硬化、定期洒水、及时清扫，运输车辆进行苫盖。</w:t>
      </w:r>
    </w:p>
    <w:p>
      <w:pPr>
        <w:spacing w:line="440" w:lineRule="exact"/>
        <w:ind w:firstLine="480" w:firstLineChars="200"/>
        <w:jc w:val="both"/>
      </w:pPr>
      <w:r>
        <w:rPr>
          <w:rFonts w:hint="eastAsia"/>
        </w:rPr>
        <w:t>采取以上措施后，本项目大气污染物能够做到达标排放，污染控制措施可行。</w:t>
      </w:r>
    </w:p>
    <w:p>
      <w:pPr>
        <w:spacing w:line="440" w:lineRule="exact"/>
        <w:ind w:firstLine="480" w:firstLineChars="200"/>
        <w:jc w:val="both"/>
      </w:pPr>
      <w:r>
        <w:rPr>
          <w:rFonts w:hint="eastAsia"/>
        </w:rPr>
        <w:t>3、大气环境防护距离</w:t>
      </w:r>
    </w:p>
    <w:p>
      <w:pPr>
        <w:spacing w:line="440" w:lineRule="exact"/>
        <w:ind w:firstLine="480" w:firstLineChars="200"/>
        <w:jc w:val="both"/>
      </w:pPr>
      <w:r>
        <w:rPr>
          <w:rFonts w:hint="eastAsia"/>
        </w:rPr>
        <w:t>本项目无需设置大气防护距离。</w:t>
      </w:r>
    </w:p>
    <w:p>
      <w:pPr>
        <w:adjustRightInd w:val="0"/>
        <w:snapToGrid w:val="0"/>
        <w:spacing w:line="440" w:lineRule="exact"/>
        <w:ind w:firstLine="480" w:firstLineChars="200"/>
        <w:jc w:val="both"/>
      </w:pPr>
      <w:r>
        <w:rPr>
          <w:rFonts w:hint="eastAsia"/>
        </w:rPr>
        <w:t>4、污染物排放量核算结果</w:t>
      </w:r>
    </w:p>
    <w:p>
      <w:pPr>
        <w:spacing w:line="440" w:lineRule="exact"/>
        <w:ind w:firstLine="480" w:firstLineChars="200"/>
        <w:jc w:val="both"/>
        <w:rPr>
          <w:rFonts w:ascii="宋体" w:hAnsi="宋体" w:cs="宋体"/>
        </w:rPr>
      </w:pPr>
      <w:r>
        <w:rPr>
          <w:rFonts w:hint="eastAsia" w:ascii="宋体" w:hAnsi="宋体" w:cs="宋体"/>
        </w:rPr>
        <w:t>本项目仅涉及无组织污染物排放，大气污染物无组织排放量和年排放量核算情况见下表</w:t>
      </w:r>
    </w:p>
    <w:p>
      <w:pPr>
        <w:spacing w:line="0" w:lineRule="atLeast"/>
        <w:jc w:val="center"/>
        <w:rPr>
          <w:rFonts w:eastAsia="黑体"/>
          <w:sz w:val="21"/>
        </w:rPr>
      </w:pPr>
      <w:r>
        <w:rPr>
          <w:rFonts w:hint="eastAsia" w:eastAsia="黑体"/>
          <w:sz w:val="21"/>
        </w:rPr>
        <w:t>表5.1-3 大气污染物无组织排放量核算表</w:t>
      </w:r>
    </w:p>
    <w:tbl>
      <w:tblPr>
        <w:tblStyle w:val="88"/>
        <w:tblW w:w="494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26"/>
        <w:gridCol w:w="807"/>
        <w:gridCol w:w="772"/>
        <w:gridCol w:w="798"/>
        <w:gridCol w:w="1417"/>
        <w:gridCol w:w="2083"/>
        <w:gridCol w:w="1268"/>
        <w:gridCol w:w="15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231" w:type="pct"/>
            <w:vMerge w:val="restart"/>
            <w:vAlign w:val="center"/>
          </w:tcPr>
          <w:p>
            <w:pPr>
              <w:snapToGrid w:val="0"/>
              <w:spacing w:line="360" w:lineRule="exact"/>
              <w:jc w:val="center"/>
              <w:rPr>
                <w:sz w:val="21"/>
                <w:szCs w:val="20"/>
              </w:rPr>
            </w:pPr>
            <w:r>
              <w:rPr>
                <w:rFonts w:hint="eastAsia"/>
                <w:sz w:val="21"/>
                <w:szCs w:val="20"/>
              </w:rPr>
              <w:t>序号</w:t>
            </w:r>
          </w:p>
        </w:tc>
        <w:tc>
          <w:tcPr>
            <w:tcW w:w="446" w:type="pct"/>
            <w:vMerge w:val="restart"/>
            <w:vAlign w:val="center"/>
          </w:tcPr>
          <w:p>
            <w:pPr>
              <w:snapToGrid w:val="0"/>
              <w:spacing w:line="360" w:lineRule="exact"/>
              <w:jc w:val="center"/>
              <w:rPr>
                <w:sz w:val="21"/>
                <w:szCs w:val="20"/>
              </w:rPr>
            </w:pPr>
            <w:r>
              <w:rPr>
                <w:rFonts w:hint="eastAsia"/>
                <w:sz w:val="21"/>
                <w:szCs w:val="20"/>
              </w:rPr>
              <w:t>排放口编号</w:t>
            </w:r>
          </w:p>
        </w:tc>
        <w:tc>
          <w:tcPr>
            <w:tcW w:w="426" w:type="pct"/>
            <w:vMerge w:val="restart"/>
            <w:vAlign w:val="center"/>
          </w:tcPr>
          <w:p>
            <w:pPr>
              <w:snapToGrid w:val="0"/>
              <w:spacing w:line="360" w:lineRule="exact"/>
              <w:jc w:val="center"/>
              <w:rPr>
                <w:sz w:val="21"/>
                <w:szCs w:val="20"/>
              </w:rPr>
            </w:pPr>
            <w:r>
              <w:rPr>
                <w:rFonts w:hint="eastAsia"/>
                <w:sz w:val="21"/>
                <w:szCs w:val="20"/>
              </w:rPr>
              <w:t>产污</w:t>
            </w:r>
            <w:r>
              <w:rPr>
                <w:sz w:val="21"/>
                <w:szCs w:val="20"/>
              </w:rPr>
              <w:br w:type="textWrapping"/>
            </w:r>
            <w:r>
              <w:rPr>
                <w:rFonts w:hint="eastAsia"/>
                <w:sz w:val="21"/>
                <w:szCs w:val="20"/>
              </w:rPr>
              <w:t>环节</w:t>
            </w:r>
          </w:p>
        </w:tc>
        <w:tc>
          <w:tcPr>
            <w:tcW w:w="438" w:type="pct"/>
            <w:vMerge w:val="restart"/>
            <w:vAlign w:val="center"/>
          </w:tcPr>
          <w:p>
            <w:pPr>
              <w:snapToGrid w:val="0"/>
              <w:spacing w:line="360" w:lineRule="exact"/>
              <w:jc w:val="center"/>
              <w:rPr>
                <w:sz w:val="21"/>
                <w:szCs w:val="20"/>
              </w:rPr>
            </w:pPr>
            <w:r>
              <w:rPr>
                <w:rFonts w:hint="eastAsia"/>
                <w:sz w:val="21"/>
                <w:szCs w:val="20"/>
              </w:rPr>
              <w:t>污染物</w:t>
            </w:r>
          </w:p>
        </w:tc>
        <w:tc>
          <w:tcPr>
            <w:tcW w:w="781" w:type="pct"/>
            <w:vMerge w:val="restart"/>
            <w:vAlign w:val="center"/>
          </w:tcPr>
          <w:p>
            <w:pPr>
              <w:snapToGrid w:val="0"/>
              <w:spacing w:line="360" w:lineRule="exact"/>
              <w:jc w:val="center"/>
              <w:rPr>
                <w:sz w:val="21"/>
                <w:szCs w:val="20"/>
              </w:rPr>
            </w:pPr>
            <w:r>
              <w:rPr>
                <w:rFonts w:hint="eastAsia"/>
                <w:sz w:val="21"/>
                <w:szCs w:val="20"/>
              </w:rPr>
              <w:t>主要污染防治措施</w:t>
            </w:r>
          </w:p>
        </w:tc>
        <w:tc>
          <w:tcPr>
            <w:tcW w:w="1847" w:type="pct"/>
            <w:gridSpan w:val="2"/>
            <w:vAlign w:val="center"/>
          </w:tcPr>
          <w:p>
            <w:pPr>
              <w:snapToGrid w:val="0"/>
              <w:spacing w:line="360" w:lineRule="exact"/>
              <w:jc w:val="center"/>
              <w:rPr>
                <w:sz w:val="21"/>
                <w:szCs w:val="20"/>
              </w:rPr>
            </w:pPr>
            <w:r>
              <w:rPr>
                <w:rFonts w:hint="eastAsia"/>
                <w:sz w:val="21"/>
                <w:szCs w:val="20"/>
              </w:rPr>
              <w:t>国家或地方污染物排放标准</w:t>
            </w:r>
          </w:p>
        </w:tc>
        <w:tc>
          <w:tcPr>
            <w:tcW w:w="827" w:type="pct"/>
            <w:vMerge w:val="restart"/>
            <w:vAlign w:val="center"/>
          </w:tcPr>
          <w:p>
            <w:pPr>
              <w:snapToGrid w:val="0"/>
              <w:spacing w:line="360" w:lineRule="exact"/>
              <w:jc w:val="center"/>
              <w:rPr>
                <w:sz w:val="21"/>
                <w:szCs w:val="20"/>
              </w:rPr>
            </w:pPr>
            <w:r>
              <w:rPr>
                <w:rFonts w:hint="eastAsia"/>
                <w:sz w:val="21"/>
                <w:szCs w:val="20"/>
              </w:rPr>
              <w:t>年排放量/（</w:t>
            </w:r>
            <w:r>
              <w:rPr>
                <w:sz w:val="21"/>
                <w:szCs w:val="20"/>
              </w:rPr>
              <w:t>t/a</w:t>
            </w:r>
            <w:r>
              <w:rPr>
                <w:rFonts w:hint="eastAsia"/>
                <w:sz w:val="21"/>
                <w:szCs w:val="2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231" w:type="pct"/>
            <w:vMerge w:val="continue"/>
            <w:vAlign w:val="center"/>
          </w:tcPr>
          <w:p>
            <w:pPr>
              <w:snapToGrid w:val="0"/>
              <w:spacing w:line="360" w:lineRule="exact"/>
              <w:jc w:val="center"/>
              <w:rPr>
                <w:sz w:val="21"/>
                <w:szCs w:val="20"/>
              </w:rPr>
            </w:pPr>
          </w:p>
        </w:tc>
        <w:tc>
          <w:tcPr>
            <w:tcW w:w="446" w:type="pct"/>
            <w:vMerge w:val="continue"/>
          </w:tcPr>
          <w:p>
            <w:pPr>
              <w:snapToGrid w:val="0"/>
              <w:spacing w:line="360" w:lineRule="exact"/>
              <w:jc w:val="center"/>
              <w:rPr>
                <w:sz w:val="21"/>
                <w:szCs w:val="20"/>
              </w:rPr>
            </w:pPr>
          </w:p>
        </w:tc>
        <w:tc>
          <w:tcPr>
            <w:tcW w:w="426" w:type="pct"/>
            <w:vMerge w:val="continue"/>
            <w:vAlign w:val="center"/>
          </w:tcPr>
          <w:p>
            <w:pPr>
              <w:snapToGrid w:val="0"/>
              <w:spacing w:line="360" w:lineRule="exact"/>
              <w:jc w:val="center"/>
              <w:rPr>
                <w:sz w:val="21"/>
                <w:szCs w:val="20"/>
              </w:rPr>
            </w:pPr>
          </w:p>
        </w:tc>
        <w:tc>
          <w:tcPr>
            <w:tcW w:w="438" w:type="pct"/>
            <w:vMerge w:val="continue"/>
            <w:vAlign w:val="center"/>
          </w:tcPr>
          <w:p>
            <w:pPr>
              <w:snapToGrid w:val="0"/>
              <w:spacing w:line="360" w:lineRule="exact"/>
              <w:jc w:val="center"/>
              <w:rPr>
                <w:sz w:val="21"/>
                <w:szCs w:val="20"/>
              </w:rPr>
            </w:pPr>
          </w:p>
        </w:tc>
        <w:tc>
          <w:tcPr>
            <w:tcW w:w="781" w:type="pct"/>
            <w:vMerge w:val="continue"/>
            <w:vAlign w:val="center"/>
          </w:tcPr>
          <w:p>
            <w:pPr>
              <w:snapToGrid w:val="0"/>
              <w:spacing w:line="360" w:lineRule="exact"/>
              <w:jc w:val="center"/>
              <w:rPr>
                <w:sz w:val="21"/>
                <w:szCs w:val="20"/>
              </w:rPr>
            </w:pPr>
          </w:p>
        </w:tc>
        <w:tc>
          <w:tcPr>
            <w:tcW w:w="1147" w:type="pct"/>
            <w:vAlign w:val="center"/>
          </w:tcPr>
          <w:p>
            <w:pPr>
              <w:snapToGrid w:val="0"/>
              <w:spacing w:line="360" w:lineRule="exact"/>
              <w:jc w:val="center"/>
              <w:rPr>
                <w:sz w:val="21"/>
                <w:szCs w:val="20"/>
              </w:rPr>
            </w:pPr>
            <w:r>
              <w:rPr>
                <w:rFonts w:hint="eastAsia"/>
                <w:sz w:val="21"/>
                <w:szCs w:val="20"/>
              </w:rPr>
              <w:t>标准名称</w:t>
            </w:r>
          </w:p>
        </w:tc>
        <w:tc>
          <w:tcPr>
            <w:tcW w:w="699" w:type="pct"/>
            <w:vAlign w:val="center"/>
          </w:tcPr>
          <w:p>
            <w:pPr>
              <w:snapToGrid w:val="0"/>
              <w:spacing w:line="360" w:lineRule="exact"/>
              <w:jc w:val="center"/>
              <w:rPr>
                <w:sz w:val="21"/>
                <w:szCs w:val="20"/>
              </w:rPr>
            </w:pPr>
            <w:r>
              <w:rPr>
                <w:rFonts w:hint="eastAsia"/>
                <w:sz w:val="21"/>
                <w:szCs w:val="20"/>
              </w:rPr>
              <w:t>浓度限值/</w:t>
            </w:r>
          </w:p>
          <w:p>
            <w:pPr>
              <w:snapToGrid w:val="0"/>
              <w:spacing w:line="360" w:lineRule="exact"/>
              <w:jc w:val="center"/>
              <w:rPr>
                <w:sz w:val="21"/>
                <w:szCs w:val="20"/>
              </w:rPr>
            </w:pPr>
            <w:r>
              <w:rPr>
                <w:rFonts w:hint="eastAsia"/>
                <w:sz w:val="21"/>
                <w:szCs w:val="20"/>
              </w:rPr>
              <w:t>（m</w:t>
            </w:r>
            <w:r>
              <w:rPr>
                <w:sz w:val="21"/>
                <w:szCs w:val="20"/>
              </w:rPr>
              <w:t>g/m</w:t>
            </w:r>
            <w:r>
              <w:rPr>
                <w:sz w:val="21"/>
                <w:szCs w:val="20"/>
                <w:vertAlign w:val="superscript"/>
              </w:rPr>
              <w:t>3</w:t>
            </w:r>
            <w:r>
              <w:rPr>
                <w:rFonts w:hint="eastAsia"/>
                <w:sz w:val="21"/>
                <w:szCs w:val="20"/>
              </w:rPr>
              <w:t>）</w:t>
            </w:r>
          </w:p>
        </w:tc>
        <w:tc>
          <w:tcPr>
            <w:tcW w:w="827" w:type="pct"/>
            <w:vMerge w:val="continue"/>
            <w:vAlign w:val="center"/>
          </w:tcPr>
          <w:p>
            <w:pPr>
              <w:snapToGrid w:val="0"/>
              <w:spacing w:line="360" w:lineRule="exact"/>
              <w:jc w:val="center"/>
              <w:rPr>
                <w:sz w:val="21"/>
                <w:szCs w:val="20"/>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231" w:type="pct"/>
            <w:vAlign w:val="center"/>
          </w:tcPr>
          <w:p>
            <w:pPr>
              <w:snapToGrid w:val="0"/>
              <w:spacing w:line="360" w:lineRule="exact"/>
              <w:jc w:val="center"/>
              <w:rPr>
                <w:sz w:val="21"/>
                <w:szCs w:val="20"/>
              </w:rPr>
            </w:pPr>
            <w:r>
              <w:rPr>
                <w:rFonts w:hint="eastAsia"/>
                <w:sz w:val="21"/>
                <w:szCs w:val="20"/>
              </w:rPr>
              <w:t>1</w:t>
            </w:r>
          </w:p>
        </w:tc>
        <w:tc>
          <w:tcPr>
            <w:tcW w:w="446" w:type="pct"/>
            <w:vAlign w:val="center"/>
          </w:tcPr>
          <w:p>
            <w:pPr>
              <w:snapToGrid w:val="0"/>
              <w:spacing w:line="360" w:lineRule="exact"/>
              <w:jc w:val="center"/>
              <w:rPr>
                <w:sz w:val="21"/>
                <w:szCs w:val="20"/>
              </w:rPr>
            </w:pPr>
            <w:r>
              <w:rPr>
                <w:rFonts w:hint="eastAsia"/>
                <w:sz w:val="21"/>
                <w:szCs w:val="20"/>
              </w:rPr>
              <w:t>--</w:t>
            </w:r>
          </w:p>
        </w:tc>
        <w:tc>
          <w:tcPr>
            <w:tcW w:w="426" w:type="pct"/>
            <w:vAlign w:val="center"/>
          </w:tcPr>
          <w:p>
            <w:pPr>
              <w:snapToGrid w:val="0"/>
              <w:spacing w:line="360" w:lineRule="exact"/>
              <w:jc w:val="center"/>
              <w:rPr>
                <w:sz w:val="21"/>
                <w:szCs w:val="20"/>
              </w:rPr>
            </w:pPr>
            <w:r>
              <w:rPr>
                <w:rFonts w:hint="eastAsia"/>
                <w:sz w:val="21"/>
                <w:szCs w:val="20"/>
              </w:rPr>
              <w:t>粘土采装作业</w:t>
            </w:r>
          </w:p>
        </w:tc>
        <w:tc>
          <w:tcPr>
            <w:tcW w:w="438" w:type="pct"/>
            <w:vMerge w:val="restart"/>
            <w:vAlign w:val="center"/>
          </w:tcPr>
          <w:p>
            <w:pPr>
              <w:snapToGrid w:val="0"/>
              <w:spacing w:line="360" w:lineRule="exact"/>
              <w:jc w:val="center"/>
              <w:rPr>
                <w:sz w:val="21"/>
                <w:szCs w:val="20"/>
              </w:rPr>
            </w:pPr>
            <w:r>
              <w:rPr>
                <w:rFonts w:hint="eastAsia"/>
                <w:sz w:val="21"/>
                <w:szCs w:val="20"/>
              </w:rPr>
              <w:t>颗粒物</w:t>
            </w:r>
          </w:p>
        </w:tc>
        <w:tc>
          <w:tcPr>
            <w:tcW w:w="781" w:type="pct"/>
            <w:vAlign w:val="center"/>
          </w:tcPr>
          <w:p>
            <w:pPr>
              <w:snapToGrid w:val="0"/>
              <w:spacing w:line="360" w:lineRule="exact"/>
              <w:jc w:val="center"/>
              <w:rPr>
                <w:sz w:val="21"/>
                <w:szCs w:val="20"/>
              </w:rPr>
            </w:pPr>
            <w:r>
              <w:rPr>
                <w:rFonts w:hint="eastAsia"/>
                <w:sz w:val="21"/>
                <w:szCs w:val="20"/>
              </w:rPr>
              <w:t>移动雾炮机全覆盖喷雾抑尘</w:t>
            </w:r>
          </w:p>
        </w:tc>
        <w:tc>
          <w:tcPr>
            <w:tcW w:w="1147" w:type="pct"/>
            <w:vMerge w:val="restart"/>
            <w:vAlign w:val="center"/>
          </w:tcPr>
          <w:p>
            <w:pPr>
              <w:snapToGrid w:val="0"/>
              <w:spacing w:line="360" w:lineRule="exact"/>
              <w:jc w:val="center"/>
              <w:rPr>
                <w:sz w:val="21"/>
                <w:szCs w:val="20"/>
              </w:rPr>
            </w:pPr>
            <w:r>
              <w:rPr>
                <w:sz w:val="21"/>
                <w:szCs w:val="20"/>
              </w:rPr>
              <w:t>《水泥工业大气污染物排放标准》（GB4915-2013）</w:t>
            </w:r>
            <w:r>
              <w:rPr>
                <w:rFonts w:hint="eastAsia"/>
                <w:sz w:val="21"/>
                <w:szCs w:val="20"/>
              </w:rPr>
              <w:t>中表3大气污染物无组织排放限值</w:t>
            </w:r>
          </w:p>
        </w:tc>
        <w:tc>
          <w:tcPr>
            <w:tcW w:w="699" w:type="pct"/>
            <w:vMerge w:val="restart"/>
            <w:vAlign w:val="center"/>
          </w:tcPr>
          <w:p>
            <w:pPr>
              <w:snapToGrid w:val="0"/>
              <w:spacing w:line="360" w:lineRule="exact"/>
              <w:jc w:val="center"/>
              <w:rPr>
                <w:sz w:val="21"/>
                <w:szCs w:val="20"/>
              </w:rPr>
            </w:pPr>
            <w:r>
              <w:rPr>
                <w:rFonts w:hint="eastAsia"/>
                <w:sz w:val="21"/>
                <w:szCs w:val="20"/>
              </w:rPr>
              <w:t>0.5</w:t>
            </w:r>
          </w:p>
        </w:tc>
        <w:tc>
          <w:tcPr>
            <w:tcW w:w="827" w:type="pct"/>
            <w:vAlign w:val="center"/>
          </w:tcPr>
          <w:p>
            <w:pPr>
              <w:snapToGrid w:val="0"/>
              <w:spacing w:line="360" w:lineRule="exact"/>
              <w:jc w:val="center"/>
              <w:rPr>
                <w:sz w:val="21"/>
                <w:szCs w:val="20"/>
              </w:rPr>
            </w:pPr>
            <w:r>
              <w:rPr>
                <w:sz w:val="21"/>
                <w:szCs w:val="20"/>
              </w:rPr>
              <w:t>0.</w:t>
            </w:r>
            <w:r>
              <w:rPr>
                <w:rFonts w:hint="eastAsia"/>
                <w:sz w:val="21"/>
                <w:szCs w:val="20"/>
              </w:rPr>
              <w:t>238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231" w:type="pct"/>
            <w:vAlign w:val="center"/>
          </w:tcPr>
          <w:p>
            <w:pPr>
              <w:snapToGrid w:val="0"/>
              <w:spacing w:line="360" w:lineRule="exact"/>
              <w:jc w:val="center"/>
              <w:rPr>
                <w:sz w:val="21"/>
                <w:szCs w:val="20"/>
              </w:rPr>
            </w:pPr>
            <w:r>
              <w:rPr>
                <w:rFonts w:hint="eastAsia"/>
                <w:sz w:val="21"/>
                <w:szCs w:val="20"/>
              </w:rPr>
              <w:t>2</w:t>
            </w:r>
          </w:p>
        </w:tc>
        <w:tc>
          <w:tcPr>
            <w:tcW w:w="446" w:type="pct"/>
            <w:vAlign w:val="center"/>
          </w:tcPr>
          <w:p>
            <w:pPr>
              <w:snapToGrid w:val="0"/>
              <w:spacing w:line="360" w:lineRule="exact"/>
              <w:jc w:val="center"/>
              <w:rPr>
                <w:sz w:val="21"/>
                <w:szCs w:val="20"/>
              </w:rPr>
            </w:pPr>
            <w:r>
              <w:rPr>
                <w:rFonts w:hint="eastAsia"/>
                <w:sz w:val="21"/>
                <w:szCs w:val="20"/>
              </w:rPr>
              <w:t>--</w:t>
            </w:r>
          </w:p>
        </w:tc>
        <w:tc>
          <w:tcPr>
            <w:tcW w:w="426" w:type="pct"/>
            <w:vAlign w:val="center"/>
          </w:tcPr>
          <w:p>
            <w:pPr>
              <w:snapToGrid w:val="0"/>
              <w:spacing w:line="360" w:lineRule="exact"/>
              <w:jc w:val="center"/>
              <w:rPr>
                <w:sz w:val="21"/>
                <w:szCs w:val="20"/>
              </w:rPr>
            </w:pPr>
            <w:r>
              <w:rPr>
                <w:rFonts w:hint="eastAsia"/>
                <w:sz w:val="21"/>
                <w:szCs w:val="20"/>
              </w:rPr>
              <w:t>排土场</w:t>
            </w:r>
          </w:p>
        </w:tc>
        <w:tc>
          <w:tcPr>
            <w:tcW w:w="438" w:type="pct"/>
            <w:vMerge w:val="continue"/>
            <w:vAlign w:val="center"/>
          </w:tcPr>
          <w:p>
            <w:pPr>
              <w:snapToGrid w:val="0"/>
              <w:spacing w:line="360" w:lineRule="exact"/>
              <w:jc w:val="center"/>
              <w:rPr>
                <w:sz w:val="21"/>
                <w:szCs w:val="20"/>
              </w:rPr>
            </w:pPr>
          </w:p>
        </w:tc>
        <w:tc>
          <w:tcPr>
            <w:tcW w:w="781" w:type="pct"/>
            <w:vAlign w:val="center"/>
          </w:tcPr>
          <w:p>
            <w:pPr>
              <w:snapToGrid w:val="0"/>
              <w:spacing w:line="360" w:lineRule="exact"/>
              <w:jc w:val="center"/>
              <w:rPr>
                <w:sz w:val="21"/>
                <w:szCs w:val="20"/>
              </w:rPr>
            </w:pPr>
            <w:r>
              <w:rPr>
                <w:rFonts w:hint="eastAsia"/>
                <w:sz w:val="21"/>
                <w:szCs w:val="20"/>
              </w:rPr>
              <w:t>堆土全部使用防尘网进行遮挡覆盖，作业区设雾炮机喷雾洒水抑尘</w:t>
            </w:r>
          </w:p>
        </w:tc>
        <w:tc>
          <w:tcPr>
            <w:tcW w:w="1147" w:type="pct"/>
            <w:vMerge w:val="continue"/>
            <w:vAlign w:val="center"/>
          </w:tcPr>
          <w:p>
            <w:pPr>
              <w:snapToGrid w:val="0"/>
              <w:spacing w:line="360" w:lineRule="exact"/>
              <w:jc w:val="center"/>
              <w:rPr>
                <w:sz w:val="21"/>
                <w:szCs w:val="20"/>
              </w:rPr>
            </w:pPr>
          </w:p>
        </w:tc>
        <w:tc>
          <w:tcPr>
            <w:tcW w:w="699" w:type="pct"/>
            <w:vMerge w:val="continue"/>
            <w:vAlign w:val="center"/>
          </w:tcPr>
          <w:p>
            <w:pPr>
              <w:snapToGrid w:val="0"/>
              <w:spacing w:line="360" w:lineRule="exact"/>
              <w:jc w:val="center"/>
              <w:rPr>
                <w:sz w:val="21"/>
                <w:szCs w:val="20"/>
              </w:rPr>
            </w:pPr>
          </w:p>
        </w:tc>
        <w:tc>
          <w:tcPr>
            <w:tcW w:w="827" w:type="pct"/>
            <w:vAlign w:val="center"/>
          </w:tcPr>
          <w:p>
            <w:pPr>
              <w:snapToGrid w:val="0"/>
              <w:spacing w:line="360" w:lineRule="exact"/>
              <w:jc w:val="center"/>
              <w:rPr>
                <w:sz w:val="21"/>
                <w:szCs w:val="20"/>
              </w:rPr>
            </w:pPr>
            <w:r>
              <w:rPr>
                <w:rFonts w:hint="eastAsia"/>
                <w:sz w:val="21"/>
                <w:szCs w:val="20"/>
              </w:rPr>
              <w:t>0.002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231" w:type="pct"/>
            <w:vAlign w:val="center"/>
          </w:tcPr>
          <w:p>
            <w:pPr>
              <w:snapToGrid w:val="0"/>
              <w:spacing w:line="360" w:lineRule="exact"/>
              <w:jc w:val="center"/>
              <w:rPr>
                <w:sz w:val="21"/>
                <w:szCs w:val="20"/>
              </w:rPr>
            </w:pPr>
            <w:r>
              <w:rPr>
                <w:rFonts w:hint="eastAsia"/>
                <w:sz w:val="21"/>
                <w:szCs w:val="20"/>
              </w:rPr>
              <w:t>3</w:t>
            </w:r>
          </w:p>
        </w:tc>
        <w:tc>
          <w:tcPr>
            <w:tcW w:w="446" w:type="pct"/>
            <w:vAlign w:val="center"/>
          </w:tcPr>
          <w:p>
            <w:pPr>
              <w:snapToGrid w:val="0"/>
              <w:spacing w:line="360" w:lineRule="exact"/>
              <w:jc w:val="center"/>
              <w:rPr>
                <w:sz w:val="21"/>
                <w:szCs w:val="20"/>
              </w:rPr>
            </w:pPr>
            <w:r>
              <w:rPr>
                <w:rFonts w:hint="eastAsia"/>
                <w:sz w:val="21"/>
                <w:szCs w:val="20"/>
              </w:rPr>
              <w:t>--</w:t>
            </w:r>
          </w:p>
        </w:tc>
        <w:tc>
          <w:tcPr>
            <w:tcW w:w="426" w:type="pct"/>
            <w:vAlign w:val="center"/>
          </w:tcPr>
          <w:p>
            <w:pPr>
              <w:snapToGrid w:val="0"/>
              <w:spacing w:line="360" w:lineRule="exact"/>
              <w:jc w:val="center"/>
              <w:rPr>
                <w:sz w:val="21"/>
                <w:szCs w:val="20"/>
              </w:rPr>
            </w:pPr>
            <w:r>
              <w:rPr>
                <w:rFonts w:hint="eastAsia"/>
                <w:sz w:val="21"/>
                <w:szCs w:val="20"/>
              </w:rPr>
              <w:t>原料库</w:t>
            </w:r>
          </w:p>
        </w:tc>
        <w:tc>
          <w:tcPr>
            <w:tcW w:w="438" w:type="pct"/>
            <w:vMerge w:val="continue"/>
            <w:vAlign w:val="center"/>
          </w:tcPr>
          <w:p>
            <w:pPr>
              <w:snapToGrid w:val="0"/>
              <w:spacing w:line="360" w:lineRule="exact"/>
              <w:jc w:val="center"/>
              <w:rPr>
                <w:sz w:val="21"/>
                <w:szCs w:val="20"/>
              </w:rPr>
            </w:pPr>
          </w:p>
        </w:tc>
        <w:tc>
          <w:tcPr>
            <w:tcW w:w="781" w:type="pct"/>
            <w:vAlign w:val="center"/>
          </w:tcPr>
          <w:p>
            <w:pPr>
              <w:snapToGrid w:val="0"/>
              <w:spacing w:line="360" w:lineRule="exact"/>
              <w:jc w:val="center"/>
              <w:rPr>
                <w:sz w:val="21"/>
                <w:szCs w:val="20"/>
              </w:rPr>
            </w:pPr>
            <w:r>
              <w:rPr>
                <w:rFonts w:hint="eastAsia"/>
                <w:sz w:val="21"/>
                <w:szCs w:val="20"/>
              </w:rPr>
              <w:t>原料库全封闭，并设雾炮机喷雾洒水抑尘</w:t>
            </w:r>
          </w:p>
        </w:tc>
        <w:tc>
          <w:tcPr>
            <w:tcW w:w="1147" w:type="pct"/>
            <w:vMerge w:val="continue"/>
            <w:vAlign w:val="center"/>
          </w:tcPr>
          <w:p>
            <w:pPr>
              <w:snapToGrid w:val="0"/>
              <w:spacing w:line="360" w:lineRule="exact"/>
              <w:jc w:val="center"/>
              <w:rPr>
                <w:sz w:val="21"/>
                <w:szCs w:val="20"/>
              </w:rPr>
            </w:pPr>
          </w:p>
        </w:tc>
        <w:tc>
          <w:tcPr>
            <w:tcW w:w="699" w:type="pct"/>
            <w:vMerge w:val="continue"/>
            <w:vAlign w:val="center"/>
          </w:tcPr>
          <w:p>
            <w:pPr>
              <w:snapToGrid w:val="0"/>
              <w:spacing w:line="360" w:lineRule="exact"/>
              <w:jc w:val="center"/>
              <w:rPr>
                <w:sz w:val="21"/>
                <w:szCs w:val="20"/>
              </w:rPr>
            </w:pPr>
          </w:p>
        </w:tc>
        <w:tc>
          <w:tcPr>
            <w:tcW w:w="827" w:type="pct"/>
            <w:vAlign w:val="center"/>
          </w:tcPr>
          <w:p>
            <w:pPr>
              <w:snapToGrid w:val="0"/>
              <w:spacing w:line="360" w:lineRule="exact"/>
              <w:jc w:val="center"/>
              <w:rPr>
                <w:sz w:val="21"/>
                <w:szCs w:val="20"/>
              </w:rPr>
            </w:pPr>
            <w:r>
              <w:rPr>
                <w:sz w:val="21"/>
                <w:szCs w:val="20"/>
              </w:rPr>
              <w:t>0.</w:t>
            </w:r>
            <w:r>
              <w:rPr>
                <w:rFonts w:hint="eastAsia"/>
                <w:sz w:val="21"/>
                <w:szCs w:val="20"/>
              </w:rPr>
              <w:t>011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231" w:type="pct"/>
            <w:vAlign w:val="center"/>
          </w:tcPr>
          <w:p>
            <w:pPr>
              <w:snapToGrid w:val="0"/>
              <w:spacing w:line="360" w:lineRule="exact"/>
              <w:jc w:val="center"/>
              <w:rPr>
                <w:sz w:val="21"/>
                <w:szCs w:val="20"/>
              </w:rPr>
            </w:pPr>
            <w:r>
              <w:rPr>
                <w:rFonts w:hint="eastAsia"/>
                <w:sz w:val="21"/>
                <w:szCs w:val="20"/>
              </w:rPr>
              <w:t>4</w:t>
            </w:r>
          </w:p>
        </w:tc>
        <w:tc>
          <w:tcPr>
            <w:tcW w:w="446" w:type="pct"/>
            <w:vAlign w:val="center"/>
          </w:tcPr>
          <w:p>
            <w:pPr>
              <w:snapToGrid w:val="0"/>
              <w:spacing w:line="360" w:lineRule="exact"/>
              <w:jc w:val="center"/>
              <w:rPr>
                <w:sz w:val="21"/>
                <w:szCs w:val="20"/>
              </w:rPr>
            </w:pPr>
            <w:r>
              <w:rPr>
                <w:rFonts w:hint="eastAsia"/>
                <w:sz w:val="21"/>
                <w:szCs w:val="20"/>
              </w:rPr>
              <w:t>--</w:t>
            </w:r>
          </w:p>
        </w:tc>
        <w:tc>
          <w:tcPr>
            <w:tcW w:w="426" w:type="pct"/>
            <w:vAlign w:val="center"/>
          </w:tcPr>
          <w:p>
            <w:pPr>
              <w:snapToGrid w:val="0"/>
              <w:spacing w:line="360" w:lineRule="exact"/>
              <w:jc w:val="center"/>
              <w:rPr>
                <w:sz w:val="21"/>
                <w:szCs w:val="20"/>
              </w:rPr>
            </w:pPr>
            <w:r>
              <w:rPr>
                <w:rFonts w:hint="eastAsia"/>
                <w:sz w:val="21"/>
                <w:szCs w:val="20"/>
              </w:rPr>
              <w:t>道路运输</w:t>
            </w:r>
          </w:p>
        </w:tc>
        <w:tc>
          <w:tcPr>
            <w:tcW w:w="438" w:type="pct"/>
            <w:vMerge w:val="continue"/>
            <w:vAlign w:val="center"/>
          </w:tcPr>
          <w:p>
            <w:pPr>
              <w:snapToGrid w:val="0"/>
              <w:spacing w:line="360" w:lineRule="exact"/>
              <w:jc w:val="center"/>
              <w:rPr>
                <w:sz w:val="21"/>
                <w:szCs w:val="20"/>
              </w:rPr>
            </w:pPr>
          </w:p>
        </w:tc>
        <w:tc>
          <w:tcPr>
            <w:tcW w:w="781" w:type="pct"/>
            <w:vAlign w:val="center"/>
          </w:tcPr>
          <w:p>
            <w:pPr>
              <w:snapToGrid w:val="0"/>
              <w:spacing w:line="360" w:lineRule="exact"/>
              <w:jc w:val="center"/>
              <w:rPr>
                <w:sz w:val="21"/>
                <w:szCs w:val="20"/>
              </w:rPr>
            </w:pPr>
            <w:r>
              <w:rPr>
                <w:rFonts w:hint="eastAsia"/>
                <w:sz w:val="21"/>
                <w:szCs w:val="20"/>
              </w:rPr>
              <w:t>工业场地入口建设洗车平台，运输车辆进出厂时，对车身和轮胎进行冲洗，厂区道路硬化、定期洒水、及时清扫，运输车辆进行苫盖</w:t>
            </w:r>
          </w:p>
        </w:tc>
        <w:tc>
          <w:tcPr>
            <w:tcW w:w="1147" w:type="pct"/>
            <w:vMerge w:val="continue"/>
            <w:vAlign w:val="center"/>
          </w:tcPr>
          <w:p>
            <w:pPr>
              <w:snapToGrid w:val="0"/>
              <w:spacing w:line="360" w:lineRule="exact"/>
              <w:jc w:val="center"/>
              <w:rPr>
                <w:sz w:val="21"/>
                <w:szCs w:val="20"/>
              </w:rPr>
            </w:pPr>
          </w:p>
        </w:tc>
        <w:tc>
          <w:tcPr>
            <w:tcW w:w="699" w:type="pct"/>
            <w:vMerge w:val="continue"/>
            <w:vAlign w:val="center"/>
          </w:tcPr>
          <w:p>
            <w:pPr>
              <w:snapToGrid w:val="0"/>
              <w:spacing w:line="360" w:lineRule="exact"/>
              <w:jc w:val="center"/>
              <w:rPr>
                <w:sz w:val="21"/>
                <w:szCs w:val="20"/>
              </w:rPr>
            </w:pPr>
          </w:p>
        </w:tc>
        <w:tc>
          <w:tcPr>
            <w:tcW w:w="827" w:type="pct"/>
            <w:vAlign w:val="center"/>
          </w:tcPr>
          <w:p>
            <w:pPr>
              <w:snapToGrid w:val="0"/>
              <w:spacing w:line="360" w:lineRule="exact"/>
              <w:jc w:val="center"/>
              <w:rPr>
                <w:sz w:val="21"/>
                <w:szCs w:val="20"/>
              </w:rPr>
            </w:pPr>
            <w:r>
              <w:rPr>
                <w:rFonts w:hint="eastAsia"/>
                <w:sz w:val="21"/>
                <w:szCs w:val="20"/>
              </w:rPr>
              <w:t>0.075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5000" w:type="pct"/>
            <w:gridSpan w:val="8"/>
          </w:tcPr>
          <w:p>
            <w:pPr>
              <w:snapToGrid w:val="0"/>
              <w:spacing w:line="360" w:lineRule="exact"/>
              <w:jc w:val="center"/>
              <w:rPr>
                <w:sz w:val="21"/>
                <w:szCs w:val="20"/>
              </w:rPr>
            </w:pPr>
            <w:r>
              <w:rPr>
                <w:rFonts w:hint="eastAsia"/>
                <w:sz w:val="21"/>
                <w:szCs w:val="20"/>
              </w:rPr>
              <w:t>无组织排放总计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1543" w:type="pct"/>
            <w:gridSpan w:val="4"/>
          </w:tcPr>
          <w:p>
            <w:pPr>
              <w:snapToGrid w:val="0"/>
              <w:spacing w:line="360" w:lineRule="exact"/>
              <w:jc w:val="center"/>
              <w:rPr>
                <w:sz w:val="21"/>
                <w:szCs w:val="20"/>
              </w:rPr>
            </w:pPr>
            <w:r>
              <w:rPr>
                <w:rFonts w:hint="eastAsia"/>
                <w:sz w:val="21"/>
                <w:szCs w:val="20"/>
              </w:rPr>
              <w:t>总计</w:t>
            </w:r>
          </w:p>
        </w:tc>
        <w:tc>
          <w:tcPr>
            <w:tcW w:w="1929" w:type="pct"/>
            <w:gridSpan w:val="2"/>
            <w:vAlign w:val="center"/>
          </w:tcPr>
          <w:p>
            <w:pPr>
              <w:snapToGrid w:val="0"/>
              <w:spacing w:line="360" w:lineRule="exact"/>
              <w:jc w:val="center"/>
              <w:rPr>
                <w:sz w:val="21"/>
                <w:szCs w:val="20"/>
              </w:rPr>
            </w:pPr>
            <w:r>
              <w:rPr>
                <w:rFonts w:hint="eastAsia"/>
                <w:sz w:val="21"/>
                <w:szCs w:val="20"/>
              </w:rPr>
              <w:t>颗粒物</w:t>
            </w:r>
          </w:p>
        </w:tc>
        <w:tc>
          <w:tcPr>
            <w:tcW w:w="1527" w:type="pct"/>
            <w:gridSpan w:val="2"/>
            <w:vAlign w:val="center"/>
          </w:tcPr>
          <w:p>
            <w:pPr>
              <w:snapToGrid w:val="0"/>
              <w:spacing w:line="360" w:lineRule="exact"/>
              <w:jc w:val="center"/>
              <w:rPr>
                <w:sz w:val="21"/>
                <w:szCs w:val="20"/>
              </w:rPr>
            </w:pPr>
            <w:r>
              <w:rPr>
                <w:rFonts w:hint="eastAsia"/>
                <w:sz w:val="21"/>
                <w:szCs w:val="20"/>
              </w:rPr>
              <w:t>0.326</w:t>
            </w:r>
          </w:p>
        </w:tc>
      </w:tr>
    </w:tbl>
    <w:p>
      <w:pPr>
        <w:spacing w:before="156" w:beforeLines="50"/>
        <w:ind w:firstLine="420" w:firstLineChars="200"/>
        <w:jc w:val="center"/>
        <w:rPr>
          <w:rFonts w:eastAsia="黑体"/>
          <w:sz w:val="21"/>
          <w:szCs w:val="21"/>
        </w:rPr>
      </w:pPr>
      <w:r>
        <w:rPr>
          <w:rFonts w:eastAsia="黑体"/>
          <w:sz w:val="21"/>
          <w:szCs w:val="21"/>
        </w:rPr>
        <w:t>表5.1-</w:t>
      </w:r>
      <w:r>
        <w:rPr>
          <w:rFonts w:hint="eastAsia" w:eastAsia="黑体"/>
          <w:sz w:val="21"/>
          <w:szCs w:val="21"/>
        </w:rPr>
        <w:t>4</w:t>
      </w:r>
      <w:r>
        <w:rPr>
          <w:rFonts w:eastAsia="黑体"/>
          <w:sz w:val="21"/>
          <w:szCs w:val="21"/>
        </w:rPr>
        <w:t xml:space="preserve"> 大气污染物年排放量核算表</w:t>
      </w:r>
    </w:p>
    <w:tbl>
      <w:tblPr>
        <w:tblStyle w:val="88"/>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3371"/>
        <w:gridCol w:w="3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08" w:type="dxa"/>
            <w:vAlign w:val="center"/>
          </w:tcPr>
          <w:p>
            <w:pPr>
              <w:widowControl w:val="0"/>
              <w:spacing w:line="360" w:lineRule="exact"/>
              <w:jc w:val="center"/>
              <w:rPr>
                <w:sz w:val="21"/>
                <w:szCs w:val="21"/>
              </w:rPr>
            </w:pPr>
            <w:r>
              <w:rPr>
                <w:rFonts w:hint="eastAsia"/>
                <w:sz w:val="21"/>
                <w:szCs w:val="21"/>
              </w:rPr>
              <w:t>序号</w:t>
            </w:r>
          </w:p>
        </w:tc>
        <w:tc>
          <w:tcPr>
            <w:tcW w:w="3371" w:type="dxa"/>
            <w:vAlign w:val="center"/>
          </w:tcPr>
          <w:p>
            <w:pPr>
              <w:widowControl w:val="0"/>
              <w:spacing w:line="360" w:lineRule="exact"/>
              <w:jc w:val="center"/>
              <w:rPr>
                <w:sz w:val="21"/>
                <w:szCs w:val="21"/>
              </w:rPr>
            </w:pPr>
            <w:r>
              <w:rPr>
                <w:rFonts w:hint="eastAsia"/>
                <w:sz w:val="21"/>
                <w:szCs w:val="21"/>
              </w:rPr>
              <w:t>污染物</w:t>
            </w:r>
          </w:p>
        </w:tc>
        <w:tc>
          <w:tcPr>
            <w:tcW w:w="3695" w:type="dxa"/>
            <w:vAlign w:val="center"/>
          </w:tcPr>
          <w:p>
            <w:pPr>
              <w:widowControl w:val="0"/>
              <w:spacing w:line="360" w:lineRule="exact"/>
              <w:jc w:val="center"/>
              <w:rPr>
                <w:sz w:val="21"/>
                <w:szCs w:val="21"/>
              </w:rPr>
            </w:pPr>
            <w:r>
              <w:rPr>
                <w:rFonts w:hint="eastAsia"/>
                <w:sz w:val="21"/>
                <w:szCs w:val="21"/>
              </w:rPr>
              <w:t>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08" w:type="dxa"/>
            <w:vAlign w:val="center"/>
          </w:tcPr>
          <w:p>
            <w:pPr>
              <w:widowControl w:val="0"/>
              <w:spacing w:line="360" w:lineRule="exact"/>
              <w:jc w:val="center"/>
              <w:rPr>
                <w:sz w:val="21"/>
                <w:szCs w:val="21"/>
              </w:rPr>
            </w:pPr>
            <w:r>
              <w:rPr>
                <w:rFonts w:hint="eastAsia"/>
                <w:sz w:val="21"/>
                <w:szCs w:val="21"/>
              </w:rPr>
              <w:t>1</w:t>
            </w:r>
          </w:p>
        </w:tc>
        <w:tc>
          <w:tcPr>
            <w:tcW w:w="3371" w:type="dxa"/>
            <w:vAlign w:val="center"/>
          </w:tcPr>
          <w:p>
            <w:pPr>
              <w:widowControl w:val="0"/>
              <w:spacing w:line="360" w:lineRule="exact"/>
              <w:jc w:val="center"/>
              <w:rPr>
                <w:sz w:val="21"/>
                <w:szCs w:val="21"/>
              </w:rPr>
            </w:pPr>
            <w:r>
              <w:rPr>
                <w:rFonts w:hint="eastAsia"/>
                <w:sz w:val="21"/>
                <w:szCs w:val="21"/>
              </w:rPr>
              <w:t>颗粒物</w:t>
            </w:r>
          </w:p>
        </w:tc>
        <w:tc>
          <w:tcPr>
            <w:tcW w:w="3695" w:type="dxa"/>
            <w:vAlign w:val="center"/>
          </w:tcPr>
          <w:p>
            <w:pPr>
              <w:widowControl w:val="0"/>
              <w:spacing w:line="360" w:lineRule="exact"/>
              <w:jc w:val="center"/>
              <w:rPr>
                <w:sz w:val="21"/>
                <w:szCs w:val="21"/>
              </w:rPr>
            </w:pPr>
            <w:r>
              <w:rPr>
                <w:rFonts w:hint="eastAsia"/>
                <w:sz w:val="21"/>
                <w:szCs w:val="21"/>
              </w:rPr>
              <w:t>0.326t/a</w:t>
            </w:r>
          </w:p>
        </w:tc>
      </w:tr>
    </w:tbl>
    <w:p>
      <w:pPr>
        <w:spacing w:line="440" w:lineRule="exact"/>
        <w:ind w:firstLine="480" w:firstLineChars="200"/>
      </w:pPr>
    </w:p>
    <w:p>
      <w:pPr>
        <w:spacing w:line="440" w:lineRule="exact"/>
        <w:ind w:firstLine="480" w:firstLineChars="200"/>
      </w:pPr>
      <w:r>
        <w:rPr>
          <w:rFonts w:hint="eastAsia"/>
        </w:rPr>
        <w:t>5、自查表</w:t>
      </w:r>
    </w:p>
    <w:p>
      <w:pPr>
        <w:spacing w:before="156" w:beforeLines="50"/>
        <w:jc w:val="center"/>
        <w:rPr>
          <w:sz w:val="21"/>
          <w:szCs w:val="16"/>
        </w:rPr>
      </w:pPr>
      <w:r>
        <w:rPr>
          <w:rFonts w:eastAsia="黑体"/>
          <w:bCs/>
          <w:sz w:val="21"/>
          <w:szCs w:val="18"/>
        </w:rPr>
        <w:t>表</w:t>
      </w:r>
      <w:r>
        <w:rPr>
          <w:rFonts w:hint="eastAsia" w:eastAsia="黑体"/>
          <w:bCs/>
          <w:sz w:val="21"/>
          <w:szCs w:val="18"/>
        </w:rPr>
        <w:t>5.1-5</w:t>
      </w:r>
      <w:r>
        <w:rPr>
          <w:rFonts w:eastAsia="黑体"/>
          <w:bCs/>
          <w:sz w:val="21"/>
          <w:szCs w:val="18"/>
        </w:rPr>
        <w:t xml:space="preserve">  建设项目大气环境影响评价自查表</w:t>
      </w:r>
    </w:p>
    <w:tbl>
      <w:tblPr>
        <w:tblStyle w:val="88"/>
        <w:tblW w:w="0" w:type="auto"/>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09"/>
        <w:gridCol w:w="1787"/>
        <w:gridCol w:w="1040"/>
        <w:gridCol w:w="375"/>
        <w:gridCol w:w="779"/>
        <w:gridCol w:w="310"/>
        <w:gridCol w:w="535"/>
        <w:gridCol w:w="1510"/>
        <w:gridCol w:w="89"/>
        <w:gridCol w:w="251"/>
        <w:gridCol w:w="178"/>
        <w:gridCol w:w="12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2713" w:type="dxa"/>
            <w:gridSpan w:val="2"/>
            <w:vAlign w:val="center"/>
          </w:tcPr>
          <w:p>
            <w:pPr>
              <w:snapToGrid w:val="0"/>
              <w:spacing w:line="360" w:lineRule="exact"/>
              <w:jc w:val="center"/>
              <w:rPr>
                <w:color w:val="000000"/>
                <w:sz w:val="21"/>
              </w:rPr>
            </w:pPr>
            <w:r>
              <w:rPr>
                <w:color w:val="000000"/>
                <w:sz w:val="21"/>
              </w:rPr>
              <w:t>工作内容</w:t>
            </w:r>
          </w:p>
        </w:tc>
        <w:tc>
          <w:tcPr>
            <w:tcW w:w="6345" w:type="dxa"/>
            <w:gridSpan w:val="10"/>
            <w:vAlign w:val="center"/>
          </w:tcPr>
          <w:p>
            <w:pPr>
              <w:snapToGrid w:val="0"/>
              <w:spacing w:line="360" w:lineRule="exact"/>
              <w:jc w:val="center"/>
              <w:rPr>
                <w:color w:val="000000"/>
                <w:sz w:val="21"/>
              </w:rPr>
            </w:pPr>
            <w:r>
              <w:rPr>
                <w:color w:val="000000"/>
                <w:sz w:val="21"/>
              </w:rPr>
              <w:t>自查项目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Merge w:val="restart"/>
            <w:vAlign w:val="center"/>
          </w:tcPr>
          <w:p>
            <w:pPr>
              <w:snapToGrid w:val="0"/>
              <w:spacing w:line="360" w:lineRule="exact"/>
              <w:jc w:val="center"/>
              <w:rPr>
                <w:color w:val="000000"/>
                <w:sz w:val="21"/>
              </w:rPr>
            </w:pPr>
            <w:r>
              <w:rPr>
                <w:color w:val="000000"/>
                <w:sz w:val="21"/>
              </w:rPr>
              <w:t>评价等级与范围</w:t>
            </w:r>
          </w:p>
        </w:tc>
        <w:tc>
          <w:tcPr>
            <w:tcW w:w="1798" w:type="dxa"/>
            <w:vAlign w:val="center"/>
          </w:tcPr>
          <w:p>
            <w:pPr>
              <w:snapToGrid w:val="0"/>
              <w:spacing w:line="360" w:lineRule="exact"/>
              <w:jc w:val="center"/>
              <w:rPr>
                <w:color w:val="000000"/>
                <w:sz w:val="21"/>
              </w:rPr>
            </w:pPr>
            <w:r>
              <w:rPr>
                <w:color w:val="000000"/>
                <w:sz w:val="21"/>
              </w:rPr>
              <w:t>评价等级</w:t>
            </w:r>
          </w:p>
        </w:tc>
        <w:tc>
          <w:tcPr>
            <w:tcW w:w="2205" w:type="dxa"/>
            <w:gridSpan w:val="3"/>
            <w:vAlign w:val="center"/>
          </w:tcPr>
          <w:p>
            <w:pPr>
              <w:snapToGrid w:val="0"/>
              <w:spacing w:line="360" w:lineRule="exact"/>
              <w:jc w:val="center"/>
              <w:rPr>
                <w:color w:val="000000"/>
                <w:sz w:val="21"/>
              </w:rPr>
            </w:pPr>
            <w:r>
              <w:rPr>
                <w:color w:val="000000"/>
                <w:sz w:val="21"/>
              </w:rPr>
              <w:t>一级□</w:t>
            </w:r>
          </w:p>
        </w:tc>
        <w:tc>
          <w:tcPr>
            <w:tcW w:w="2363" w:type="dxa"/>
            <w:gridSpan w:val="3"/>
            <w:vAlign w:val="center"/>
          </w:tcPr>
          <w:p>
            <w:pPr>
              <w:snapToGrid w:val="0"/>
              <w:spacing w:line="360" w:lineRule="exact"/>
              <w:jc w:val="center"/>
              <w:rPr>
                <w:color w:val="000000"/>
                <w:sz w:val="21"/>
              </w:rPr>
            </w:pPr>
            <w:r>
              <w:rPr>
                <w:color w:val="000000"/>
                <w:sz w:val="21"/>
              </w:rPr>
              <w:t>二级□</w:t>
            </w:r>
            <w:r>
              <w:rPr>
                <w:bCs/>
                <w:sz w:val="21"/>
              </w:rPr>
              <w:t>√</w:t>
            </w:r>
          </w:p>
        </w:tc>
        <w:tc>
          <w:tcPr>
            <w:tcW w:w="1777" w:type="dxa"/>
            <w:gridSpan w:val="4"/>
            <w:vAlign w:val="center"/>
          </w:tcPr>
          <w:p>
            <w:pPr>
              <w:snapToGrid w:val="0"/>
              <w:spacing w:line="360" w:lineRule="exact"/>
              <w:jc w:val="center"/>
              <w:rPr>
                <w:color w:val="000000"/>
                <w:sz w:val="21"/>
              </w:rPr>
            </w:pPr>
            <w:r>
              <w:rPr>
                <w:color w:val="000000"/>
                <w:sz w:val="21"/>
              </w:rPr>
              <w:t>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Merge w:val="continue"/>
            <w:vAlign w:val="center"/>
          </w:tcPr>
          <w:p>
            <w:pPr>
              <w:snapToGrid w:val="0"/>
              <w:spacing w:line="360" w:lineRule="exact"/>
              <w:jc w:val="center"/>
              <w:rPr>
                <w:color w:val="000000"/>
                <w:sz w:val="21"/>
              </w:rPr>
            </w:pPr>
          </w:p>
        </w:tc>
        <w:tc>
          <w:tcPr>
            <w:tcW w:w="1798" w:type="dxa"/>
            <w:vAlign w:val="center"/>
          </w:tcPr>
          <w:p>
            <w:pPr>
              <w:snapToGrid w:val="0"/>
              <w:spacing w:line="360" w:lineRule="exact"/>
              <w:jc w:val="center"/>
              <w:rPr>
                <w:color w:val="000000"/>
                <w:sz w:val="21"/>
              </w:rPr>
            </w:pPr>
            <w:r>
              <w:rPr>
                <w:color w:val="000000"/>
                <w:sz w:val="21"/>
              </w:rPr>
              <w:t>评价范围</w:t>
            </w:r>
          </w:p>
        </w:tc>
        <w:tc>
          <w:tcPr>
            <w:tcW w:w="2205" w:type="dxa"/>
            <w:gridSpan w:val="3"/>
            <w:vAlign w:val="center"/>
          </w:tcPr>
          <w:p>
            <w:pPr>
              <w:snapToGrid w:val="0"/>
              <w:spacing w:line="360" w:lineRule="exact"/>
              <w:jc w:val="center"/>
              <w:rPr>
                <w:color w:val="000000"/>
                <w:sz w:val="21"/>
              </w:rPr>
            </w:pPr>
            <w:r>
              <w:rPr>
                <w:color w:val="000000"/>
                <w:sz w:val="21"/>
              </w:rPr>
              <w:t>边长=50km□</w:t>
            </w:r>
          </w:p>
        </w:tc>
        <w:tc>
          <w:tcPr>
            <w:tcW w:w="2363" w:type="dxa"/>
            <w:gridSpan w:val="3"/>
            <w:vAlign w:val="center"/>
          </w:tcPr>
          <w:p>
            <w:pPr>
              <w:snapToGrid w:val="0"/>
              <w:spacing w:line="360" w:lineRule="exact"/>
              <w:jc w:val="center"/>
              <w:rPr>
                <w:color w:val="000000"/>
                <w:sz w:val="21"/>
              </w:rPr>
            </w:pPr>
            <w:r>
              <w:rPr>
                <w:color w:val="000000"/>
                <w:sz w:val="21"/>
              </w:rPr>
              <w:t>边长5～50km□</w:t>
            </w:r>
          </w:p>
        </w:tc>
        <w:tc>
          <w:tcPr>
            <w:tcW w:w="1777" w:type="dxa"/>
            <w:gridSpan w:val="4"/>
            <w:vAlign w:val="center"/>
          </w:tcPr>
          <w:p>
            <w:pPr>
              <w:snapToGrid w:val="0"/>
              <w:spacing w:line="360" w:lineRule="exact"/>
              <w:jc w:val="center"/>
              <w:rPr>
                <w:color w:val="000000"/>
                <w:sz w:val="21"/>
              </w:rPr>
            </w:pPr>
            <w:r>
              <w:rPr>
                <w:color w:val="000000"/>
                <w:sz w:val="21"/>
              </w:rPr>
              <w:t>边长=5 km□</w:t>
            </w:r>
            <w:r>
              <w:rPr>
                <w:bCs/>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Merge w:val="restart"/>
            <w:vAlign w:val="center"/>
          </w:tcPr>
          <w:p>
            <w:pPr>
              <w:snapToGrid w:val="0"/>
              <w:spacing w:line="360" w:lineRule="exact"/>
              <w:jc w:val="center"/>
              <w:rPr>
                <w:color w:val="000000"/>
                <w:sz w:val="21"/>
              </w:rPr>
            </w:pPr>
            <w:r>
              <w:rPr>
                <w:color w:val="000000"/>
                <w:sz w:val="21"/>
              </w:rPr>
              <w:t>评价因子</w:t>
            </w:r>
          </w:p>
        </w:tc>
        <w:tc>
          <w:tcPr>
            <w:tcW w:w="1798" w:type="dxa"/>
            <w:vAlign w:val="center"/>
          </w:tcPr>
          <w:p>
            <w:pPr>
              <w:snapToGrid w:val="0"/>
              <w:spacing w:line="360" w:lineRule="exact"/>
              <w:jc w:val="center"/>
              <w:rPr>
                <w:color w:val="000000"/>
                <w:sz w:val="21"/>
              </w:rPr>
            </w:pPr>
            <w:r>
              <w:rPr>
                <w:color w:val="000000"/>
                <w:sz w:val="21"/>
              </w:rPr>
              <w:t>SO</w:t>
            </w:r>
            <w:r>
              <w:rPr>
                <w:color w:val="000000"/>
                <w:sz w:val="21"/>
                <w:vertAlign w:val="subscript"/>
              </w:rPr>
              <w:t xml:space="preserve">2 </w:t>
            </w:r>
            <w:r>
              <w:rPr>
                <w:color w:val="000000"/>
                <w:sz w:val="21"/>
              </w:rPr>
              <w:t>+NO</w:t>
            </w:r>
            <w:r>
              <w:rPr>
                <w:i/>
                <w:color w:val="000000"/>
                <w:sz w:val="21"/>
                <w:vertAlign w:val="subscript"/>
              </w:rPr>
              <w:t>x</w:t>
            </w:r>
            <w:r>
              <w:rPr>
                <w:color w:val="000000"/>
                <w:sz w:val="21"/>
              </w:rPr>
              <w:t>排放量</w:t>
            </w:r>
          </w:p>
        </w:tc>
        <w:tc>
          <w:tcPr>
            <w:tcW w:w="1042" w:type="dxa"/>
            <w:vAlign w:val="center"/>
          </w:tcPr>
          <w:p>
            <w:pPr>
              <w:snapToGrid w:val="0"/>
              <w:spacing w:line="360" w:lineRule="exact"/>
              <w:jc w:val="center"/>
              <w:rPr>
                <w:color w:val="000000"/>
                <w:sz w:val="21"/>
              </w:rPr>
            </w:pPr>
            <w:r>
              <w:rPr>
                <w:color w:val="000000"/>
                <w:sz w:val="21"/>
              </w:rPr>
              <w:t>≥ 2000t/a□</w:t>
            </w:r>
          </w:p>
        </w:tc>
        <w:tc>
          <w:tcPr>
            <w:tcW w:w="3526" w:type="dxa"/>
            <w:gridSpan w:val="5"/>
            <w:vAlign w:val="center"/>
          </w:tcPr>
          <w:p>
            <w:pPr>
              <w:snapToGrid w:val="0"/>
              <w:spacing w:line="360" w:lineRule="exact"/>
              <w:jc w:val="center"/>
              <w:rPr>
                <w:color w:val="000000"/>
                <w:sz w:val="21"/>
              </w:rPr>
            </w:pPr>
            <w:r>
              <w:rPr>
                <w:color w:val="000000"/>
                <w:sz w:val="21"/>
              </w:rPr>
              <w:t>500 ~ 2000t/a□</w:t>
            </w:r>
          </w:p>
        </w:tc>
        <w:tc>
          <w:tcPr>
            <w:tcW w:w="1777" w:type="dxa"/>
            <w:gridSpan w:val="4"/>
            <w:vAlign w:val="center"/>
          </w:tcPr>
          <w:p>
            <w:pPr>
              <w:snapToGrid w:val="0"/>
              <w:spacing w:line="360" w:lineRule="exact"/>
              <w:jc w:val="center"/>
              <w:rPr>
                <w:color w:val="000000"/>
                <w:sz w:val="21"/>
              </w:rPr>
            </w:pPr>
            <w:r>
              <w:rPr>
                <w:color w:val="000000"/>
                <w:sz w:val="21"/>
              </w:rPr>
              <w:t>＜500 t/a□</w:t>
            </w:r>
            <w:r>
              <w:rPr>
                <w:bCs/>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19" w:hRule="atLeast"/>
        </w:trPr>
        <w:tc>
          <w:tcPr>
            <w:tcW w:w="915" w:type="dxa"/>
            <w:vMerge w:val="continue"/>
            <w:vAlign w:val="center"/>
          </w:tcPr>
          <w:p>
            <w:pPr>
              <w:snapToGrid w:val="0"/>
              <w:spacing w:line="360" w:lineRule="exact"/>
              <w:jc w:val="center"/>
              <w:rPr>
                <w:color w:val="000000"/>
                <w:sz w:val="21"/>
              </w:rPr>
            </w:pPr>
          </w:p>
        </w:tc>
        <w:tc>
          <w:tcPr>
            <w:tcW w:w="1798" w:type="dxa"/>
            <w:vAlign w:val="center"/>
          </w:tcPr>
          <w:p>
            <w:pPr>
              <w:snapToGrid w:val="0"/>
              <w:spacing w:line="360" w:lineRule="exact"/>
              <w:jc w:val="center"/>
              <w:rPr>
                <w:color w:val="000000"/>
                <w:sz w:val="21"/>
              </w:rPr>
            </w:pPr>
            <w:r>
              <w:rPr>
                <w:color w:val="000000"/>
                <w:sz w:val="21"/>
              </w:rPr>
              <w:t>评价因子</w:t>
            </w:r>
          </w:p>
        </w:tc>
        <w:tc>
          <w:tcPr>
            <w:tcW w:w="3053" w:type="dxa"/>
            <w:gridSpan w:val="5"/>
            <w:vAlign w:val="center"/>
          </w:tcPr>
          <w:p>
            <w:pPr>
              <w:snapToGrid w:val="0"/>
              <w:spacing w:line="360" w:lineRule="exact"/>
              <w:jc w:val="center"/>
              <w:rPr>
                <w:color w:val="000000"/>
                <w:sz w:val="21"/>
              </w:rPr>
            </w:pPr>
            <w:r>
              <w:rPr>
                <w:color w:val="000000"/>
                <w:sz w:val="21"/>
              </w:rPr>
              <w:t>基本污染物 (</w:t>
            </w:r>
            <w:r>
              <w:rPr>
                <w:rFonts w:hint="eastAsia"/>
                <w:color w:val="000000"/>
                <w:sz w:val="21"/>
              </w:rPr>
              <w:t>PM</w:t>
            </w:r>
            <w:r>
              <w:rPr>
                <w:rFonts w:hint="eastAsia"/>
                <w:color w:val="000000"/>
                <w:sz w:val="21"/>
                <w:vertAlign w:val="subscript"/>
              </w:rPr>
              <w:t>2.5</w:t>
            </w:r>
            <w:r>
              <w:rPr>
                <w:rFonts w:hint="eastAsia"/>
                <w:color w:val="000000"/>
                <w:sz w:val="21"/>
              </w:rPr>
              <w:t>、</w:t>
            </w:r>
            <w:r>
              <w:rPr>
                <w:snapToGrid w:val="0"/>
                <w:sz w:val="21"/>
              </w:rPr>
              <w:t>PM</w:t>
            </w:r>
            <w:r>
              <w:rPr>
                <w:snapToGrid w:val="0"/>
                <w:sz w:val="21"/>
                <w:vertAlign w:val="subscript"/>
              </w:rPr>
              <w:t>10</w:t>
            </w:r>
            <w:r>
              <w:rPr>
                <w:snapToGrid w:val="0"/>
                <w:sz w:val="21"/>
              </w:rPr>
              <w:t>、</w:t>
            </w:r>
            <w:r>
              <w:rPr>
                <w:sz w:val="21"/>
              </w:rPr>
              <w:t>SO</w:t>
            </w:r>
            <w:r>
              <w:rPr>
                <w:sz w:val="21"/>
                <w:vertAlign w:val="subscript"/>
              </w:rPr>
              <w:t>2</w:t>
            </w:r>
            <w:r>
              <w:rPr>
                <w:snapToGrid w:val="0"/>
                <w:sz w:val="21"/>
              </w:rPr>
              <w:t>、</w:t>
            </w:r>
            <w:r>
              <w:rPr>
                <w:sz w:val="21"/>
              </w:rPr>
              <w:t>NO</w:t>
            </w:r>
            <w:r>
              <w:rPr>
                <w:rFonts w:hint="eastAsia"/>
                <w:sz w:val="21"/>
              </w:rPr>
              <w:t>x、CO、O</w:t>
            </w:r>
            <w:r>
              <w:rPr>
                <w:rFonts w:hint="eastAsia"/>
                <w:sz w:val="21"/>
                <w:vertAlign w:val="subscript"/>
              </w:rPr>
              <w:t>3</w:t>
            </w:r>
            <w:r>
              <w:rPr>
                <w:rFonts w:hint="eastAsia"/>
                <w:sz w:val="21"/>
              </w:rPr>
              <w:t>、TSP</w:t>
            </w:r>
            <w:r>
              <w:rPr>
                <w:color w:val="000000"/>
                <w:sz w:val="21"/>
              </w:rPr>
              <w:t>)</w:t>
            </w:r>
          </w:p>
        </w:tc>
        <w:tc>
          <w:tcPr>
            <w:tcW w:w="3292" w:type="dxa"/>
            <w:gridSpan w:val="5"/>
            <w:vAlign w:val="center"/>
          </w:tcPr>
          <w:p>
            <w:pPr>
              <w:snapToGrid w:val="0"/>
              <w:spacing w:line="360" w:lineRule="exact"/>
              <w:ind w:right="420"/>
              <w:rPr>
                <w:color w:val="000000"/>
                <w:sz w:val="21"/>
              </w:rPr>
            </w:pPr>
            <w:r>
              <w:rPr>
                <w:color w:val="000000"/>
                <w:sz w:val="21"/>
              </w:rPr>
              <w:t>包括二次PM</w:t>
            </w:r>
            <w:r>
              <w:rPr>
                <w:color w:val="000000"/>
                <w:sz w:val="21"/>
                <w:vertAlign w:val="subscript"/>
              </w:rPr>
              <w:t>2.5</w:t>
            </w:r>
            <w:r>
              <w:rPr>
                <w:color w:val="000000"/>
                <w:sz w:val="21"/>
              </w:rPr>
              <w:t>□</w:t>
            </w:r>
          </w:p>
          <w:p>
            <w:pPr>
              <w:snapToGrid w:val="0"/>
              <w:spacing w:line="360" w:lineRule="exact"/>
              <w:ind w:right="420"/>
              <w:rPr>
                <w:color w:val="000000"/>
                <w:sz w:val="21"/>
              </w:rPr>
            </w:pPr>
            <w:r>
              <w:rPr>
                <w:color w:val="000000"/>
                <w:sz w:val="21"/>
              </w:rPr>
              <w:t>不包括二次PM</w:t>
            </w:r>
            <w:r>
              <w:rPr>
                <w:color w:val="000000"/>
                <w:sz w:val="21"/>
                <w:vertAlign w:val="subscript"/>
              </w:rPr>
              <w:t>2.5</w:t>
            </w:r>
            <w:r>
              <w:rPr>
                <w:color w:val="000000"/>
                <w:sz w:val="21"/>
              </w:rPr>
              <w:t>□</w:t>
            </w:r>
            <w:r>
              <w:rPr>
                <w:bCs/>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Align w:val="center"/>
          </w:tcPr>
          <w:p>
            <w:pPr>
              <w:snapToGrid w:val="0"/>
              <w:spacing w:line="360" w:lineRule="exact"/>
              <w:jc w:val="center"/>
              <w:rPr>
                <w:color w:val="000000"/>
                <w:sz w:val="21"/>
              </w:rPr>
            </w:pPr>
            <w:r>
              <w:rPr>
                <w:color w:val="000000"/>
                <w:sz w:val="21"/>
              </w:rPr>
              <w:t>评价标准</w:t>
            </w:r>
          </w:p>
        </w:tc>
        <w:tc>
          <w:tcPr>
            <w:tcW w:w="1798" w:type="dxa"/>
            <w:vAlign w:val="center"/>
          </w:tcPr>
          <w:p>
            <w:pPr>
              <w:snapToGrid w:val="0"/>
              <w:spacing w:line="360" w:lineRule="exact"/>
              <w:jc w:val="center"/>
              <w:rPr>
                <w:color w:val="000000"/>
                <w:sz w:val="21"/>
              </w:rPr>
            </w:pPr>
            <w:r>
              <w:rPr>
                <w:color w:val="000000"/>
                <w:sz w:val="21"/>
              </w:rPr>
              <w:t>评价标准</w:t>
            </w:r>
          </w:p>
        </w:tc>
        <w:tc>
          <w:tcPr>
            <w:tcW w:w="2205" w:type="dxa"/>
            <w:gridSpan w:val="3"/>
            <w:vAlign w:val="center"/>
          </w:tcPr>
          <w:p>
            <w:pPr>
              <w:snapToGrid w:val="0"/>
              <w:spacing w:line="360" w:lineRule="exact"/>
              <w:jc w:val="center"/>
              <w:rPr>
                <w:color w:val="000000"/>
                <w:sz w:val="21"/>
              </w:rPr>
            </w:pPr>
            <w:r>
              <w:rPr>
                <w:color w:val="000000"/>
                <w:sz w:val="21"/>
              </w:rPr>
              <w:t>国家标准□</w:t>
            </w:r>
            <w:r>
              <w:rPr>
                <w:bCs/>
                <w:sz w:val="21"/>
              </w:rPr>
              <w:t>√</w:t>
            </w:r>
          </w:p>
        </w:tc>
        <w:tc>
          <w:tcPr>
            <w:tcW w:w="848" w:type="dxa"/>
            <w:gridSpan w:val="2"/>
            <w:vAlign w:val="center"/>
          </w:tcPr>
          <w:p>
            <w:pPr>
              <w:snapToGrid w:val="0"/>
              <w:spacing w:line="360" w:lineRule="exact"/>
              <w:jc w:val="center"/>
              <w:rPr>
                <w:color w:val="000000"/>
                <w:sz w:val="21"/>
              </w:rPr>
            </w:pPr>
            <w:r>
              <w:rPr>
                <w:color w:val="000000"/>
                <w:sz w:val="21"/>
              </w:rPr>
              <w:t>地方标准 □</w:t>
            </w:r>
          </w:p>
        </w:tc>
        <w:tc>
          <w:tcPr>
            <w:tcW w:w="2037" w:type="dxa"/>
            <w:gridSpan w:val="4"/>
            <w:vAlign w:val="center"/>
          </w:tcPr>
          <w:p>
            <w:pPr>
              <w:snapToGrid w:val="0"/>
              <w:spacing w:line="360" w:lineRule="exact"/>
              <w:jc w:val="center"/>
              <w:rPr>
                <w:color w:val="000000"/>
                <w:sz w:val="21"/>
              </w:rPr>
            </w:pPr>
            <w:r>
              <w:rPr>
                <w:color w:val="000000"/>
                <w:sz w:val="21"/>
              </w:rPr>
              <w:t>附录D □</w:t>
            </w:r>
          </w:p>
        </w:tc>
        <w:tc>
          <w:tcPr>
            <w:tcW w:w="1255" w:type="dxa"/>
            <w:vAlign w:val="center"/>
          </w:tcPr>
          <w:p>
            <w:pPr>
              <w:snapToGrid w:val="0"/>
              <w:spacing w:line="360" w:lineRule="exact"/>
              <w:jc w:val="center"/>
              <w:rPr>
                <w:color w:val="000000"/>
                <w:sz w:val="21"/>
              </w:rPr>
            </w:pPr>
            <w:r>
              <w:rPr>
                <w:color w:val="000000"/>
                <w:sz w:val="21"/>
              </w:rPr>
              <w:t>其他标准□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Merge w:val="restart"/>
            <w:vAlign w:val="center"/>
          </w:tcPr>
          <w:p>
            <w:pPr>
              <w:snapToGrid w:val="0"/>
              <w:spacing w:line="360" w:lineRule="exact"/>
              <w:jc w:val="center"/>
              <w:rPr>
                <w:color w:val="000000"/>
                <w:sz w:val="21"/>
              </w:rPr>
            </w:pPr>
            <w:r>
              <w:rPr>
                <w:color w:val="000000"/>
                <w:sz w:val="21"/>
              </w:rPr>
              <w:t>现状评价</w:t>
            </w:r>
          </w:p>
        </w:tc>
        <w:tc>
          <w:tcPr>
            <w:tcW w:w="1798" w:type="dxa"/>
            <w:vAlign w:val="center"/>
          </w:tcPr>
          <w:p>
            <w:pPr>
              <w:snapToGrid w:val="0"/>
              <w:spacing w:line="360" w:lineRule="exact"/>
              <w:jc w:val="center"/>
              <w:rPr>
                <w:color w:val="000000"/>
                <w:sz w:val="21"/>
              </w:rPr>
            </w:pPr>
            <w:r>
              <w:rPr>
                <w:color w:val="000000"/>
                <w:sz w:val="21"/>
              </w:rPr>
              <w:t>环境功能区</w:t>
            </w:r>
          </w:p>
        </w:tc>
        <w:tc>
          <w:tcPr>
            <w:tcW w:w="2205" w:type="dxa"/>
            <w:gridSpan w:val="3"/>
            <w:vAlign w:val="center"/>
          </w:tcPr>
          <w:p>
            <w:pPr>
              <w:snapToGrid w:val="0"/>
              <w:spacing w:line="360" w:lineRule="exact"/>
              <w:jc w:val="center"/>
              <w:rPr>
                <w:color w:val="000000"/>
                <w:sz w:val="21"/>
              </w:rPr>
            </w:pPr>
            <w:r>
              <w:rPr>
                <w:color w:val="000000"/>
                <w:sz w:val="21"/>
              </w:rPr>
              <w:t>一类区□</w:t>
            </w:r>
          </w:p>
        </w:tc>
        <w:tc>
          <w:tcPr>
            <w:tcW w:w="2453" w:type="dxa"/>
            <w:gridSpan w:val="4"/>
            <w:vAlign w:val="center"/>
          </w:tcPr>
          <w:p>
            <w:pPr>
              <w:snapToGrid w:val="0"/>
              <w:spacing w:line="360" w:lineRule="exact"/>
              <w:jc w:val="center"/>
              <w:rPr>
                <w:color w:val="000000"/>
                <w:sz w:val="21"/>
              </w:rPr>
            </w:pPr>
            <w:r>
              <w:rPr>
                <w:color w:val="000000"/>
                <w:sz w:val="21"/>
              </w:rPr>
              <w:t>二类区□</w:t>
            </w:r>
            <w:r>
              <w:rPr>
                <w:bCs/>
                <w:sz w:val="21"/>
              </w:rPr>
              <w:t>√</w:t>
            </w:r>
          </w:p>
        </w:tc>
        <w:tc>
          <w:tcPr>
            <w:tcW w:w="1687" w:type="dxa"/>
            <w:gridSpan w:val="3"/>
            <w:vAlign w:val="center"/>
          </w:tcPr>
          <w:p>
            <w:pPr>
              <w:snapToGrid w:val="0"/>
              <w:spacing w:line="360" w:lineRule="exact"/>
              <w:jc w:val="center"/>
              <w:rPr>
                <w:color w:val="000000"/>
                <w:sz w:val="21"/>
              </w:rPr>
            </w:pPr>
            <w:r>
              <w:rPr>
                <w:color w:val="000000"/>
                <w:sz w:val="21"/>
              </w:rPr>
              <w:t>一类区和二类区□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Merge w:val="continue"/>
            <w:vAlign w:val="center"/>
          </w:tcPr>
          <w:p>
            <w:pPr>
              <w:snapToGrid w:val="0"/>
              <w:spacing w:line="360" w:lineRule="exact"/>
              <w:jc w:val="center"/>
              <w:rPr>
                <w:color w:val="000000"/>
                <w:sz w:val="21"/>
              </w:rPr>
            </w:pPr>
          </w:p>
        </w:tc>
        <w:tc>
          <w:tcPr>
            <w:tcW w:w="1798" w:type="dxa"/>
            <w:vAlign w:val="center"/>
          </w:tcPr>
          <w:p>
            <w:pPr>
              <w:snapToGrid w:val="0"/>
              <w:spacing w:line="360" w:lineRule="exact"/>
              <w:jc w:val="center"/>
              <w:rPr>
                <w:color w:val="000000"/>
                <w:sz w:val="21"/>
              </w:rPr>
            </w:pPr>
            <w:r>
              <w:rPr>
                <w:color w:val="000000"/>
                <w:sz w:val="21"/>
              </w:rPr>
              <w:t>评价基准年</w:t>
            </w:r>
          </w:p>
        </w:tc>
        <w:tc>
          <w:tcPr>
            <w:tcW w:w="6345" w:type="dxa"/>
            <w:gridSpan w:val="10"/>
            <w:vAlign w:val="center"/>
          </w:tcPr>
          <w:p>
            <w:pPr>
              <w:snapToGrid w:val="0"/>
              <w:spacing w:line="360" w:lineRule="exact"/>
              <w:jc w:val="center"/>
              <w:rPr>
                <w:color w:val="000000"/>
                <w:sz w:val="21"/>
              </w:rPr>
            </w:pPr>
            <w:r>
              <w:rPr>
                <w:color w:val="000000"/>
                <w:sz w:val="21"/>
              </w:rPr>
              <w:t>（2018）年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Merge w:val="continue"/>
            <w:vAlign w:val="center"/>
          </w:tcPr>
          <w:p>
            <w:pPr>
              <w:snapToGrid w:val="0"/>
              <w:spacing w:line="360" w:lineRule="exact"/>
              <w:jc w:val="center"/>
              <w:rPr>
                <w:color w:val="000000"/>
                <w:sz w:val="21"/>
              </w:rPr>
            </w:pPr>
          </w:p>
        </w:tc>
        <w:tc>
          <w:tcPr>
            <w:tcW w:w="1798" w:type="dxa"/>
            <w:vAlign w:val="center"/>
          </w:tcPr>
          <w:p>
            <w:pPr>
              <w:snapToGrid w:val="0"/>
              <w:spacing w:line="360" w:lineRule="exact"/>
              <w:jc w:val="center"/>
              <w:rPr>
                <w:color w:val="000000"/>
                <w:sz w:val="21"/>
              </w:rPr>
            </w:pPr>
            <w:r>
              <w:rPr>
                <w:color w:val="000000"/>
                <w:sz w:val="21"/>
              </w:rPr>
              <w:t>环境空气质量现状调查数据来源</w:t>
            </w:r>
          </w:p>
        </w:tc>
        <w:tc>
          <w:tcPr>
            <w:tcW w:w="2205" w:type="dxa"/>
            <w:gridSpan w:val="3"/>
            <w:vAlign w:val="center"/>
          </w:tcPr>
          <w:p>
            <w:pPr>
              <w:snapToGrid w:val="0"/>
              <w:spacing w:line="360" w:lineRule="exact"/>
              <w:jc w:val="center"/>
              <w:rPr>
                <w:color w:val="000000"/>
                <w:sz w:val="21"/>
              </w:rPr>
            </w:pPr>
            <w:r>
              <w:rPr>
                <w:color w:val="000000"/>
                <w:sz w:val="21"/>
              </w:rPr>
              <w:t>长期例行监测数据□</w:t>
            </w:r>
            <w:r>
              <w:rPr>
                <w:bCs/>
                <w:sz w:val="21"/>
              </w:rPr>
              <w:t>√</w:t>
            </w:r>
          </w:p>
        </w:tc>
        <w:tc>
          <w:tcPr>
            <w:tcW w:w="2363" w:type="dxa"/>
            <w:gridSpan w:val="3"/>
            <w:vAlign w:val="center"/>
          </w:tcPr>
          <w:p>
            <w:pPr>
              <w:snapToGrid w:val="0"/>
              <w:spacing w:line="360" w:lineRule="exact"/>
              <w:jc w:val="center"/>
              <w:rPr>
                <w:color w:val="000000"/>
                <w:sz w:val="21"/>
              </w:rPr>
            </w:pPr>
            <w:r>
              <w:rPr>
                <w:color w:val="000000"/>
                <w:sz w:val="21"/>
              </w:rPr>
              <w:t>主管部门发布的数据□</w:t>
            </w:r>
          </w:p>
        </w:tc>
        <w:tc>
          <w:tcPr>
            <w:tcW w:w="1777" w:type="dxa"/>
            <w:gridSpan w:val="4"/>
            <w:vAlign w:val="center"/>
          </w:tcPr>
          <w:p>
            <w:pPr>
              <w:snapToGrid w:val="0"/>
              <w:spacing w:line="360" w:lineRule="exact"/>
              <w:jc w:val="center"/>
              <w:rPr>
                <w:color w:val="000000"/>
                <w:sz w:val="21"/>
              </w:rPr>
            </w:pPr>
            <w:r>
              <w:rPr>
                <w:color w:val="000000"/>
                <w:sz w:val="21"/>
              </w:rPr>
              <w:t>现状补充监测□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Merge w:val="continue"/>
            <w:vAlign w:val="center"/>
          </w:tcPr>
          <w:p>
            <w:pPr>
              <w:snapToGrid w:val="0"/>
              <w:spacing w:line="360" w:lineRule="exact"/>
              <w:jc w:val="center"/>
              <w:rPr>
                <w:color w:val="000000"/>
                <w:sz w:val="21"/>
              </w:rPr>
            </w:pPr>
          </w:p>
        </w:tc>
        <w:tc>
          <w:tcPr>
            <w:tcW w:w="1798" w:type="dxa"/>
            <w:vAlign w:val="center"/>
          </w:tcPr>
          <w:p>
            <w:pPr>
              <w:snapToGrid w:val="0"/>
              <w:spacing w:line="360" w:lineRule="exact"/>
              <w:jc w:val="center"/>
              <w:rPr>
                <w:color w:val="000000"/>
                <w:sz w:val="21"/>
              </w:rPr>
            </w:pPr>
            <w:r>
              <w:rPr>
                <w:color w:val="000000"/>
                <w:sz w:val="21"/>
              </w:rPr>
              <w:t>现状评价</w:t>
            </w:r>
          </w:p>
        </w:tc>
        <w:tc>
          <w:tcPr>
            <w:tcW w:w="3053" w:type="dxa"/>
            <w:gridSpan w:val="5"/>
            <w:vAlign w:val="center"/>
          </w:tcPr>
          <w:p>
            <w:pPr>
              <w:snapToGrid w:val="0"/>
              <w:spacing w:line="360" w:lineRule="exact"/>
              <w:jc w:val="center"/>
              <w:rPr>
                <w:color w:val="000000"/>
                <w:sz w:val="21"/>
              </w:rPr>
            </w:pPr>
            <w:r>
              <w:rPr>
                <w:color w:val="000000"/>
                <w:sz w:val="21"/>
              </w:rPr>
              <w:t>达标区□</w:t>
            </w:r>
          </w:p>
        </w:tc>
        <w:tc>
          <w:tcPr>
            <w:tcW w:w="3292" w:type="dxa"/>
            <w:gridSpan w:val="5"/>
            <w:vAlign w:val="center"/>
          </w:tcPr>
          <w:p>
            <w:pPr>
              <w:snapToGrid w:val="0"/>
              <w:spacing w:line="360" w:lineRule="exact"/>
              <w:jc w:val="center"/>
              <w:rPr>
                <w:color w:val="000000"/>
                <w:sz w:val="21"/>
              </w:rPr>
            </w:pPr>
            <w:r>
              <w:rPr>
                <w:color w:val="000000"/>
                <w:sz w:val="21"/>
              </w:rPr>
              <w:t>不达标区□</w:t>
            </w:r>
            <w:r>
              <w:rPr>
                <w:bCs/>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Align w:val="center"/>
          </w:tcPr>
          <w:p>
            <w:pPr>
              <w:snapToGrid w:val="0"/>
              <w:spacing w:line="360" w:lineRule="exact"/>
              <w:jc w:val="center"/>
              <w:rPr>
                <w:color w:val="000000"/>
                <w:sz w:val="21"/>
              </w:rPr>
            </w:pPr>
            <w:r>
              <w:rPr>
                <w:color w:val="000000"/>
                <w:sz w:val="21"/>
              </w:rPr>
              <w:t>污染源</w:t>
            </w:r>
            <w:r>
              <w:rPr>
                <w:color w:val="000000"/>
                <w:sz w:val="21"/>
              </w:rPr>
              <w:br w:type="textWrapping"/>
            </w:r>
            <w:r>
              <w:rPr>
                <w:color w:val="000000"/>
                <w:sz w:val="21"/>
              </w:rPr>
              <w:t>调查</w:t>
            </w:r>
          </w:p>
        </w:tc>
        <w:tc>
          <w:tcPr>
            <w:tcW w:w="1798" w:type="dxa"/>
            <w:vAlign w:val="center"/>
          </w:tcPr>
          <w:p>
            <w:pPr>
              <w:snapToGrid w:val="0"/>
              <w:spacing w:line="360" w:lineRule="exact"/>
              <w:jc w:val="center"/>
              <w:rPr>
                <w:color w:val="000000"/>
                <w:sz w:val="21"/>
              </w:rPr>
            </w:pPr>
            <w:r>
              <w:rPr>
                <w:color w:val="000000"/>
                <w:sz w:val="21"/>
              </w:rPr>
              <w:t>调查内容</w:t>
            </w:r>
          </w:p>
        </w:tc>
        <w:tc>
          <w:tcPr>
            <w:tcW w:w="2205" w:type="dxa"/>
            <w:gridSpan w:val="3"/>
            <w:vAlign w:val="center"/>
          </w:tcPr>
          <w:p>
            <w:pPr>
              <w:snapToGrid w:val="0"/>
              <w:spacing w:line="360" w:lineRule="exact"/>
              <w:jc w:val="right"/>
              <w:rPr>
                <w:color w:val="000000"/>
                <w:sz w:val="21"/>
              </w:rPr>
            </w:pPr>
            <w:r>
              <w:rPr>
                <w:color w:val="000000"/>
                <w:sz w:val="21"/>
              </w:rPr>
              <w:t>本项目正常排放源 □</w:t>
            </w:r>
            <w:r>
              <w:rPr>
                <w:bCs/>
                <w:sz w:val="21"/>
              </w:rPr>
              <w:t>√</w:t>
            </w:r>
          </w:p>
          <w:p>
            <w:pPr>
              <w:snapToGrid w:val="0"/>
              <w:spacing w:line="360" w:lineRule="exact"/>
              <w:jc w:val="right"/>
              <w:rPr>
                <w:color w:val="000000"/>
                <w:sz w:val="21"/>
              </w:rPr>
            </w:pPr>
            <w:r>
              <w:rPr>
                <w:color w:val="000000"/>
                <w:sz w:val="21"/>
              </w:rPr>
              <w:t>本项目非正常排放源 □</w:t>
            </w:r>
          </w:p>
          <w:p>
            <w:pPr>
              <w:snapToGrid w:val="0"/>
              <w:spacing w:line="360" w:lineRule="exact"/>
              <w:jc w:val="right"/>
              <w:rPr>
                <w:color w:val="000000"/>
                <w:sz w:val="21"/>
              </w:rPr>
            </w:pPr>
            <w:r>
              <w:rPr>
                <w:color w:val="000000"/>
                <w:sz w:val="21"/>
              </w:rPr>
              <w:t>现有污染源 □</w:t>
            </w:r>
          </w:p>
        </w:tc>
        <w:tc>
          <w:tcPr>
            <w:tcW w:w="848" w:type="dxa"/>
            <w:gridSpan w:val="2"/>
            <w:vAlign w:val="center"/>
          </w:tcPr>
          <w:p>
            <w:pPr>
              <w:snapToGrid w:val="0"/>
              <w:spacing w:line="360" w:lineRule="exact"/>
              <w:jc w:val="center"/>
              <w:rPr>
                <w:color w:val="000000"/>
                <w:sz w:val="21"/>
              </w:rPr>
            </w:pPr>
            <w:r>
              <w:rPr>
                <w:color w:val="000000"/>
                <w:sz w:val="21"/>
              </w:rPr>
              <w:t>拟替代的污染源□</w:t>
            </w:r>
          </w:p>
        </w:tc>
        <w:tc>
          <w:tcPr>
            <w:tcW w:w="2037" w:type="dxa"/>
            <w:gridSpan w:val="4"/>
            <w:vAlign w:val="center"/>
          </w:tcPr>
          <w:p>
            <w:pPr>
              <w:snapToGrid w:val="0"/>
              <w:spacing w:line="360" w:lineRule="exact"/>
              <w:jc w:val="center"/>
              <w:rPr>
                <w:color w:val="000000"/>
                <w:sz w:val="21"/>
              </w:rPr>
            </w:pPr>
            <w:r>
              <w:rPr>
                <w:color w:val="000000"/>
                <w:sz w:val="21"/>
              </w:rPr>
              <w:t>其他在建、拟建项目污染源</w:t>
            </w:r>
            <w:r>
              <w:rPr>
                <w:color w:val="000000"/>
                <w:sz w:val="21"/>
              </w:rPr>
              <w:sym w:font="Wingdings 2" w:char="00A3"/>
            </w:r>
          </w:p>
        </w:tc>
        <w:tc>
          <w:tcPr>
            <w:tcW w:w="1255" w:type="dxa"/>
            <w:vAlign w:val="center"/>
          </w:tcPr>
          <w:p>
            <w:pPr>
              <w:snapToGrid w:val="0"/>
              <w:spacing w:line="360" w:lineRule="exact"/>
              <w:jc w:val="center"/>
              <w:rPr>
                <w:color w:val="000000"/>
                <w:sz w:val="21"/>
              </w:rPr>
            </w:pPr>
            <w:r>
              <w:rPr>
                <w:color w:val="000000"/>
                <w:sz w:val="21"/>
              </w:rPr>
              <w:t>区域污染源□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Merge w:val="restart"/>
            <w:vAlign w:val="center"/>
          </w:tcPr>
          <w:p>
            <w:pPr>
              <w:snapToGrid w:val="0"/>
              <w:spacing w:line="360" w:lineRule="exact"/>
              <w:jc w:val="center"/>
              <w:rPr>
                <w:color w:val="000000"/>
                <w:sz w:val="21"/>
              </w:rPr>
            </w:pPr>
            <w:r>
              <w:rPr>
                <w:color w:val="000000"/>
                <w:sz w:val="21"/>
              </w:rPr>
              <w:t>环境监测</w:t>
            </w:r>
            <w:r>
              <w:rPr>
                <w:color w:val="000000"/>
                <w:sz w:val="21"/>
              </w:rPr>
              <w:br w:type="textWrapping"/>
            </w:r>
            <w:r>
              <w:rPr>
                <w:color w:val="000000"/>
                <w:sz w:val="21"/>
              </w:rPr>
              <w:t>计划</w:t>
            </w:r>
          </w:p>
        </w:tc>
        <w:tc>
          <w:tcPr>
            <w:tcW w:w="1798" w:type="dxa"/>
            <w:vAlign w:val="center"/>
          </w:tcPr>
          <w:p>
            <w:pPr>
              <w:snapToGrid w:val="0"/>
              <w:spacing w:line="360" w:lineRule="exact"/>
              <w:jc w:val="center"/>
              <w:rPr>
                <w:color w:val="000000"/>
                <w:sz w:val="21"/>
              </w:rPr>
            </w:pPr>
            <w:r>
              <w:rPr>
                <w:color w:val="000000"/>
                <w:sz w:val="21"/>
              </w:rPr>
              <w:t>污染源监测</w:t>
            </w:r>
          </w:p>
        </w:tc>
        <w:tc>
          <w:tcPr>
            <w:tcW w:w="2516" w:type="dxa"/>
            <w:gridSpan w:val="4"/>
            <w:vAlign w:val="center"/>
          </w:tcPr>
          <w:p>
            <w:pPr>
              <w:snapToGrid w:val="0"/>
              <w:spacing w:line="360" w:lineRule="exact"/>
              <w:jc w:val="center"/>
              <w:rPr>
                <w:color w:val="000000"/>
                <w:sz w:val="21"/>
              </w:rPr>
            </w:pPr>
            <w:r>
              <w:rPr>
                <w:color w:val="000000"/>
                <w:sz w:val="21"/>
              </w:rPr>
              <w:t>监测因子：（</w:t>
            </w:r>
            <w:r>
              <w:rPr>
                <w:rFonts w:hint="eastAsia"/>
                <w:color w:val="000000"/>
                <w:sz w:val="21"/>
              </w:rPr>
              <w:t>TSP</w:t>
            </w:r>
            <w:r>
              <w:rPr>
                <w:color w:val="000000"/>
                <w:sz w:val="21"/>
              </w:rPr>
              <w:t>）</w:t>
            </w:r>
          </w:p>
        </w:tc>
        <w:tc>
          <w:tcPr>
            <w:tcW w:w="2574" w:type="dxa"/>
            <w:gridSpan w:val="5"/>
            <w:vAlign w:val="center"/>
          </w:tcPr>
          <w:p>
            <w:pPr>
              <w:snapToGrid w:val="0"/>
              <w:spacing w:line="360" w:lineRule="exact"/>
              <w:jc w:val="center"/>
              <w:rPr>
                <w:color w:val="000000"/>
                <w:sz w:val="21"/>
              </w:rPr>
            </w:pPr>
            <w:r>
              <w:rPr>
                <w:color w:val="000000"/>
                <w:sz w:val="21"/>
              </w:rPr>
              <w:t xml:space="preserve">有组织废气监测 □  </w:t>
            </w:r>
            <w:r>
              <w:rPr>
                <w:color w:val="000000"/>
                <w:sz w:val="21"/>
              </w:rPr>
              <w:br w:type="textWrapping"/>
            </w:r>
            <w:r>
              <w:rPr>
                <w:sz w:val="21"/>
              </w:rPr>
              <w:t xml:space="preserve">无组织废气监测 □ </w:t>
            </w:r>
            <w:r>
              <w:rPr>
                <w:bCs/>
                <w:sz w:val="21"/>
              </w:rPr>
              <w:t>√</w:t>
            </w:r>
            <w:r>
              <w:rPr>
                <w:color w:val="000000"/>
                <w:sz w:val="21"/>
              </w:rPr>
              <w:t xml:space="preserve"> </w:t>
            </w:r>
          </w:p>
        </w:tc>
        <w:tc>
          <w:tcPr>
            <w:tcW w:w="1255" w:type="dxa"/>
            <w:vAlign w:val="center"/>
          </w:tcPr>
          <w:p>
            <w:pPr>
              <w:snapToGrid w:val="0"/>
              <w:spacing w:line="360" w:lineRule="exact"/>
              <w:jc w:val="center"/>
              <w:rPr>
                <w:color w:val="000000"/>
                <w:sz w:val="21"/>
              </w:rPr>
            </w:pPr>
            <w:r>
              <w:rPr>
                <w:color w:val="000000"/>
                <w:sz w:val="21"/>
              </w:rPr>
              <w:t>无监测□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Merge w:val="continue"/>
            <w:vAlign w:val="center"/>
          </w:tcPr>
          <w:p>
            <w:pPr>
              <w:snapToGrid w:val="0"/>
              <w:spacing w:line="360" w:lineRule="exact"/>
              <w:jc w:val="center"/>
              <w:rPr>
                <w:color w:val="000000"/>
                <w:sz w:val="21"/>
              </w:rPr>
            </w:pPr>
          </w:p>
        </w:tc>
        <w:tc>
          <w:tcPr>
            <w:tcW w:w="1798" w:type="dxa"/>
            <w:vAlign w:val="center"/>
          </w:tcPr>
          <w:p>
            <w:pPr>
              <w:snapToGrid w:val="0"/>
              <w:spacing w:line="360" w:lineRule="exact"/>
              <w:jc w:val="center"/>
              <w:rPr>
                <w:color w:val="000000"/>
                <w:sz w:val="21"/>
              </w:rPr>
            </w:pPr>
            <w:r>
              <w:rPr>
                <w:color w:val="000000"/>
                <w:sz w:val="21"/>
              </w:rPr>
              <w:t>环境质量监测</w:t>
            </w:r>
          </w:p>
        </w:tc>
        <w:tc>
          <w:tcPr>
            <w:tcW w:w="2516" w:type="dxa"/>
            <w:gridSpan w:val="4"/>
            <w:vAlign w:val="center"/>
          </w:tcPr>
          <w:p>
            <w:pPr>
              <w:snapToGrid w:val="0"/>
              <w:spacing w:line="360" w:lineRule="exact"/>
              <w:jc w:val="center"/>
              <w:rPr>
                <w:color w:val="000000"/>
                <w:sz w:val="21"/>
              </w:rPr>
            </w:pPr>
            <w:r>
              <w:rPr>
                <w:color w:val="000000"/>
                <w:sz w:val="21"/>
              </w:rPr>
              <w:t>监测因子：（  ）</w:t>
            </w:r>
          </w:p>
        </w:tc>
        <w:tc>
          <w:tcPr>
            <w:tcW w:w="2574" w:type="dxa"/>
            <w:gridSpan w:val="5"/>
            <w:vAlign w:val="center"/>
          </w:tcPr>
          <w:p>
            <w:pPr>
              <w:snapToGrid w:val="0"/>
              <w:spacing w:line="360" w:lineRule="exact"/>
              <w:jc w:val="center"/>
              <w:rPr>
                <w:color w:val="000000"/>
                <w:sz w:val="21"/>
              </w:rPr>
            </w:pPr>
            <w:r>
              <w:rPr>
                <w:color w:val="000000"/>
                <w:sz w:val="21"/>
              </w:rPr>
              <w:t>监测点位数（   ）</w:t>
            </w:r>
          </w:p>
        </w:tc>
        <w:tc>
          <w:tcPr>
            <w:tcW w:w="1255" w:type="dxa"/>
            <w:vAlign w:val="center"/>
          </w:tcPr>
          <w:p>
            <w:pPr>
              <w:snapToGrid w:val="0"/>
              <w:spacing w:line="360" w:lineRule="exact"/>
              <w:jc w:val="center"/>
              <w:rPr>
                <w:color w:val="000000"/>
                <w:sz w:val="21"/>
              </w:rPr>
            </w:pPr>
            <w:r>
              <w:rPr>
                <w:color w:val="000000"/>
                <w:sz w:val="21"/>
              </w:rPr>
              <w:t>无监测□</w:t>
            </w:r>
            <w:r>
              <w:rPr>
                <w:bCs/>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915" w:type="dxa"/>
            <w:vMerge w:val="restart"/>
            <w:vAlign w:val="center"/>
          </w:tcPr>
          <w:p>
            <w:pPr>
              <w:snapToGrid w:val="0"/>
              <w:spacing w:line="360" w:lineRule="exact"/>
              <w:jc w:val="center"/>
              <w:rPr>
                <w:color w:val="000000"/>
                <w:sz w:val="21"/>
              </w:rPr>
            </w:pPr>
            <w:r>
              <w:rPr>
                <w:color w:val="000000"/>
                <w:sz w:val="21"/>
              </w:rPr>
              <w:t>评价结论</w:t>
            </w:r>
          </w:p>
        </w:tc>
        <w:tc>
          <w:tcPr>
            <w:tcW w:w="1798" w:type="dxa"/>
            <w:vAlign w:val="center"/>
          </w:tcPr>
          <w:p>
            <w:pPr>
              <w:snapToGrid w:val="0"/>
              <w:spacing w:line="360" w:lineRule="exact"/>
              <w:jc w:val="center"/>
              <w:rPr>
                <w:color w:val="000000"/>
                <w:sz w:val="21"/>
              </w:rPr>
            </w:pPr>
            <w:r>
              <w:rPr>
                <w:color w:val="000000"/>
                <w:sz w:val="21"/>
              </w:rPr>
              <w:t>环境影响</w:t>
            </w:r>
          </w:p>
        </w:tc>
        <w:tc>
          <w:tcPr>
            <w:tcW w:w="6345" w:type="dxa"/>
            <w:gridSpan w:val="10"/>
            <w:vAlign w:val="center"/>
          </w:tcPr>
          <w:p>
            <w:pPr>
              <w:snapToGrid w:val="0"/>
              <w:spacing w:line="360" w:lineRule="exact"/>
              <w:jc w:val="center"/>
              <w:rPr>
                <w:color w:val="000000"/>
                <w:sz w:val="21"/>
              </w:rPr>
            </w:pPr>
            <w:r>
              <w:rPr>
                <w:color w:val="000000"/>
                <w:sz w:val="21"/>
              </w:rPr>
              <w:t>可以接受 □</w:t>
            </w:r>
            <w:r>
              <w:rPr>
                <w:bCs/>
                <w:sz w:val="21"/>
              </w:rPr>
              <w:t>√</w:t>
            </w:r>
            <w:r>
              <w:rPr>
                <w:color w:val="000000"/>
                <w:sz w:val="21"/>
              </w:rPr>
              <w:t xml:space="preserve">       不可以接受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3" w:hRule="atLeast"/>
        </w:trPr>
        <w:tc>
          <w:tcPr>
            <w:tcW w:w="915" w:type="dxa"/>
            <w:vMerge w:val="continue"/>
            <w:vAlign w:val="center"/>
          </w:tcPr>
          <w:p>
            <w:pPr>
              <w:snapToGrid w:val="0"/>
              <w:spacing w:line="360" w:lineRule="exact"/>
              <w:jc w:val="center"/>
              <w:rPr>
                <w:color w:val="000000"/>
                <w:sz w:val="21"/>
              </w:rPr>
            </w:pPr>
          </w:p>
        </w:tc>
        <w:tc>
          <w:tcPr>
            <w:tcW w:w="1798" w:type="dxa"/>
            <w:vAlign w:val="center"/>
          </w:tcPr>
          <w:p>
            <w:pPr>
              <w:snapToGrid w:val="0"/>
              <w:spacing w:line="360" w:lineRule="exact"/>
              <w:jc w:val="center"/>
              <w:rPr>
                <w:color w:val="000000"/>
                <w:sz w:val="21"/>
              </w:rPr>
            </w:pPr>
            <w:r>
              <w:rPr>
                <w:color w:val="000000"/>
                <w:sz w:val="21"/>
              </w:rPr>
              <w:t>大气环境防护距离</w:t>
            </w:r>
          </w:p>
        </w:tc>
        <w:tc>
          <w:tcPr>
            <w:tcW w:w="6345" w:type="dxa"/>
            <w:gridSpan w:val="10"/>
            <w:vAlign w:val="center"/>
          </w:tcPr>
          <w:p>
            <w:pPr>
              <w:snapToGrid w:val="0"/>
              <w:spacing w:line="360" w:lineRule="exact"/>
              <w:jc w:val="center"/>
              <w:rPr>
                <w:color w:val="000000"/>
                <w:sz w:val="21"/>
              </w:rPr>
            </w:pPr>
            <w:r>
              <w:rPr>
                <w:color w:val="000000"/>
                <w:sz w:val="21"/>
              </w:rPr>
              <w:t>距（  /   ）厂界最远（   /  ）m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8" w:hRule="atLeast"/>
        </w:trPr>
        <w:tc>
          <w:tcPr>
            <w:tcW w:w="915" w:type="dxa"/>
            <w:vMerge w:val="continue"/>
            <w:vAlign w:val="center"/>
          </w:tcPr>
          <w:p>
            <w:pPr>
              <w:snapToGrid w:val="0"/>
              <w:spacing w:line="360" w:lineRule="exact"/>
              <w:jc w:val="center"/>
              <w:rPr>
                <w:color w:val="000000"/>
                <w:sz w:val="21"/>
              </w:rPr>
            </w:pPr>
          </w:p>
        </w:tc>
        <w:tc>
          <w:tcPr>
            <w:tcW w:w="1798" w:type="dxa"/>
            <w:vAlign w:val="center"/>
          </w:tcPr>
          <w:p>
            <w:pPr>
              <w:snapToGrid w:val="0"/>
              <w:spacing w:line="360" w:lineRule="exact"/>
              <w:jc w:val="center"/>
              <w:rPr>
                <w:color w:val="000000"/>
                <w:sz w:val="21"/>
              </w:rPr>
            </w:pPr>
            <w:r>
              <w:rPr>
                <w:color w:val="000000"/>
                <w:sz w:val="21"/>
              </w:rPr>
              <w:t>污染</w:t>
            </w:r>
            <w:r>
              <w:rPr>
                <w:rFonts w:hint="eastAsia"/>
                <w:color w:val="000000"/>
                <w:sz w:val="21"/>
              </w:rPr>
              <w:t>物</w:t>
            </w:r>
            <w:r>
              <w:rPr>
                <w:color w:val="000000"/>
                <w:sz w:val="21"/>
              </w:rPr>
              <w:t>年排放量</w:t>
            </w:r>
          </w:p>
        </w:tc>
        <w:tc>
          <w:tcPr>
            <w:tcW w:w="1420" w:type="dxa"/>
            <w:gridSpan w:val="2"/>
            <w:vAlign w:val="center"/>
          </w:tcPr>
          <w:p>
            <w:pPr>
              <w:snapToGrid w:val="0"/>
              <w:spacing w:line="360" w:lineRule="exact"/>
              <w:jc w:val="center"/>
              <w:rPr>
                <w:color w:val="000000"/>
                <w:sz w:val="21"/>
              </w:rPr>
            </w:pPr>
            <w:r>
              <w:rPr>
                <w:color w:val="000000"/>
                <w:sz w:val="21"/>
              </w:rPr>
              <w:t>SO</w:t>
            </w:r>
            <w:r>
              <w:rPr>
                <w:color w:val="000000"/>
                <w:sz w:val="21"/>
                <w:vertAlign w:val="subscript"/>
              </w:rPr>
              <w:t>2</w:t>
            </w:r>
            <w:r>
              <w:rPr>
                <w:color w:val="000000"/>
                <w:sz w:val="21"/>
              </w:rPr>
              <w:t>:（</w:t>
            </w:r>
            <w:r>
              <w:rPr>
                <w:rFonts w:hint="eastAsia"/>
                <w:sz w:val="21"/>
              </w:rPr>
              <w:t>/</w:t>
            </w:r>
            <w:r>
              <w:rPr>
                <w:color w:val="000000"/>
                <w:sz w:val="21"/>
              </w:rPr>
              <w:t>）t/a</w:t>
            </w:r>
          </w:p>
        </w:tc>
        <w:tc>
          <w:tcPr>
            <w:tcW w:w="1633" w:type="dxa"/>
            <w:gridSpan w:val="3"/>
            <w:vAlign w:val="center"/>
          </w:tcPr>
          <w:p>
            <w:pPr>
              <w:snapToGrid w:val="0"/>
              <w:spacing w:line="360" w:lineRule="exact"/>
              <w:jc w:val="center"/>
              <w:rPr>
                <w:color w:val="000000"/>
                <w:sz w:val="21"/>
              </w:rPr>
            </w:pPr>
            <w:r>
              <w:rPr>
                <w:color w:val="000000"/>
                <w:sz w:val="21"/>
              </w:rPr>
              <w:t>NO</w:t>
            </w:r>
            <w:r>
              <w:rPr>
                <w:color w:val="000000"/>
                <w:sz w:val="21"/>
                <w:vertAlign w:val="subscript"/>
              </w:rPr>
              <w:t>x</w:t>
            </w:r>
            <w:r>
              <w:rPr>
                <w:color w:val="000000"/>
                <w:sz w:val="21"/>
              </w:rPr>
              <w:t>:（</w:t>
            </w:r>
            <w:r>
              <w:rPr>
                <w:rFonts w:hint="eastAsia"/>
                <w:color w:val="000000"/>
                <w:sz w:val="21"/>
              </w:rPr>
              <w:t>/）</w:t>
            </w:r>
          </w:p>
        </w:tc>
        <w:tc>
          <w:tcPr>
            <w:tcW w:w="1858" w:type="dxa"/>
            <w:gridSpan w:val="3"/>
            <w:vAlign w:val="center"/>
          </w:tcPr>
          <w:p>
            <w:pPr>
              <w:snapToGrid w:val="0"/>
              <w:spacing w:line="360" w:lineRule="exact"/>
              <w:jc w:val="center"/>
              <w:rPr>
                <w:sz w:val="21"/>
              </w:rPr>
            </w:pPr>
            <w:r>
              <w:rPr>
                <w:sz w:val="21"/>
              </w:rPr>
              <w:t>颗粒物:（</w:t>
            </w:r>
            <w:r>
              <w:rPr>
                <w:rFonts w:hint="eastAsia"/>
                <w:sz w:val="21"/>
              </w:rPr>
              <w:t>0.326</w:t>
            </w:r>
            <w:r>
              <w:rPr>
                <w:sz w:val="21"/>
              </w:rPr>
              <w:t>）t/a</w:t>
            </w:r>
          </w:p>
        </w:tc>
        <w:tc>
          <w:tcPr>
            <w:tcW w:w="1434" w:type="dxa"/>
            <w:gridSpan w:val="2"/>
            <w:vAlign w:val="center"/>
          </w:tcPr>
          <w:p>
            <w:pPr>
              <w:snapToGrid w:val="0"/>
              <w:spacing w:line="360" w:lineRule="exact"/>
              <w:jc w:val="center"/>
              <w:rPr>
                <w:sz w:val="21"/>
              </w:rPr>
            </w:pPr>
            <w:r>
              <w:rPr>
                <w:sz w:val="21"/>
              </w:rPr>
              <w:t>VOC</w:t>
            </w:r>
            <w:r>
              <w:rPr>
                <w:sz w:val="21"/>
                <w:vertAlign w:val="subscript"/>
              </w:rPr>
              <w:t>s</w:t>
            </w:r>
            <w:r>
              <w:rPr>
                <w:sz w:val="21"/>
              </w:rPr>
              <w:t>:（ / ）t/a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7" w:hRule="atLeast"/>
        </w:trPr>
        <w:tc>
          <w:tcPr>
            <w:tcW w:w="9058" w:type="dxa"/>
            <w:gridSpan w:val="12"/>
            <w:vAlign w:val="center"/>
          </w:tcPr>
          <w:p>
            <w:pPr>
              <w:snapToGrid w:val="0"/>
              <w:spacing w:line="360" w:lineRule="exact"/>
              <w:rPr>
                <w:color w:val="000000"/>
                <w:sz w:val="21"/>
              </w:rPr>
            </w:pPr>
            <w:r>
              <w:rPr>
                <w:color w:val="000000"/>
                <w:sz w:val="21"/>
              </w:rPr>
              <w:t>注：“□” 为勾选项 ，填“√” ；“（   ）” 为内容填写项</w:t>
            </w:r>
          </w:p>
        </w:tc>
      </w:tr>
    </w:tbl>
    <w:p>
      <w:pPr>
        <w:pStyle w:val="5"/>
        <w:adjustRightInd w:val="0"/>
        <w:snapToGrid w:val="0"/>
        <w:spacing w:before="156" w:beforeLines="50" w:line="360" w:lineRule="auto"/>
        <w:rPr>
          <w:rFonts w:eastAsia="宋体"/>
          <w:sz w:val="28"/>
          <w:szCs w:val="28"/>
        </w:rPr>
      </w:pPr>
      <w:bookmarkStart w:id="287" w:name="_Toc21573"/>
      <w:r>
        <w:rPr>
          <w:rFonts w:eastAsia="宋体"/>
          <w:sz w:val="28"/>
          <w:szCs w:val="28"/>
        </w:rPr>
        <w:t>5.2地表水环境影响分析</w:t>
      </w:r>
      <w:bookmarkEnd w:id="287"/>
    </w:p>
    <w:p>
      <w:pPr>
        <w:pStyle w:val="200"/>
        <w:adjustRightInd w:val="0"/>
        <w:snapToGrid w:val="0"/>
        <w:spacing w:line="440" w:lineRule="exact"/>
        <w:ind w:firstLine="480" w:firstLineChars="200"/>
        <w:rPr>
          <w:rFonts w:ascii="Times New Roman" w:hAnsi="Times New Roman"/>
          <w:sz w:val="24"/>
          <w:szCs w:val="24"/>
        </w:rPr>
      </w:pPr>
      <w:r>
        <w:rPr>
          <w:rFonts w:hint="eastAsia" w:ascii="Times New Roman" w:hAnsi="Times New Roman"/>
          <w:sz w:val="24"/>
          <w:szCs w:val="24"/>
        </w:rPr>
        <w:t>本项目无废水外排，根据《环境影响评价技术导则  地表水环境》（HJ2.3-2018）表1中注10:“建设项目生产工艺中有废水产生，但作为回水利用，不排放到外环境的，按三级B评价。</w:t>
      </w:r>
      <w:r>
        <w:rPr>
          <w:rFonts w:ascii="Times New Roman" w:hAnsi="Times New Roman"/>
          <w:sz w:val="24"/>
          <w:szCs w:val="24"/>
        </w:rPr>
        <w:t>本次地表水评价工作等级</w:t>
      </w:r>
      <w:r>
        <w:rPr>
          <w:rFonts w:hint="eastAsia" w:ascii="Times New Roman" w:hAnsi="Times New Roman"/>
          <w:sz w:val="24"/>
          <w:szCs w:val="24"/>
        </w:rPr>
        <w:t>为</w:t>
      </w:r>
      <w:r>
        <w:rPr>
          <w:rFonts w:ascii="Times New Roman" w:hAnsi="Times New Roman"/>
          <w:sz w:val="24"/>
          <w:szCs w:val="24"/>
        </w:rPr>
        <w:t>三级</w:t>
      </w:r>
      <w:r>
        <w:rPr>
          <w:rFonts w:hint="eastAsia" w:ascii="Times New Roman" w:hAnsi="Times New Roman"/>
          <w:sz w:val="24"/>
          <w:szCs w:val="24"/>
        </w:rPr>
        <w:t>B，</w:t>
      </w:r>
      <w:r>
        <w:rPr>
          <w:rFonts w:ascii="Times New Roman" w:hAnsi="Times New Roman"/>
          <w:sz w:val="24"/>
          <w:szCs w:val="24"/>
        </w:rPr>
        <w:t>只</w:t>
      </w:r>
      <w:r>
        <w:rPr>
          <w:rFonts w:hint="eastAsia" w:ascii="Times New Roman" w:hAnsi="Times New Roman"/>
          <w:sz w:val="24"/>
          <w:szCs w:val="24"/>
        </w:rPr>
        <w:t>对地表进行</w:t>
      </w:r>
      <w:r>
        <w:rPr>
          <w:rFonts w:ascii="Times New Roman" w:hAnsi="Times New Roman"/>
          <w:sz w:val="24"/>
          <w:szCs w:val="24"/>
        </w:rPr>
        <w:t>水环境影响分析</w:t>
      </w:r>
      <w:r>
        <w:rPr>
          <w:rFonts w:hint="eastAsia" w:ascii="Times New Roman" w:hAnsi="Times New Roman"/>
          <w:sz w:val="24"/>
          <w:szCs w:val="24"/>
        </w:rPr>
        <w:t>，</w:t>
      </w:r>
      <w:r>
        <w:rPr>
          <w:rFonts w:hint="eastAsia" w:ascii="Times New Roman" w:hAnsi="Times New Roman"/>
          <w:sz w:val="24"/>
          <w:szCs w:val="24"/>
          <w:lang w:val="zh-CN"/>
        </w:rPr>
        <w:t>重点分析项目废水不外排的可靠性。</w:t>
      </w:r>
    </w:p>
    <w:p>
      <w:pPr>
        <w:pStyle w:val="200"/>
        <w:adjustRightInd w:val="0"/>
        <w:snapToGrid w:val="0"/>
        <w:spacing w:line="440" w:lineRule="exact"/>
        <w:ind w:firstLine="480" w:firstLineChars="200"/>
        <w:rPr>
          <w:rFonts w:ascii="Times New Roman" w:hAnsi="Times New Roman"/>
          <w:sz w:val="24"/>
          <w:szCs w:val="24"/>
        </w:rPr>
      </w:pPr>
      <w:r>
        <w:rPr>
          <w:rFonts w:hint="eastAsia" w:ascii="Times New Roman" w:hAnsi="Times New Roman"/>
          <w:sz w:val="24"/>
          <w:szCs w:val="24"/>
        </w:rPr>
        <w:t>本项目废水主要为职工生活污水和洗车废水。</w:t>
      </w:r>
    </w:p>
    <w:p>
      <w:pPr>
        <w:pStyle w:val="200"/>
        <w:adjustRightInd w:val="0"/>
        <w:snapToGrid w:val="0"/>
        <w:spacing w:line="440" w:lineRule="exact"/>
        <w:ind w:firstLine="480" w:firstLineChars="200"/>
        <w:rPr>
          <w:rFonts w:ascii="Times New Roman" w:hAnsi="Times New Roman"/>
          <w:sz w:val="24"/>
          <w:szCs w:val="24"/>
        </w:rPr>
      </w:pPr>
      <w:r>
        <w:rPr>
          <w:rFonts w:hint="eastAsia" w:ascii="Times New Roman" w:hAnsi="Times New Roman"/>
          <w:sz w:val="24"/>
          <w:szCs w:val="24"/>
        </w:rPr>
        <w:t>职工生活污水经废水收集池沉淀后用于道路洒水抑尘，不外排；洗车废水经配套沉淀池沉淀后回用于洗车，不外排。</w:t>
      </w:r>
    </w:p>
    <w:p>
      <w:pPr>
        <w:pStyle w:val="200"/>
        <w:adjustRightInd w:val="0"/>
        <w:snapToGrid w:val="0"/>
        <w:spacing w:line="440" w:lineRule="exact"/>
        <w:ind w:firstLine="480" w:firstLineChars="200"/>
        <w:rPr>
          <w:rFonts w:ascii="Times New Roman" w:hAnsi="Times New Roman"/>
          <w:sz w:val="24"/>
          <w:szCs w:val="24"/>
        </w:rPr>
      </w:pPr>
      <w:r>
        <w:rPr>
          <w:rFonts w:ascii="Times New Roman" w:hAnsi="Times New Roman"/>
          <w:sz w:val="24"/>
          <w:szCs w:val="24"/>
        </w:rPr>
        <w:t>本项目</w:t>
      </w:r>
      <w:r>
        <w:rPr>
          <w:rFonts w:hint="eastAsia" w:ascii="Times New Roman" w:hAnsi="Times New Roman"/>
          <w:sz w:val="24"/>
          <w:szCs w:val="24"/>
        </w:rPr>
        <w:t>采装作业区洒水、原料库洒水、绿化和道路洒水自然</w:t>
      </w:r>
      <w:r>
        <w:rPr>
          <w:rFonts w:ascii="Times New Roman" w:hAnsi="Times New Roman"/>
          <w:sz w:val="24"/>
          <w:szCs w:val="24"/>
        </w:rPr>
        <w:t>蒸发</w:t>
      </w:r>
      <w:r>
        <w:rPr>
          <w:rFonts w:hint="eastAsia" w:ascii="Times New Roman" w:hAnsi="Times New Roman"/>
          <w:sz w:val="24"/>
          <w:szCs w:val="24"/>
        </w:rPr>
        <w:t>，</w:t>
      </w:r>
      <w:r>
        <w:rPr>
          <w:rFonts w:ascii="Times New Roman" w:hAnsi="Times New Roman"/>
          <w:sz w:val="24"/>
          <w:szCs w:val="24"/>
        </w:rPr>
        <w:t>全部消耗</w:t>
      </w:r>
      <w:r>
        <w:rPr>
          <w:rFonts w:hint="eastAsia" w:ascii="Times New Roman" w:hAnsi="Times New Roman"/>
          <w:sz w:val="24"/>
          <w:szCs w:val="24"/>
        </w:rPr>
        <w:t>，</w:t>
      </w:r>
      <w:r>
        <w:rPr>
          <w:rFonts w:ascii="Times New Roman" w:hAnsi="Times New Roman"/>
          <w:sz w:val="24"/>
          <w:szCs w:val="24"/>
        </w:rPr>
        <w:t>不外排</w:t>
      </w:r>
      <w:r>
        <w:rPr>
          <w:rFonts w:hint="eastAsia" w:ascii="Times New Roman" w:hAnsi="Times New Roman"/>
          <w:sz w:val="24"/>
          <w:szCs w:val="24"/>
        </w:rPr>
        <w:t>。</w:t>
      </w:r>
    </w:p>
    <w:p>
      <w:pPr>
        <w:pStyle w:val="200"/>
        <w:adjustRightInd w:val="0"/>
        <w:snapToGrid w:val="0"/>
        <w:spacing w:line="440" w:lineRule="exact"/>
        <w:ind w:firstLine="480" w:firstLineChars="200"/>
        <w:rPr>
          <w:rFonts w:ascii="Times New Roman" w:hAnsi="Times New Roman"/>
          <w:sz w:val="24"/>
          <w:szCs w:val="24"/>
        </w:rPr>
      </w:pPr>
      <w:r>
        <w:rPr>
          <w:rFonts w:ascii="Times New Roman" w:hAnsi="Times New Roman"/>
          <w:sz w:val="24"/>
          <w:szCs w:val="24"/>
        </w:rPr>
        <w:t>因此</w:t>
      </w:r>
      <w:r>
        <w:rPr>
          <w:rFonts w:hint="eastAsia" w:ascii="Times New Roman" w:hAnsi="Times New Roman"/>
          <w:sz w:val="24"/>
          <w:szCs w:val="24"/>
        </w:rPr>
        <w:t>，</w:t>
      </w:r>
      <w:r>
        <w:rPr>
          <w:rFonts w:ascii="Times New Roman" w:hAnsi="Times New Roman"/>
          <w:sz w:val="24"/>
          <w:szCs w:val="24"/>
        </w:rPr>
        <w:t>本项目</w:t>
      </w:r>
      <w:r>
        <w:rPr>
          <w:rFonts w:hint="eastAsia" w:ascii="Times New Roman" w:hAnsi="Times New Roman"/>
          <w:sz w:val="24"/>
          <w:szCs w:val="24"/>
        </w:rPr>
        <w:t>无废水外排，</w:t>
      </w:r>
      <w:r>
        <w:rPr>
          <w:rFonts w:ascii="Times New Roman" w:hAnsi="Times New Roman"/>
          <w:sz w:val="24"/>
          <w:szCs w:val="24"/>
        </w:rPr>
        <w:t>不会对区域地表水</w:t>
      </w:r>
      <w:r>
        <w:rPr>
          <w:rFonts w:hint="eastAsia" w:ascii="Times New Roman" w:hAnsi="Times New Roman"/>
          <w:sz w:val="24"/>
          <w:szCs w:val="24"/>
        </w:rPr>
        <w:t>环境</w:t>
      </w:r>
      <w:r>
        <w:rPr>
          <w:rFonts w:ascii="Times New Roman" w:hAnsi="Times New Roman"/>
          <w:sz w:val="24"/>
          <w:szCs w:val="24"/>
        </w:rPr>
        <w:t>造成</w:t>
      </w:r>
      <w:r>
        <w:rPr>
          <w:rFonts w:hint="eastAsia" w:ascii="Times New Roman" w:hAnsi="Times New Roman"/>
          <w:sz w:val="24"/>
          <w:szCs w:val="24"/>
        </w:rPr>
        <w:t>明显</w:t>
      </w:r>
      <w:r>
        <w:rPr>
          <w:rFonts w:ascii="Times New Roman" w:hAnsi="Times New Roman"/>
          <w:sz w:val="24"/>
          <w:szCs w:val="24"/>
        </w:rPr>
        <w:t>影响</w:t>
      </w:r>
      <w:r>
        <w:rPr>
          <w:rFonts w:hint="eastAsia" w:ascii="Times New Roman" w:hAnsi="Times New Roman"/>
          <w:sz w:val="24"/>
          <w:szCs w:val="24"/>
        </w:rPr>
        <w:t>。</w:t>
      </w:r>
    </w:p>
    <w:p>
      <w:pPr>
        <w:pStyle w:val="349"/>
        <w:spacing w:before="156" w:beforeLines="50" w:line="240" w:lineRule="auto"/>
        <w:rPr>
          <w:rFonts w:hint="default" w:ascii="Times New Roman" w:hAnsi="Times New Roman" w:eastAsia="黑体" w:cs="Times New Roman"/>
        </w:rPr>
      </w:pPr>
      <w:r>
        <w:rPr>
          <w:rFonts w:hint="default" w:ascii="Times New Roman" w:hAnsi="Times New Roman" w:eastAsia="黑体" w:cs="Times New Roman"/>
        </w:rPr>
        <w:t>表5.2-1      地表水环境影响评价自查表</w:t>
      </w:r>
    </w:p>
    <w:tbl>
      <w:tblPr>
        <w:tblStyle w:val="88"/>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autofit"/>
        <w:tblCellMar>
          <w:top w:w="0" w:type="dxa"/>
          <w:left w:w="108" w:type="dxa"/>
          <w:bottom w:w="0" w:type="dxa"/>
          <w:right w:w="108" w:type="dxa"/>
        </w:tblCellMar>
      </w:tblPr>
      <w:tblGrid>
        <w:gridCol w:w="484"/>
        <w:gridCol w:w="718"/>
        <w:gridCol w:w="1484"/>
        <w:gridCol w:w="372"/>
        <w:gridCol w:w="621"/>
        <w:gridCol w:w="492"/>
        <w:gridCol w:w="745"/>
        <w:gridCol w:w="743"/>
        <w:gridCol w:w="42"/>
        <w:gridCol w:w="144"/>
        <w:gridCol w:w="1093"/>
        <w:gridCol w:w="269"/>
        <w:gridCol w:w="587"/>
        <w:gridCol w:w="13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08" w:hRule="atLeast"/>
          <w:tblHeader/>
          <w:jc w:val="center"/>
        </w:trPr>
        <w:tc>
          <w:tcPr>
            <w:tcW w:w="1240" w:type="pct"/>
            <w:gridSpan w:val="2"/>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工作内容</w:t>
            </w:r>
          </w:p>
        </w:tc>
        <w:tc>
          <w:tcPr>
            <w:tcW w:w="3759" w:type="pct"/>
            <w:gridSpan w:val="12"/>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自查项目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restart"/>
            <w:tcBorders>
              <w:tl2br w:val="nil"/>
              <w:tr2bl w:val="nil"/>
            </w:tcBorders>
            <w:noWrap/>
            <w:textDirection w:val="tbRlV"/>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影响识别</w:t>
            </w: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影响类型</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水污染影响型 </w:t>
            </w:r>
            <w:r>
              <w:rPr>
                <w:rFonts w:hint="default" w:ascii="Times New Roman" w:hAnsi="Times New Roman" w:eastAsia="宋体" w:cs="Times New Roman"/>
                <w:color w:val="000000"/>
                <w:sz w:val="21"/>
                <w:szCs w:val="21"/>
              </w:rPr>
              <w:sym w:font="Wingdings 2" w:char="0052"/>
            </w:r>
            <w:r>
              <w:rPr>
                <w:rFonts w:hint="default" w:ascii="Times New Roman" w:hAnsi="Times New Roman" w:eastAsia="宋体" w:cs="Times New Roman"/>
                <w:color w:val="000000"/>
                <w:sz w:val="21"/>
                <w:szCs w:val="21"/>
              </w:rPr>
              <w:t>；水文要素影响型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水环境保护目标</w:t>
            </w:r>
          </w:p>
        </w:tc>
        <w:tc>
          <w:tcPr>
            <w:tcW w:w="3759" w:type="pct"/>
            <w:gridSpan w:val="12"/>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饮用水水源保护区 □；饮用水取水口 □；涉水的自然保护区 □；涉水的风景名胜区 □；重要湿地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 xml:space="preserve">重点保护与珍稀水生生物的栖息地 □；重要水生生物的自然产卵场及索饵场、越冬场和洄游通道□；天然渔场等渔业水体 □；水产种质资源保护区□；其他 </w:t>
            </w:r>
            <w:r>
              <w:rPr>
                <w:rFonts w:hint="default" w:ascii="Times New Roman" w:hAnsi="Times New Roman" w:eastAsia="宋体" w:cs="Times New Roman"/>
                <w:color w:val="00000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影响途径</w:t>
            </w:r>
          </w:p>
        </w:tc>
        <w:tc>
          <w:tcPr>
            <w:tcW w:w="1879" w:type="pct"/>
            <w:gridSpan w:val="5"/>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水污染影响型</w:t>
            </w:r>
          </w:p>
        </w:tc>
        <w:tc>
          <w:tcPr>
            <w:tcW w:w="1880" w:type="pct"/>
            <w:gridSpan w:val="7"/>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水文要素影响型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p>
        </w:tc>
        <w:tc>
          <w:tcPr>
            <w:tcW w:w="1879" w:type="pct"/>
            <w:gridSpan w:val="5"/>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直接排放 □；间接排放 □；其他 </w:t>
            </w:r>
            <w:r>
              <w:rPr>
                <w:rFonts w:hint="default" w:ascii="Times New Roman" w:hAnsi="Times New Roman" w:eastAsia="宋体" w:cs="Times New Roman"/>
                <w:color w:val="000000"/>
                <w:sz w:val="21"/>
                <w:szCs w:val="21"/>
              </w:rPr>
              <w:sym w:font="Wingdings 2" w:char="0052"/>
            </w:r>
          </w:p>
        </w:tc>
        <w:tc>
          <w:tcPr>
            <w:tcW w:w="1880" w:type="pct"/>
            <w:gridSpan w:val="7"/>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水温 □；径流 □；水域面积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影响因子</w:t>
            </w:r>
          </w:p>
        </w:tc>
        <w:tc>
          <w:tcPr>
            <w:tcW w:w="1879" w:type="pct"/>
            <w:gridSpan w:val="5"/>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持久性污染物 □；有毒有害污染物 □；非持久性污染物 □；pH值 □；热污染 □；富营养化 □；其他 </w:t>
            </w:r>
            <w:r>
              <w:rPr>
                <w:rFonts w:hint="default" w:ascii="Times New Roman" w:hAnsi="Times New Roman" w:eastAsia="宋体" w:cs="Times New Roman"/>
                <w:color w:val="000000"/>
                <w:sz w:val="21"/>
                <w:szCs w:val="21"/>
              </w:rPr>
              <w:sym w:font="Wingdings 2" w:char="00A3"/>
            </w:r>
          </w:p>
        </w:tc>
        <w:tc>
          <w:tcPr>
            <w:tcW w:w="1880" w:type="pct"/>
            <w:gridSpan w:val="7"/>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水温 □；水位（水深） □；流速 □；流量 □；其他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240" w:type="pct"/>
            <w:gridSpan w:val="2"/>
            <w:vMerge w:val="restart"/>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评价等级</w:t>
            </w:r>
          </w:p>
        </w:tc>
        <w:tc>
          <w:tcPr>
            <w:tcW w:w="1879" w:type="pct"/>
            <w:gridSpan w:val="5"/>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水污染影响型</w:t>
            </w:r>
          </w:p>
        </w:tc>
        <w:tc>
          <w:tcPr>
            <w:tcW w:w="1880" w:type="pct"/>
            <w:gridSpan w:val="7"/>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水文要素影响型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240" w:type="pct"/>
            <w:gridSpan w:val="2"/>
            <w:vMerge w:val="continue"/>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p>
        </w:tc>
        <w:tc>
          <w:tcPr>
            <w:tcW w:w="1879" w:type="pct"/>
            <w:gridSpan w:val="5"/>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一级 □；二级 □；三级A □；三级B </w:t>
            </w:r>
            <w:r>
              <w:rPr>
                <w:rFonts w:hint="default" w:ascii="Times New Roman" w:hAnsi="Times New Roman" w:eastAsia="宋体" w:cs="Times New Roman"/>
                <w:color w:val="000000"/>
                <w:sz w:val="21"/>
                <w:szCs w:val="21"/>
              </w:rPr>
              <w:sym w:font="Wingdings 2" w:char="0052"/>
            </w:r>
          </w:p>
        </w:tc>
        <w:tc>
          <w:tcPr>
            <w:tcW w:w="1880" w:type="pct"/>
            <w:gridSpan w:val="7"/>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一级 □；二级 □；三级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restart"/>
            <w:tcBorders>
              <w:tl2br w:val="nil"/>
              <w:tr2bl w:val="nil"/>
            </w:tcBorders>
            <w:noWrap/>
            <w:textDirection w:val="tbRlV"/>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现状调查</w:t>
            </w:r>
          </w:p>
        </w:tc>
        <w:tc>
          <w:tcPr>
            <w:tcW w:w="1044" w:type="pct"/>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区域污染源</w:t>
            </w:r>
          </w:p>
        </w:tc>
        <w:tc>
          <w:tcPr>
            <w:tcW w:w="1879" w:type="pct"/>
            <w:gridSpan w:val="5"/>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调查项目</w:t>
            </w:r>
          </w:p>
        </w:tc>
        <w:tc>
          <w:tcPr>
            <w:tcW w:w="1880" w:type="pct"/>
            <w:gridSpan w:val="7"/>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数据来源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534"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939" w:type="pct"/>
            <w:gridSpan w:val="2"/>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已建 □；在建 □；拟建 □；其他 □</w:t>
            </w:r>
          </w:p>
        </w:tc>
        <w:tc>
          <w:tcPr>
            <w:tcW w:w="939" w:type="pct"/>
            <w:gridSpan w:val="3"/>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拟替代的污染源 □</w:t>
            </w:r>
          </w:p>
        </w:tc>
        <w:tc>
          <w:tcPr>
            <w:tcW w:w="1880" w:type="pct"/>
            <w:gridSpan w:val="7"/>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排污许可证 □；环评 □；环保验收 □；既有实测 □；现场监测 □；入河排放口数据 □；其他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受影响水体水环境质量　</w:t>
            </w:r>
          </w:p>
        </w:tc>
        <w:tc>
          <w:tcPr>
            <w:tcW w:w="1879" w:type="pct"/>
            <w:gridSpan w:val="5"/>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调查时期</w:t>
            </w:r>
          </w:p>
        </w:tc>
        <w:tc>
          <w:tcPr>
            <w:tcW w:w="1880" w:type="pct"/>
            <w:gridSpan w:val="7"/>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数据来源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802"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p>
        </w:tc>
        <w:tc>
          <w:tcPr>
            <w:tcW w:w="1879" w:type="pct"/>
            <w:gridSpan w:val="5"/>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丰水期 □；平水期 □；枯水期 □；冰封期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春季 □；夏季 □；秋季 □；冬季 □</w:t>
            </w:r>
          </w:p>
        </w:tc>
        <w:tc>
          <w:tcPr>
            <w:tcW w:w="1880" w:type="pct"/>
            <w:gridSpan w:val="7"/>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生态环境保护主管部门 □；补充监测 □；其他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区域水资源开发利用状况</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未开发 □；开发量40%以下 □；开发量40%以上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水文情势调查　</w:t>
            </w:r>
          </w:p>
        </w:tc>
        <w:tc>
          <w:tcPr>
            <w:tcW w:w="1879" w:type="pct"/>
            <w:gridSpan w:val="5"/>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调查时期</w:t>
            </w:r>
          </w:p>
        </w:tc>
        <w:tc>
          <w:tcPr>
            <w:tcW w:w="1880" w:type="pct"/>
            <w:gridSpan w:val="7"/>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数据来源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802"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p>
        </w:tc>
        <w:tc>
          <w:tcPr>
            <w:tcW w:w="1879" w:type="pct"/>
            <w:gridSpan w:val="5"/>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丰水期 □；平水期 □；枯水期 □；冰封期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春季 □；夏季 □；秋季 □；冬季 □</w:t>
            </w:r>
          </w:p>
        </w:tc>
        <w:tc>
          <w:tcPr>
            <w:tcW w:w="1880" w:type="pct"/>
            <w:gridSpan w:val="7"/>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水行政主管部门 □；补充监测 □；其他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412"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补充监测　</w:t>
            </w:r>
          </w:p>
        </w:tc>
        <w:tc>
          <w:tcPr>
            <w:tcW w:w="1879" w:type="pct"/>
            <w:gridSpan w:val="5"/>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监测时期</w:t>
            </w:r>
          </w:p>
        </w:tc>
        <w:tc>
          <w:tcPr>
            <w:tcW w:w="1023" w:type="pct"/>
            <w:gridSpan w:val="4"/>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监测因子</w:t>
            </w:r>
          </w:p>
        </w:tc>
        <w:tc>
          <w:tcPr>
            <w:tcW w:w="856" w:type="pct"/>
            <w:gridSpan w:val="3"/>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监测断面或点位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11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p>
        </w:tc>
        <w:tc>
          <w:tcPr>
            <w:tcW w:w="1879" w:type="pct"/>
            <w:gridSpan w:val="5"/>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丰水期 □；平水期 □；枯水期 □；冰封期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春季 □；夏季 □；秋季 □；冬季 □</w:t>
            </w:r>
          </w:p>
        </w:tc>
        <w:tc>
          <w:tcPr>
            <w:tcW w:w="1023" w:type="pct"/>
            <w:gridSpan w:val="4"/>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c>
          <w:tcPr>
            <w:tcW w:w="856" w:type="pct"/>
            <w:gridSpan w:val="3"/>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监测断面或点位个数（   ）个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restart"/>
            <w:tcBorders>
              <w:tl2br w:val="nil"/>
              <w:tr2bl w:val="nil"/>
            </w:tcBorders>
            <w:noWrap/>
            <w:textDirection w:val="tbRlV"/>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现状评价</w:t>
            </w: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评价范围</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河流：长度（   ）km；湖库、河口及近岸海域：面积（   ）km</w:t>
            </w:r>
            <w:r>
              <w:rPr>
                <w:rFonts w:hint="default" w:ascii="Times New Roman" w:hAnsi="Times New Roman" w:eastAsia="宋体" w:cs="Times New Roman"/>
                <w:color w:val="000000"/>
                <w:sz w:val="21"/>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评价因子</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评价标准</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河流、湖库、河口：Ⅰ类 □；Ⅱ类 □；Ⅲ类 □；Ⅳ类 □；Ⅴ类 □</w:t>
            </w:r>
          </w:p>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近岸海域：第一类 □；第二类 □；第三类 □；第四类 □</w:t>
            </w:r>
          </w:p>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规划年评价标准（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评价时期</w:t>
            </w:r>
          </w:p>
        </w:tc>
        <w:tc>
          <w:tcPr>
            <w:tcW w:w="3759" w:type="pct"/>
            <w:gridSpan w:val="12"/>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丰水期 □；平水期 □；枯水期 □；冰封期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春季 □；夏季 □；秋季 □；冬季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401"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评价结论</w:t>
            </w:r>
          </w:p>
        </w:tc>
        <w:tc>
          <w:tcPr>
            <w:tcW w:w="3233" w:type="pct"/>
            <w:gridSpan w:val="11"/>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水环境功能区或水功能区、近岸海域环境功能区水质达标状况 ：达标 □；不达标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水环境控制单元或断面水质达标状况 ：达标 □；不达标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水环境保护目标质量状况 ：达标 □；不达标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对照断面、控制断面等代表性断面的水质状况 ：达标 □；不达标 □</w:t>
            </w:r>
          </w:p>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底泥污染评价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水资源与开发利用程度及其水文情势评价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水环境质量回顾评价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流域（区域）水资源（包括水能资源）与开发利用总体状况、生态流量管理要求与现状满足程度、建设项目占用水域空间的水流状况与河湖演变状况 □</w:t>
            </w:r>
          </w:p>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依托污水处理设施稳定达标排放评价 □</w:t>
            </w:r>
          </w:p>
        </w:tc>
        <w:tc>
          <w:tcPr>
            <w:tcW w:w="526" w:type="pct"/>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达标区 □</w:t>
            </w:r>
          </w:p>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不达标区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restart"/>
            <w:tcBorders>
              <w:tl2br w:val="nil"/>
              <w:tr2bl w:val="nil"/>
            </w:tcBorders>
            <w:noWrap/>
            <w:textDirection w:val="tbRlV"/>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影响预测</w:t>
            </w: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预测范围</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河流：长度（   ）km；湖库、河口及近岸海域：面积（   ）km</w:t>
            </w:r>
            <w:r>
              <w:rPr>
                <w:rFonts w:hint="default" w:ascii="Times New Roman" w:hAnsi="Times New Roman" w:eastAsia="宋体" w:cs="Times New Roman"/>
                <w:color w:val="000000"/>
                <w:sz w:val="21"/>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预测因子</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预测时期</w:t>
            </w:r>
          </w:p>
        </w:tc>
        <w:tc>
          <w:tcPr>
            <w:tcW w:w="3759" w:type="pct"/>
            <w:gridSpan w:val="12"/>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丰水期 □；平水期 □；枯水期 □；冰封期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春季 □；夏季 □；秋季 □；冬季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设计水文条件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预测情景</w:t>
            </w:r>
          </w:p>
        </w:tc>
        <w:tc>
          <w:tcPr>
            <w:tcW w:w="3759" w:type="pct"/>
            <w:gridSpan w:val="12"/>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建设期 □；生产运行期 □；服务期满后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正常工况 □；非正常工况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污染控制和减缓措施方案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区（流）域环境质量改善目标要求情景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预测方法</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数值解 □：解析解 □；其他 □</w:t>
            </w:r>
          </w:p>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导则推荐模式 □：其他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534" w:hRule="atLeast"/>
          <w:jc w:val="center"/>
        </w:trPr>
        <w:tc>
          <w:tcPr>
            <w:tcW w:w="195" w:type="pct"/>
            <w:vMerge w:val="restart"/>
            <w:tcBorders>
              <w:tl2br w:val="nil"/>
              <w:tr2bl w:val="nil"/>
            </w:tcBorders>
            <w:noWrap/>
            <w:textDirection w:val="tbRlV"/>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影响评价</w:t>
            </w: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水污染控制和水环境影响减缓措施有效性评价</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区（流）域水环境质量改善目标 □；替代削减源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871"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水环境影响评价</w:t>
            </w:r>
          </w:p>
        </w:tc>
        <w:tc>
          <w:tcPr>
            <w:tcW w:w="3759" w:type="pct"/>
            <w:gridSpan w:val="12"/>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排放口混合区外满足水环境管理要求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水环境功能区或水功能区、近岸海域环境功能区水质达标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满足水环境保护目标水域水环境质量要求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水环境控制单元或断面水质达标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满足重点水污染物排放总量控制指标要求，重点行业建设项目， 主要污染物排放满足等量或减量替代要求 □</w:t>
            </w:r>
          </w:p>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满足区（流）域水环境质量改善目标要求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水文要素影响型建设项目同时应包括水文情势变化评价、主要水文特征值影响评价、生态流量符合性评价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对于新设或调整入河（湖库、近岸海域）排放口的建设项目，应包括排放口设置的环境合理性评价 □</w:t>
            </w:r>
            <w:r>
              <w:rPr>
                <w:rFonts w:hint="default" w:ascii="Times New Roman" w:hAnsi="Times New Roman" w:eastAsia="宋体" w:cs="Times New Roman"/>
                <w:color w:val="000000"/>
                <w:sz w:val="21"/>
                <w:szCs w:val="21"/>
              </w:rPr>
              <w:br w:type="textWrapping"/>
            </w:r>
            <w:r>
              <w:rPr>
                <w:rFonts w:hint="default" w:ascii="Times New Roman" w:hAnsi="Times New Roman" w:eastAsia="宋体" w:cs="Times New Roman"/>
                <w:color w:val="000000"/>
                <w:sz w:val="21"/>
                <w:szCs w:val="21"/>
              </w:rPr>
              <w:t>满足生态保护红线、水环境质量底线、资源利用上线和环境准入清单管理要求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污染源排放量核算</w:t>
            </w:r>
          </w:p>
        </w:tc>
        <w:tc>
          <w:tcPr>
            <w:tcW w:w="1253" w:type="pct"/>
            <w:gridSpan w:val="3"/>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污染物名称</w:t>
            </w:r>
          </w:p>
        </w:tc>
        <w:tc>
          <w:tcPr>
            <w:tcW w:w="1023" w:type="pct"/>
            <w:gridSpan w:val="4"/>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排放量/（</w:t>
            </w:r>
            <w:r>
              <w:rPr>
                <w:rFonts w:hint="default" w:ascii="Times New Roman" w:hAnsi="Times New Roman" w:eastAsia="宋体" w:cs="Times New Roman"/>
                <w:sz w:val="21"/>
                <w:szCs w:val="21"/>
              </w:rPr>
              <w:t>t/a</w:t>
            </w:r>
            <w:r>
              <w:rPr>
                <w:rFonts w:hint="default" w:ascii="Times New Roman" w:hAnsi="Times New Roman" w:eastAsia="宋体" w:cs="Times New Roman"/>
                <w:color w:val="000000"/>
                <w:sz w:val="21"/>
                <w:szCs w:val="21"/>
              </w:rPr>
              <w:t>）</w:t>
            </w:r>
          </w:p>
        </w:tc>
        <w:tc>
          <w:tcPr>
            <w:tcW w:w="1483" w:type="pct"/>
            <w:gridSpan w:val="5"/>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p>
        </w:tc>
        <w:tc>
          <w:tcPr>
            <w:tcW w:w="1253" w:type="pct"/>
            <w:gridSpan w:val="3"/>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c>
          <w:tcPr>
            <w:tcW w:w="1023" w:type="pct"/>
            <w:gridSpan w:val="4"/>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c>
          <w:tcPr>
            <w:tcW w:w="1483" w:type="pct"/>
            <w:gridSpan w:val="5"/>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替代源排放情况</w:t>
            </w:r>
          </w:p>
        </w:tc>
        <w:tc>
          <w:tcPr>
            <w:tcW w:w="751" w:type="pct"/>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污染源名称</w:t>
            </w:r>
          </w:p>
        </w:tc>
        <w:tc>
          <w:tcPr>
            <w:tcW w:w="751" w:type="pct"/>
            <w:gridSpan w:val="3"/>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排污许可证编号</w:t>
            </w:r>
          </w:p>
        </w:tc>
        <w:tc>
          <w:tcPr>
            <w:tcW w:w="752" w:type="pct"/>
            <w:gridSpan w:val="2"/>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污染物名称</w:t>
            </w:r>
          </w:p>
        </w:tc>
        <w:tc>
          <w:tcPr>
            <w:tcW w:w="751" w:type="pct"/>
            <w:gridSpan w:val="4"/>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排放量/（</w:t>
            </w:r>
            <w:r>
              <w:rPr>
                <w:rFonts w:hint="default" w:ascii="Times New Roman" w:hAnsi="Times New Roman" w:eastAsia="宋体" w:cs="Times New Roman"/>
                <w:sz w:val="21"/>
                <w:szCs w:val="21"/>
              </w:rPr>
              <w:t>t/a</w:t>
            </w:r>
            <w:r>
              <w:rPr>
                <w:rFonts w:hint="default" w:ascii="Times New Roman" w:hAnsi="Times New Roman" w:eastAsia="宋体" w:cs="Times New Roman"/>
                <w:color w:val="000000"/>
                <w:sz w:val="21"/>
                <w:szCs w:val="21"/>
              </w:rPr>
              <w:t>）</w:t>
            </w:r>
          </w:p>
        </w:tc>
        <w:tc>
          <w:tcPr>
            <w:tcW w:w="753" w:type="pct"/>
            <w:gridSpan w:val="2"/>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p>
        </w:tc>
        <w:tc>
          <w:tcPr>
            <w:tcW w:w="751" w:type="pct"/>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c>
          <w:tcPr>
            <w:tcW w:w="751" w:type="pct"/>
            <w:gridSpan w:val="3"/>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c>
          <w:tcPr>
            <w:tcW w:w="752" w:type="pct"/>
            <w:gridSpan w:val="2"/>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c>
          <w:tcPr>
            <w:tcW w:w="751" w:type="pct"/>
            <w:gridSpan w:val="4"/>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c>
          <w:tcPr>
            <w:tcW w:w="753" w:type="pct"/>
            <w:gridSpan w:val="2"/>
            <w:tcBorders>
              <w:tl2br w:val="nil"/>
              <w:tr2bl w:val="nil"/>
            </w:tcBorders>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生态流量确定</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生态流量：一般水期（   ）m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/s；鱼类繁殖期（   ）m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/s；其他（   ）m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/s</w:t>
            </w:r>
          </w:p>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生态水位：一般水期（   ）m；鱼类繁殖期（   ）m；其他（   ）m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restart"/>
            <w:tcBorders>
              <w:tl2br w:val="nil"/>
              <w:tr2bl w:val="nil"/>
            </w:tcBorders>
            <w:noWrap/>
            <w:textDirection w:val="tbRlV"/>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防治措施</w:t>
            </w: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环保措施</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污水处理设施 </w:t>
            </w:r>
            <w:r>
              <w:rPr>
                <w:rFonts w:hint="default" w:ascii="Times New Roman" w:hAnsi="Times New Roman" w:eastAsia="宋体" w:cs="Times New Roman"/>
                <w:color w:val="000000"/>
                <w:sz w:val="21"/>
                <w:szCs w:val="21"/>
              </w:rPr>
              <w:sym w:font="Wingdings 2" w:char="00A3"/>
            </w:r>
            <w:r>
              <w:rPr>
                <w:rFonts w:hint="default" w:ascii="Times New Roman" w:hAnsi="Times New Roman" w:eastAsia="宋体" w:cs="Times New Roman"/>
                <w:color w:val="000000"/>
                <w:sz w:val="21"/>
                <w:szCs w:val="21"/>
              </w:rPr>
              <w:t xml:space="preserve">；水文减缓设施 □；生态流量保障设施 □；区域削减 □；依托其他工程措施 □；其他 </w:t>
            </w:r>
            <w:r>
              <w:rPr>
                <w:rFonts w:hint="default" w:ascii="Times New Roman" w:hAnsi="Times New Roman" w:eastAsia="宋体" w:cs="Times New Roman"/>
                <w:color w:val="00000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21"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监测计划</w:t>
            </w:r>
          </w:p>
        </w:tc>
        <w:tc>
          <w:tcPr>
            <w:tcW w:w="939" w:type="pct"/>
            <w:gridSpan w:val="2"/>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p>
        </w:tc>
        <w:tc>
          <w:tcPr>
            <w:tcW w:w="1410" w:type="pct"/>
            <w:gridSpan w:val="6"/>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环境质量</w:t>
            </w:r>
          </w:p>
        </w:tc>
        <w:tc>
          <w:tcPr>
            <w:tcW w:w="1410" w:type="pct"/>
            <w:gridSpan w:val="4"/>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21"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p>
        </w:tc>
        <w:tc>
          <w:tcPr>
            <w:tcW w:w="939" w:type="pct"/>
            <w:gridSpan w:val="2"/>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监测方式</w:t>
            </w:r>
          </w:p>
        </w:tc>
        <w:tc>
          <w:tcPr>
            <w:tcW w:w="1410" w:type="pct"/>
            <w:gridSpan w:val="6"/>
            <w:tcBorders>
              <w:tl2br w:val="nil"/>
              <w:tr2bl w:val="nil"/>
            </w:tcBorders>
            <w:vAlign w:val="center"/>
          </w:tcPr>
          <w:p>
            <w:pPr>
              <w:spacing w:line="360" w:lineRule="exact"/>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color w:val="000000"/>
                <w:sz w:val="21"/>
                <w:szCs w:val="21"/>
              </w:rPr>
              <w:t>手动 □；自动 □；无监测 □</w:t>
            </w:r>
          </w:p>
        </w:tc>
        <w:tc>
          <w:tcPr>
            <w:tcW w:w="1410" w:type="pct"/>
            <w:gridSpan w:val="4"/>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手动 □；自动 □；无监测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21"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p>
        </w:tc>
        <w:tc>
          <w:tcPr>
            <w:tcW w:w="939" w:type="pct"/>
            <w:gridSpan w:val="2"/>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监测点位</w:t>
            </w:r>
          </w:p>
        </w:tc>
        <w:tc>
          <w:tcPr>
            <w:tcW w:w="1410" w:type="pct"/>
            <w:gridSpan w:val="6"/>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c>
          <w:tcPr>
            <w:tcW w:w="1410" w:type="pct"/>
            <w:gridSpan w:val="4"/>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21"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p>
        </w:tc>
        <w:tc>
          <w:tcPr>
            <w:tcW w:w="939" w:type="pct"/>
            <w:gridSpan w:val="2"/>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监测因子</w:t>
            </w:r>
          </w:p>
        </w:tc>
        <w:tc>
          <w:tcPr>
            <w:tcW w:w="1410" w:type="pct"/>
            <w:gridSpan w:val="6"/>
            <w:tcBorders>
              <w:tl2br w:val="nil"/>
              <w:tr2bl w:val="nil"/>
            </w:tcBorders>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c>
          <w:tcPr>
            <w:tcW w:w="1410" w:type="pct"/>
            <w:gridSpan w:val="4"/>
            <w:tcBorders>
              <w:tl2br w:val="nil"/>
              <w:tr2bl w:val="nil"/>
            </w:tcBorders>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95" w:type="pct"/>
            <w:vMerge w:val="continue"/>
            <w:tcBorders>
              <w:tl2br w:val="nil"/>
              <w:tr2bl w:val="nil"/>
            </w:tcBorders>
            <w:vAlign w:val="center"/>
          </w:tcPr>
          <w:p>
            <w:pPr>
              <w:spacing w:line="360" w:lineRule="exact"/>
              <w:rPr>
                <w:rFonts w:hint="default" w:ascii="Times New Roman" w:hAnsi="Times New Roman" w:eastAsia="宋体" w:cs="Times New Roman"/>
                <w:color w:val="000000"/>
                <w:sz w:val="21"/>
                <w:szCs w:val="21"/>
              </w:rPr>
            </w:pPr>
          </w:p>
        </w:tc>
        <w:tc>
          <w:tcPr>
            <w:tcW w:w="1044" w:type="pct"/>
            <w:tcBorders>
              <w:tl2br w:val="nil"/>
              <w:tr2bl w:val="nil"/>
            </w:tcBorders>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污染物排放清单</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67" w:hRule="atLeast"/>
          <w:jc w:val="center"/>
        </w:trPr>
        <w:tc>
          <w:tcPr>
            <w:tcW w:w="1240" w:type="pct"/>
            <w:gridSpan w:val="2"/>
            <w:tcBorders>
              <w:tl2br w:val="nil"/>
              <w:tr2bl w:val="nil"/>
            </w:tcBorders>
            <w:noWrap/>
            <w:vAlign w:val="center"/>
          </w:tcPr>
          <w:p>
            <w:pPr>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评价结论</w:t>
            </w:r>
          </w:p>
        </w:tc>
        <w:tc>
          <w:tcPr>
            <w:tcW w:w="3759" w:type="pct"/>
            <w:gridSpan w:val="12"/>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可以接受 </w:t>
            </w:r>
            <w:r>
              <w:rPr>
                <w:rFonts w:hint="default" w:ascii="Times New Roman" w:hAnsi="Times New Roman" w:eastAsia="宋体" w:cs="Times New Roman"/>
                <w:color w:val="000000"/>
                <w:sz w:val="21"/>
                <w:szCs w:val="21"/>
              </w:rPr>
              <w:sym w:font="Wingdings 2" w:char="0052"/>
            </w:r>
            <w:r>
              <w:rPr>
                <w:rFonts w:hint="default" w:ascii="Times New Roman" w:hAnsi="Times New Roman" w:eastAsia="宋体" w:cs="Times New Roman"/>
                <w:color w:val="000000"/>
                <w:sz w:val="21"/>
                <w:szCs w:val="21"/>
              </w:rPr>
              <w:t>；不可以接受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5000" w:type="pct"/>
            <w:gridSpan w:val="14"/>
            <w:tcBorders>
              <w:tl2br w:val="nil"/>
              <w:tr2bl w:val="nil"/>
            </w:tcBorders>
            <w:noWrap/>
            <w:vAlign w:val="center"/>
          </w:tcPr>
          <w:p>
            <w:pPr>
              <w:spacing w:line="36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注：“□”为勾选项，可打√；“（   ）”为内容填写项；“备注”为其他补充内容。</w:t>
            </w:r>
          </w:p>
        </w:tc>
      </w:tr>
    </w:tbl>
    <w:p>
      <w:pPr>
        <w:pStyle w:val="5"/>
        <w:adjustRightInd w:val="0"/>
        <w:snapToGrid w:val="0"/>
        <w:spacing w:before="156" w:beforeLines="50" w:line="360" w:lineRule="auto"/>
        <w:rPr>
          <w:rFonts w:eastAsia="宋体"/>
          <w:sz w:val="28"/>
          <w:szCs w:val="28"/>
        </w:rPr>
      </w:pPr>
      <w:bookmarkStart w:id="288" w:name="_Toc3115"/>
      <w:r>
        <w:rPr>
          <w:rFonts w:eastAsia="宋体"/>
          <w:sz w:val="28"/>
          <w:szCs w:val="28"/>
        </w:rPr>
        <w:t>5.3声环境影响预测与评价</w:t>
      </w:r>
      <w:bookmarkEnd w:id="288"/>
    </w:p>
    <w:p>
      <w:pPr>
        <w:pStyle w:val="6"/>
        <w:adjustRightInd w:val="0"/>
        <w:snapToGrid w:val="0"/>
        <w:spacing w:before="156" w:beforeLines="50" w:line="360" w:lineRule="auto"/>
        <w:rPr>
          <w:rFonts w:eastAsia="宋体"/>
          <w:bCs w:val="0"/>
          <w:i w:val="0"/>
          <w:color w:val="auto"/>
          <w:sz w:val="24"/>
          <w:szCs w:val="24"/>
        </w:rPr>
      </w:pPr>
      <w:bookmarkStart w:id="289" w:name="_Toc319127687"/>
      <w:r>
        <w:rPr>
          <w:rFonts w:eastAsia="宋体"/>
          <w:bCs w:val="0"/>
          <w:i w:val="0"/>
          <w:color w:val="auto"/>
          <w:sz w:val="24"/>
          <w:szCs w:val="24"/>
        </w:rPr>
        <w:t>5.3.1噪声源强</w:t>
      </w:r>
      <w:bookmarkEnd w:id="289"/>
    </w:p>
    <w:p>
      <w:pPr>
        <w:spacing w:line="440" w:lineRule="exact"/>
        <w:ind w:firstLine="480" w:firstLineChars="200"/>
        <w:rPr>
          <w:lang w:bidi="en-US"/>
        </w:rPr>
      </w:pPr>
      <w:r>
        <w:rPr>
          <w:rFonts w:hint="eastAsia"/>
          <w:lang w:bidi="en-US"/>
        </w:rPr>
        <w:t>本项目噪声源强及采取的措施</w:t>
      </w:r>
      <w:r>
        <w:rPr>
          <w:lang w:bidi="en-US"/>
        </w:rPr>
        <w:t>见表5</w:t>
      </w:r>
      <w:r>
        <w:rPr>
          <w:rFonts w:hint="eastAsia"/>
          <w:lang w:bidi="en-US"/>
        </w:rPr>
        <w:t>.</w:t>
      </w:r>
      <w:r>
        <w:rPr>
          <w:lang w:bidi="en-US"/>
        </w:rPr>
        <w:t>3-1。</w:t>
      </w:r>
    </w:p>
    <w:p>
      <w:pPr>
        <w:spacing w:before="156" w:beforeLines="50"/>
        <w:ind w:firstLine="420" w:firstLineChars="200"/>
        <w:jc w:val="center"/>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5.3-1</w:t>
      </w:r>
      <w:r>
        <w:rPr>
          <w:rFonts w:hint="eastAsia" w:ascii="黑体" w:hAnsi="黑体" w:eastAsia="黑体" w:cs="黑体"/>
          <w:sz w:val="21"/>
          <w:szCs w:val="21"/>
        </w:rPr>
        <w:t xml:space="preserve"> 噪声源强一览表</w:t>
      </w:r>
    </w:p>
    <w:tbl>
      <w:tblPr>
        <w:tblStyle w:val="8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1"/>
        <w:gridCol w:w="777"/>
        <w:gridCol w:w="1182"/>
        <w:gridCol w:w="3943"/>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8" w:type="pct"/>
            <w:tcBorders>
              <w:tl2br w:val="nil"/>
              <w:tr2bl w:val="nil"/>
            </w:tcBorders>
            <w:tcMar>
              <w:left w:w="28" w:type="dxa"/>
              <w:right w:w="28" w:type="dxa"/>
            </w:tcMar>
            <w:vAlign w:val="center"/>
          </w:tcPr>
          <w:p>
            <w:pPr>
              <w:spacing w:line="360" w:lineRule="exact"/>
              <w:jc w:val="center"/>
              <w:rPr>
                <w:sz w:val="18"/>
                <w:szCs w:val="18"/>
              </w:rPr>
            </w:pPr>
            <w:r>
              <w:rPr>
                <w:sz w:val="18"/>
                <w:szCs w:val="18"/>
              </w:rPr>
              <w:t>噪声源</w:t>
            </w:r>
          </w:p>
        </w:tc>
        <w:tc>
          <w:tcPr>
            <w:tcW w:w="431" w:type="pct"/>
            <w:tcBorders>
              <w:tl2br w:val="nil"/>
              <w:tr2bl w:val="nil"/>
            </w:tcBorders>
            <w:tcMar>
              <w:left w:w="28" w:type="dxa"/>
              <w:right w:w="28" w:type="dxa"/>
            </w:tcMar>
            <w:vAlign w:val="center"/>
          </w:tcPr>
          <w:p>
            <w:pPr>
              <w:spacing w:line="360" w:lineRule="exact"/>
              <w:jc w:val="center"/>
              <w:rPr>
                <w:sz w:val="18"/>
                <w:szCs w:val="18"/>
              </w:rPr>
            </w:pPr>
            <w:r>
              <w:rPr>
                <w:sz w:val="18"/>
                <w:szCs w:val="18"/>
              </w:rPr>
              <w:t>台数</w:t>
            </w:r>
          </w:p>
        </w:tc>
        <w:tc>
          <w:tcPr>
            <w:tcW w:w="656" w:type="pct"/>
            <w:tcBorders>
              <w:tl2br w:val="nil"/>
              <w:tr2bl w:val="nil"/>
            </w:tcBorders>
            <w:tcMar>
              <w:left w:w="28" w:type="dxa"/>
              <w:right w:w="28" w:type="dxa"/>
            </w:tcMar>
            <w:vAlign w:val="center"/>
          </w:tcPr>
          <w:p>
            <w:pPr>
              <w:spacing w:line="360" w:lineRule="exact"/>
              <w:jc w:val="center"/>
              <w:rPr>
                <w:sz w:val="18"/>
                <w:szCs w:val="18"/>
              </w:rPr>
            </w:pPr>
            <w:r>
              <w:rPr>
                <w:rFonts w:hint="eastAsia"/>
                <w:sz w:val="18"/>
                <w:szCs w:val="18"/>
              </w:rPr>
              <w:t>治理前</w:t>
            </w:r>
            <w:r>
              <w:rPr>
                <w:sz w:val="18"/>
                <w:szCs w:val="18"/>
              </w:rPr>
              <w:t>噪声值</w:t>
            </w:r>
          </w:p>
          <w:p>
            <w:pPr>
              <w:spacing w:line="360" w:lineRule="exact"/>
              <w:jc w:val="center"/>
              <w:rPr>
                <w:sz w:val="18"/>
                <w:szCs w:val="18"/>
              </w:rPr>
            </w:pPr>
            <w:r>
              <w:rPr>
                <w:sz w:val="18"/>
                <w:szCs w:val="18"/>
              </w:rPr>
              <w:t>dB</w:t>
            </w:r>
            <w:r>
              <w:rPr>
                <w:sz w:val="18"/>
                <w:szCs w:val="18"/>
                <w:lang w:val="en-GB"/>
              </w:rPr>
              <w:t>（</w:t>
            </w:r>
            <w:r>
              <w:rPr>
                <w:sz w:val="18"/>
                <w:szCs w:val="18"/>
              </w:rPr>
              <w:t>A</w:t>
            </w:r>
            <w:r>
              <w:rPr>
                <w:sz w:val="18"/>
                <w:szCs w:val="18"/>
                <w:lang w:val="en-GB"/>
              </w:rPr>
              <w:t>）</w:t>
            </w:r>
          </w:p>
        </w:tc>
        <w:tc>
          <w:tcPr>
            <w:tcW w:w="2188" w:type="pct"/>
            <w:tcBorders>
              <w:tl2br w:val="nil"/>
              <w:tr2bl w:val="nil"/>
            </w:tcBorders>
            <w:tcMar>
              <w:left w:w="28" w:type="dxa"/>
              <w:right w:w="28" w:type="dxa"/>
            </w:tcMar>
            <w:vAlign w:val="center"/>
          </w:tcPr>
          <w:p>
            <w:pPr>
              <w:spacing w:line="360" w:lineRule="exact"/>
              <w:jc w:val="center"/>
              <w:rPr>
                <w:sz w:val="18"/>
                <w:szCs w:val="18"/>
              </w:rPr>
            </w:pPr>
            <w:r>
              <w:rPr>
                <w:sz w:val="18"/>
                <w:szCs w:val="18"/>
              </w:rPr>
              <w:t>减噪措施</w:t>
            </w:r>
          </w:p>
        </w:tc>
        <w:tc>
          <w:tcPr>
            <w:tcW w:w="636" w:type="pct"/>
            <w:tcBorders>
              <w:tl2br w:val="nil"/>
              <w:tr2bl w:val="nil"/>
            </w:tcBorders>
            <w:tcMar>
              <w:left w:w="28" w:type="dxa"/>
              <w:right w:w="28" w:type="dxa"/>
            </w:tcMar>
            <w:vAlign w:val="center"/>
          </w:tcPr>
          <w:p>
            <w:pPr>
              <w:spacing w:line="360" w:lineRule="exact"/>
              <w:jc w:val="both"/>
              <w:rPr>
                <w:sz w:val="18"/>
                <w:szCs w:val="18"/>
              </w:rPr>
            </w:pPr>
            <w:r>
              <w:rPr>
                <w:sz w:val="18"/>
                <w:szCs w:val="18"/>
              </w:rPr>
              <w:t>治理后噪声值</w:t>
            </w:r>
          </w:p>
          <w:p>
            <w:pPr>
              <w:spacing w:line="360" w:lineRule="exact"/>
              <w:jc w:val="center"/>
              <w:rPr>
                <w:sz w:val="18"/>
                <w:szCs w:val="18"/>
              </w:rPr>
            </w:pPr>
            <w:r>
              <w:rPr>
                <w:sz w:val="18"/>
                <w:szCs w:val="18"/>
              </w:rPr>
              <w:t>dB</w:t>
            </w:r>
            <w:r>
              <w:rPr>
                <w:sz w:val="18"/>
                <w:szCs w:val="18"/>
                <w:lang w:val="en-GB"/>
              </w:rPr>
              <w:t>（</w:t>
            </w:r>
            <w:r>
              <w:rPr>
                <w:sz w:val="18"/>
                <w:szCs w:val="18"/>
              </w:rPr>
              <w:t>A</w:t>
            </w:r>
            <w:r>
              <w:rPr>
                <w:sz w:val="18"/>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8" w:type="pct"/>
            <w:tcBorders>
              <w:tl2br w:val="nil"/>
              <w:tr2bl w:val="nil"/>
            </w:tcBorders>
            <w:tcMar>
              <w:left w:w="28" w:type="dxa"/>
              <w:right w:w="28" w:type="dxa"/>
            </w:tcMar>
            <w:vAlign w:val="center"/>
          </w:tcPr>
          <w:p>
            <w:pPr>
              <w:pStyle w:val="363"/>
              <w:spacing w:line="360" w:lineRule="exact"/>
              <w:rPr>
                <w:sz w:val="18"/>
                <w:szCs w:val="18"/>
              </w:rPr>
            </w:pPr>
            <w:r>
              <w:rPr>
                <w:rFonts w:eastAsia="宋体"/>
              </w:rPr>
              <w:t>挖掘机</w:t>
            </w:r>
          </w:p>
        </w:tc>
        <w:tc>
          <w:tcPr>
            <w:tcW w:w="431" w:type="pct"/>
            <w:tcBorders>
              <w:tl2br w:val="nil"/>
              <w:tr2bl w:val="nil"/>
            </w:tcBorders>
            <w:tcMar>
              <w:left w:w="28" w:type="dxa"/>
              <w:right w:w="28" w:type="dxa"/>
            </w:tcMar>
            <w:vAlign w:val="center"/>
          </w:tcPr>
          <w:p>
            <w:pPr>
              <w:spacing w:line="360" w:lineRule="exact"/>
              <w:jc w:val="center"/>
              <w:rPr>
                <w:sz w:val="18"/>
                <w:szCs w:val="18"/>
              </w:rPr>
            </w:pPr>
            <w:r>
              <w:rPr>
                <w:rFonts w:hint="eastAsia"/>
                <w:sz w:val="18"/>
                <w:szCs w:val="18"/>
              </w:rPr>
              <w:t>1</w:t>
            </w:r>
          </w:p>
        </w:tc>
        <w:tc>
          <w:tcPr>
            <w:tcW w:w="1197" w:type="dxa"/>
            <w:tcBorders>
              <w:tl2br w:val="nil"/>
              <w:tr2bl w:val="nil"/>
            </w:tcBorders>
            <w:tcMar>
              <w:left w:w="28" w:type="dxa"/>
              <w:right w:w="28" w:type="dxa"/>
            </w:tcMar>
            <w:vAlign w:val="center"/>
          </w:tcPr>
          <w:p>
            <w:pPr>
              <w:pStyle w:val="363"/>
              <w:spacing w:line="360" w:lineRule="exact"/>
              <w:rPr>
                <w:sz w:val="18"/>
                <w:szCs w:val="18"/>
              </w:rPr>
            </w:pPr>
            <w:r>
              <w:rPr>
                <w:rFonts w:hint="eastAsia" w:eastAsia="宋体"/>
              </w:rPr>
              <w:t>90</w:t>
            </w:r>
          </w:p>
        </w:tc>
        <w:tc>
          <w:tcPr>
            <w:tcW w:w="3992" w:type="dxa"/>
            <w:tcBorders>
              <w:tl2br w:val="nil"/>
              <w:tr2bl w:val="nil"/>
            </w:tcBorders>
            <w:tcMar>
              <w:left w:w="28" w:type="dxa"/>
              <w:right w:w="28" w:type="dxa"/>
            </w:tcMar>
            <w:vAlign w:val="center"/>
          </w:tcPr>
          <w:p>
            <w:pPr>
              <w:pStyle w:val="363"/>
              <w:spacing w:line="360" w:lineRule="exact"/>
              <w:rPr>
                <w:sz w:val="18"/>
                <w:szCs w:val="18"/>
              </w:rPr>
            </w:pPr>
            <w:r>
              <w:rPr>
                <w:rFonts w:hint="eastAsia" w:eastAsia="宋体"/>
              </w:rPr>
              <w:t>选用低噪声设备，</w:t>
            </w:r>
            <w:r>
              <w:rPr>
                <w:rFonts w:eastAsia="宋体"/>
              </w:rPr>
              <w:t>严格管理</w:t>
            </w:r>
          </w:p>
        </w:tc>
        <w:tc>
          <w:tcPr>
            <w:tcW w:w="1161" w:type="dxa"/>
            <w:tcBorders>
              <w:tl2br w:val="nil"/>
              <w:tr2bl w:val="nil"/>
            </w:tcBorders>
            <w:tcMar>
              <w:left w:w="28" w:type="dxa"/>
              <w:right w:w="28" w:type="dxa"/>
            </w:tcMar>
            <w:vAlign w:val="center"/>
          </w:tcPr>
          <w:p>
            <w:pPr>
              <w:pStyle w:val="363"/>
              <w:spacing w:line="360" w:lineRule="exact"/>
              <w:rPr>
                <w:sz w:val="18"/>
                <w:szCs w:val="18"/>
              </w:rPr>
            </w:pPr>
            <w:r>
              <w:rPr>
                <w:rFonts w:hint="eastAsia" w:eastAsia="宋体"/>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8" w:type="pct"/>
            <w:tcBorders>
              <w:tl2br w:val="nil"/>
              <w:tr2bl w:val="nil"/>
            </w:tcBorders>
            <w:tcMar>
              <w:left w:w="28" w:type="dxa"/>
              <w:right w:w="28" w:type="dxa"/>
            </w:tcMar>
            <w:vAlign w:val="center"/>
          </w:tcPr>
          <w:p>
            <w:pPr>
              <w:pStyle w:val="363"/>
              <w:spacing w:line="360" w:lineRule="exact"/>
              <w:rPr>
                <w:sz w:val="18"/>
                <w:szCs w:val="18"/>
              </w:rPr>
            </w:pPr>
            <w:r>
              <w:rPr>
                <w:rFonts w:eastAsia="宋体"/>
              </w:rPr>
              <w:t>装载机</w:t>
            </w:r>
          </w:p>
        </w:tc>
        <w:tc>
          <w:tcPr>
            <w:tcW w:w="431" w:type="pct"/>
            <w:tcBorders>
              <w:tl2br w:val="nil"/>
              <w:tr2bl w:val="nil"/>
            </w:tcBorders>
            <w:tcMar>
              <w:left w:w="28" w:type="dxa"/>
              <w:right w:w="28" w:type="dxa"/>
            </w:tcMar>
            <w:vAlign w:val="center"/>
          </w:tcPr>
          <w:p>
            <w:pPr>
              <w:spacing w:line="360" w:lineRule="exact"/>
              <w:jc w:val="center"/>
              <w:rPr>
                <w:sz w:val="18"/>
                <w:szCs w:val="18"/>
              </w:rPr>
            </w:pPr>
            <w:r>
              <w:rPr>
                <w:rFonts w:hint="eastAsia"/>
                <w:sz w:val="18"/>
                <w:szCs w:val="18"/>
              </w:rPr>
              <w:t>1</w:t>
            </w:r>
          </w:p>
        </w:tc>
        <w:tc>
          <w:tcPr>
            <w:tcW w:w="1197" w:type="dxa"/>
            <w:tcBorders>
              <w:tl2br w:val="nil"/>
              <w:tr2bl w:val="nil"/>
            </w:tcBorders>
            <w:tcMar>
              <w:left w:w="28" w:type="dxa"/>
              <w:right w:w="28" w:type="dxa"/>
            </w:tcMar>
            <w:vAlign w:val="center"/>
          </w:tcPr>
          <w:p>
            <w:pPr>
              <w:pStyle w:val="363"/>
              <w:spacing w:line="360" w:lineRule="exact"/>
              <w:rPr>
                <w:sz w:val="18"/>
                <w:szCs w:val="18"/>
              </w:rPr>
            </w:pPr>
            <w:r>
              <w:rPr>
                <w:rFonts w:hint="eastAsia" w:eastAsia="宋体"/>
              </w:rPr>
              <w:t>80</w:t>
            </w:r>
          </w:p>
        </w:tc>
        <w:tc>
          <w:tcPr>
            <w:tcW w:w="3992" w:type="dxa"/>
            <w:tcBorders>
              <w:tl2br w:val="nil"/>
              <w:tr2bl w:val="nil"/>
            </w:tcBorders>
            <w:tcMar>
              <w:left w:w="28" w:type="dxa"/>
              <w:right w:w="28" w:type="dxa"/>
            </w:tcMar>
            <w:vAlign w:val="center"/>
          </w:tcPr>
          <w:p>
            <w:pPr>
              <w:pStyle w:val="363"/>
              <w:spacing w:line="360" w:lineRule="exact"/>
              <w:rPr>
                <w:sz w:val="18"/>
                <w:szCs w:val="18"/>
              </w:rPr>
            </w:pPr>
            <w:r>
              <w:rPr>
                <w:rFonts w:hint="eastAsia" w:eastAsia="宋体"/>
              </w:rPr>
              <w:t>选用低噪声设备，</w:t>
            </w:r>
            <w:r>
              <w:rPr>
                <w:rFonts w:eastAsia="宋体"/>
              </w:rPr>
              <w:t>严格管理</w:t>
            </w:r>
          </w:p>
        </w:tc>
        <w:tc>
          <w:tcPr>
            <w:tcW w:w="1161" w:type="dxa"/>
            <w:tcBorders>
              <w:tl2br w:val="nil"/>
              <w:tr2bl w:val="nil"/>
            </w:tcBorders>
            <w:tcMar>
              <w:left w:w="28" w:type="dxa"/>
              <w:right w:w="28" w:type="dxa"/>
            </w:tcMar>
            <w:vAlign w:val="center"/>
          </w:tcPr>
          <w:p>
            <w:pPr>
              <w:pStyle w:val="363"/>
              <w:spacing w:line="360" w:lineRule="exact"/>
              <w:rPr>
                <w:sz w:val="18"/>
                <w:szCs w:val="18"/>
              </w:rPr>
            </w:pPr>
            <w:r>
              <w:rPr>
                <w:rFonts w:hint="eastAsia" w:eastAsia="宋体"/>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8" w:type="pct"/>
            <w:tcBorders>
              <w:tl2br w:val="nil"/>
              <w:tr2bl w:val="nil"/>
            </w:tcBorders>
            <w:tcMar>
              <w:left w:w="28" w:type="dxa"/>
              <w:right w:w="28" w:type="dxa"/>
            </w:tcMar>
            <w:vAlign w:val="center"/>
          </w:tcPr>
          <w:p>
            <w:pPr>
              <w:pStyle w:val="363"/>
              <w:spacing w:line="360" w:lineRule="exact"/>
              <w:rPr>
                <w:szCs w:val="21"/>
              </w:rPr>
            </w:pPr>
            <w:r>
              <w:rPr>
                <w:rFonts w:hint="eastAsia" w:ascii="宋体" w:hAnsi="宋体" w:eastAsia="宋体" w:cs="宋体"/>
                <w:szCs w:val="21"/>
              </w:rPr>
              <w:t>雾炮机</w:t>
            </w:r>
          </w:p>
        </w:tc>
        <w:tc>
          <w:tcPr>
            <w:tcW w:w="431" w:type="pct"/>
            <w:tcBorders>
              <w:tl2br w:val="nil"/>
              <w:tr2bl w:val="nil"/>
            </w:tcBorders>
            <w:tcMar>
              <w:left w:w="28" w:type="dxa"/>
              <w:right w:w="28" w:type="dxa"/>
            </w:tcMar>
            <w:vAlign w:val="center"/>
          </w:tcPr>
          <w:p>
            <w:pPr>
              <w:spacing w:line="360" w:lineRule="exact"/>
              <w:jc w:val="center"/>
              <w:rPr>
                <w:sz w:val="21"/>
                <w:szCs w:val="21"/>
              </w:rPr>
            </w:pPr>
            <w:r>
              <w:rPr>
                <w:rFonts w:hint="eastAsia"/>
                <w:sz w:val="21"/>
                <w:szCs w:val="21"/>
              </w:rPr>
              <w:t>2</w:t>
            </w:r>
          </w:p>
        </w:tc>
        <w:tc>
          <w:tcPr>
            <w:tcW w:w="1197" w:type="dxa"/>
            <w:tcBorders>
              <w:tl2br w:val="nil"/>
              <w:tr2bl w:val="nil"/>
            </w:tcBorders>
            <w:tcMar>
              <w:left w:w="28" w:type="dxa"/>
              <w:right w:w="28" w:type="dxa"/>
            </w:tcMar>
            <w:vAlign w:val="center"/>
          </w:tcPr>
          <w:p>
            <w:pPr>
              <w:pStyle w:val="363"/>
              <w:spacing w:line="360" w:lineRule="exact"/>
              <w:rPr>
                <w:szCs w:val="21"/>
              </w:rPr>
            </w:pPr>
            <w:r>
              <w:rPr>
                <w:rFonts w:hint="eastAsia" w:eastAsia="宋体"/>
                <w:szCs w:val="21"/>
              </w:rPr>
              <w:t>80</w:t>
            </w:r>
          </w:p>
        </w:tc>
        <w:tc>
          <w:tcPr>
            <w:tcW w:w="3992" w:type="dxa"/>
            <w:tcBorders>
              <w:tl2br w:val="nil"/>
              <w:tr2bl w:val="nil"/>
            </w:tcBorders>
            <w:tcMar>
              <w:left w:w="28" w:type="dxa"/>
              <w:right w:w="28" w:type="dxa"/>
            </w:tcMar>
            <w:vAlign w:val="center"/>
          </w:tcPr>
          <w:p>
            <w:pPr>
              <w:pStyle w:val="363"/>
              <w:spacing w:line="360" w:lineRule="exact"/>
              <w:rPr>
                <w:szCs w:val="21"/>
              </w:rPr>
            </w:pPr>
            <w:r>
              <w:rPr>
                <w:rFonts w:hint="eastAsia" w:eastAsia="宋体"/>
                <w:szCs w:val="21"/>
              </w:rPr>
              <w:t>选用低噪声设备</w:t>
            </w:r>
          </w:p>
        </w:tc>
        <w:tc>
          <w:tcPr>
            <w:tcW w:w="1161" w:type="dxa"/>
            <w:tcBorders>
              <w:tl2br w:val="nil"/>
              <w:tr2bl w:val="nil"/>
            </w:tcBorders>
            <w:tcMar>
              <w:left w:w="28" w:type="dxa"/>
              <w:right w:w="28" w:type="dxa"/>
            </w:tcMar>
            <w:vAlign w:val="center"/>
          </w:tcPr>
          <w:p>
            <w:pPr>
              <w:pStyle w:val="363"/>
              <w:spacing w:line="360" w:lineRule="exact"/>
              <w:rPr>
                <w:szCs w:val="21"/>
              </w:rPr>
            </w:pPr>
            <w:r>
              <w:rPr>
                <w:rFonts w:hint="eastAsia" w:eastAsia="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8" w:type="pct"/>
            <w:tcBorders>
              <w:tl2br w:val="nil"/>
              <w:tr2bl w:val="nil"/>
            </w:tcBorders>
            <w:tcMar>
              <w:left w:w="28" w:type="dxa"/>
              <w:right w:w="28" w:type="dxa"/>
            </w:tcMar>
            <w:vAlign w:val="center"/>
          </w:tcPr>
          <w:p>
            <w:pPr>
              <w:pStyle w:val="363"/>
              <w:spacing w:line="360" w:lineRule="exact"/>
              <w:rPr>
                <w:rFonts w:eastAsia="宋体"/>
              </w:rPr>
            </w:pPr>
            <w:r>
              <w:rPr>
                <w:rFonts w:hint="eastAsia" w:eastAsia="宋体"/>
              </w:rPr>
              <w:t>水泵</w:t>
            </w:r>
          </w:p>
        </w:tc>
        <w:tc>
          <w:tcPr>
            <w:tcW w:w="431" w:type="pct"/>
            <w:tcBorders>
              <w:tl2br w:val="nil"/>
              <w:tr2bl w:val="nil"/>
            </w:tcBorders>
            <w:tcMar>
              <w:left w:w="28" w:type="dxa"/>
              <w:right w:w="28" w:type="dxa"/>
            </w:tcMar>
            <w:vAlign w:val="center"/>
          </w:tcPr>
          <w:p>
            <w:pPr>
              <w:spacing w:line="360" w:lineRule="exact"/>
              <w:jc w:val="center"/>
              <w:rPr>
                <w:sz w:val="18"/>
                <w:szCs w:val="18"/>
              </w:rPr>
            </w:pPr>
            <w:r>
              <w:rPr>
                <w:rFonts w:hint="eastAsia"/>
                <w:sz w:val="18"/>
                <w:szCs w:val="18"/>
              </w:rPr>
              <w:t>1</w:t>
            </w:r>
          </w:p>
        </w:tc>
        <w:tc>
          <w:tcPr>
            <w:tcW w:w="1197" w:type="dxa"/>
            <w:tcBorders>
              <w:tl2br w:val="nil"/>
              <w:tr2bl w:val="nil"/>
            </w:tcBorders>
            <w:tcMar>
              <w:left w:w="28" w:type="dxa"/>
              <w:right w:w="28" w:type="dxa"/>
            </w:tcMar>
            <w:vAlign w:val="center"/>
          </w:tcPr>
          <w:p>
            <w:pPr>
              <w:pStyle w:val="363"/>
              <w:spacing w:line="360" w:lineRule="exact"/>
              <w:rPr>
                <w:rFonts w:eastAsia="宋体"/>
              </w:rPr>
            </w:pPr>
            <w:r>
              <w:rPr>
                <w:rFonts w:hint="eastAsia" w:eastAsia="宋体"/>
              </w:rPr>
              <w:t>100</w:t>
            </w:r>
          </w:p>
        </w:tc>
        <w:tc>
          <w:tcPr>
            <w:tcW w:w="3992" w:type="dxa"/>
            <w:tcBorders>
              <w:tl2br w:val="nil"/>
              <w:tr2bl w:val="nil"/>
            </w:tcBorders>
            <w:tcMar>
              <w:left w:w="28" w:type="dxa"/>
              <w:right w:w="28" w:type="dxa"/>
            </w:tcMar>
            <w:vAlign w:val="center"/>
          </w:tcPr>
          <w:p>
            <w:pPr>
              <w:pStyle w:val="363"/>
              <w:spacing w:line="360" w:lineRule="exact"/>
              <w:rPr>
                <w:rFonts w:eastAsia="宋体"/>
              </w:rPr>
            </w:pPr>
            <w:r>
              <w:rPr>
                <w:rFonts w:hint="eastAsia" w:eastAsia="宋体"/>
              </w:rPr>
              <w:t>选用低噪声设备，基础减振，封闭隔声</w:t>
            </w:r>
          </w:p>
        </w:tc>
        <w:tc>
          <w:tcPr>
            <w:tcW w:w="1161" w:type="dxa"/>
            <w:tcBorders>
              <w:tl2br w:val="nil"/>
              <w:tr2bl w:val="nil"/>
            </w:tcBorders>
            <w:tcMar>
              <w:left w:w="28" w:type="dxa"/>
              <w:right w:w="28" w:type="dxa"/>
            </w:tcMar>
            <w:vAlign w:val="center"/>
          </w:tcPr>
          <w:p>
            <w:pPr>
              <w:pStyle w:val="363"/>
              <w:spacing w:line="360" w:lineRule="exact"/>
              <w:rPr>
                <w:rFonts w:eastAsia="宋体"/>
              </w:rPr>
            </w:pPr>
            <w:r>
              <w:rPr>
                <w:rFonts w:hint="eastAsia" w:eastAsia="宋体"/>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8" w:type="pct"/>
            <w:tcBorders>
              <w:tl2br w:val="nil"/>
              <w:tr2bl w:val="nil"/>
            </w:tcBorders>
            <w:tcMar>
              <w:left w:w="28" w:type="dxa"/>
              <w:right w:w="28" w:type="dxa"/>
            </w:tcMar>
            <w:vAlign w:val="center"/>
          </w:tcPr>
          <w:p>
            <w:pPr>
              <w:pStyle w:val="363"/>
              <w:spacing w:line="360" w:lineRule="exact"/>
              <w:rPr>
                <w:sz w:val="18"/>
                <w:szCs w:val="18"/>
              </w:rPr>
            </w:pPr>
            <w:r>
              <w:rPr>
                <w:rFonts w:hint="eastAsia" w:eastAsia="宋体"/>
              </w:rPr>
              <w:t>运输车辆</w:t>
            </w:r>
          </w:p>
        </w:tc>
        <w:tc>
          <w:tcPr>
            <w:tcW w:w="431" w:type="pct"/>
            <w:tcBorders>
              <w:tl2br w:val="nil"/>
              <w:tr2bl w:val="nil"/>
            </w:tcBorders>
            <w:tcMar>
              <w:left w:w="28" w:type="dxa"/>
              <w:right w:w="28" w:type="dxa"/>
            </w:tcMar>
            <w:vAlign w:val="center"/>
          </w:tcPr>
          <w:p>
            <w:pPr>
              <w:spacing w:line="360" w:lineRule="exact"/>
              <w:jc w:val="center"/>
              <w:rPr>
                <w:sz w:val="18"/>
                <w:szCs w:val="18"/>
              </w:rPr>
            </w:pPr>
            <w:r>
              <w:rPr>
                <w:rFonts w:hint="eastAsia"/>
                <w:sz w:val="18"/>
                <w:szCs w:val="18"/>
              </w:rPr>
              <w:t>2</w:t>
            </w:r>
          </w:p>
        </w:tc>
        <w:tc>
          <w:tcPr>
            <w:tcW w:w="1197" w:type="dxa"/>
            <w:tcBorders>
              <w:tl2br w:val="nil"/>
              <w:tr2bl w:val="nil"/>
            </w:tcBorders>
            <w:tcMar>
              <w:left w:w="28" w:type="dxa"/>
              <w:right w:w="28" w:type="dxa"/>
            </w:tcMar>
            <w:vAlign w:val="center"/>
          </w:tcPr>
          <w:p>
            <w:pPr>
              <w:pStyle w:val="363"/>
              <w:spacing w:line="360" w:lineRule="exact"/>
              <w:rPr>
                <w:sz w:val="18"/>
                <w:szCs w:val="18"/>
              </w:rPr>
            </w:pPr>
            <w:r>
              <w:rPr>
                <w:rFonts w:hint="eastAsia"/>
                <w:sz w:val="18"/>
                <w:szCs w:val="18"/>
              </w:rPr>
              <w:t>80</w:t>
            </w:r>
          </w:p>
        </w:tc>
        <w:tc>
          <w:tcPr>
            <w:tcW w:w="3992" w:type="dxa"/>
            <w:tcBorders>
              <w:tl2br w:val="nil"/>
              <w:tr2bl w:val="nil"/>
            </w:tcBorders>
            <w:tcMar>
              <w:left w:w="28" w:type="dxa"/>
              <w:right w:w="28" w:type="dxa"/>
            </w:tcMar>
            <w:vAlign w:val="center"/>
          </w:tcPr>
          <w:p>
            <w:pPr>
              <w:pStyle w:val="363"/>
              <w:spacing w:line="360" w:lineRule="exact"/>
              <w:rPr>
                <w:sz w:val="18"/>
                <w:szCs w:val="18"/>
              </w:rPr>
            </w:pPr>
            <w:r>
              <w:rPr>
                <w:rFonts w:hint="eastAsia" w:eastAsia="宋体"/>
              </w:rPr>
              <w:t>限制车速、禁止鸣笛</w:t>
            </w:r>
          </w:p>
        </w:tc>
        <w:tc>
          <w:tcPr>
            <w:tcW w:w="1161" w:type="dxa"/>
            <w:tcBorders>
              <w:tl2br w:val="nil"/>
              <w:tr2bl w:val="nil"/>
            </w:tcBorders>
            <w:tcMar>
              <w:left w:w="28" w:type="dxa"/>
              <w:right w:w="28" w:type="dxa"/>
            </w:tcMar>
            <w:vAlign w:val="center"/>
          </w:tcPr>
          <w:p>
            <w:pPr>
              <w:pStyle w:val="363"/>
              <w:spacing w:line="360" w:lineRule="exact"/>
              <w:rPr>
                <w:sz w:val="18"/>
                <w:szCs w:val="18"/>
              </w:rPr>
            </w:pPr>
            <w:r>
              <w:rPr>
                <w:rFonts w:hint="eastAsia" w:eastAsia="宋体"/>
              </w:rPr>
              <w:t>80</w:t>
            </w:r>
          </w:p>
        </w:tc>
      </w:tr>
    </w:tbl>
    <w:p>
      <w:pPr>
        <w:pStyle w:val="6"/>
        <w:adjustRightInd w:val="0"/>
        <w:snapToGrid w:val="0"/>
        <w:spacing w:before="156" w:beforeLines="50" w:line="360" w:lineRule="auto"/>
        <w:rPr>
          <w:rFonts w:eastAsia="宋体"/>
          <w:bCs w:val="0"/>
          <w:i w:val="0"/>
          <w:color w:val="auto"/>
          <w:sz w:val="24"/>
          <w:szCs w:val="24"/>
        </w:rPr>
      </w:pPr>
      <w:r>
        <w:rPr>
          <w:rFonts w:eastAsia="宋体"/>
          <w:bCs w:val="0"/>
          <w:i w:val="0"/>
          <w:color w:val="auto"/>
          <w:sz w:val="24"/>
          <w:szCs w:val="24"/>
        </w:rPr>
        <w:t>5.3.2预测模式</w:t>
      </w:r>
    </w:p>
    <w:p>
      <w:pPr>
        <w:pStyle w:val="46"/>
        <w:spacing w:line="440" w:lineRule="exact"/>
        <w:ind w:firstLine="480" w:firstLineChars="200"/>
        <w:rPr>
          <w:rFonts w:ascii="Times New Roman" w:hAnsi="Times New Roman"/>
          <w:sz w:val="24"/>
          <w:szCs w:val="24"/>
        </w:rPr>
      </w:pPr>
      <w:r>
        <w:rPr>
          <w:rFonts w:ascii="Times New Roman" w:hAnsi="Times New Roman"/>
          <w:sz w:val="24"/>
          <w:szCs w:val="24"/>
        </w:rPr>
        <w:t>本项目各噪声源可分别视为一个整体意义上的点源。面源可看作由无数点声源连续分布组合而成，其合成声级可按能量叠加法求出。</w:t>
      </w:r>
    </w:p>
    <w:p>
      <w:pPr>
        <w:pStyle w:val="46"/>
        <w:spacing w:line="440" w:lineRule="exact"/>
        <w:ind w:firstLine="480" w:firstLineChars="200"/>
        <w:rPr>
          <w:rFonts w:ascii="Times New Roman" w:hAnsi="Times New Roman"/>
          <w:sz w:val="24"/>
          <w:szCs w:val="24"/>
        </w:rPr>
      </w:pPr>
      <w:r>
        <w:rPr>
          <w:rFonts w:ascii="Times New Roman" w:hAnsi="Times New Roman"/>
          <w:sz w:val="24"/>
          <w:szCs w:val="24"/>
        </w:rPr>
        <w:t>①点源随距离衰减的计算公式为：</w:t>
      </w:r>
    </w:p>
    <w:p>
      <w:pPr>
        <w:spacing w:line="460" w:lineRule="exact"/>
        <w:ind w:firstLine="720" w:firstLineChars="300"/>
      </w:pPr>
      <w:r>
        <w:rPr>
          <w:position w:val="-14"/>
        </w:rPr>
        <w:object>
          <v:shape id="_x0000_i1031" o:spt="75" type="#_x0000_t75" style="height:20.4pt;width:310.15pt;" o:ole="t" filled="f" o:preferrelative="t" stroked="f" coordsize="21600,21600">
            <v:path/>
            <v:fill on="f" focussize="0,0"/>
            <v:stroke on="f" joinstyle="miter"/>
            <v:imagedata r:id="rId48" o:title=""/>
            <o:lock v:ext="edit" aspectratio="t"/>
            <w10:wrap type="none"/>
            <w10:anchorlock/>
          </v:shape>
          <o:OLEObject Type="Embed" ProgID="Equation.3" ShapeID="_x0000_i1031" DrawAspect="Content" ObjectID="_1468075731" r:id="rId47">
            <o:LockedField>false</o:LockedField>
          </o:OLEObject>
        </w:object>
      </w:r>
    </w:p>
    <w:p>
      <w:pPr>
        <w:spacing w:line="460" w:lineRule="exact"/>
      </w:pPr>
      <w:r>
        <w:t>式中：</w:t>
      </w:r>
      <w:r>
        <w:object>
          <v:shape id="_x0000_i1032" o:spt="75" type="#_x0000_t75" style="height:19pt;width:24.95pt;" o:ole="t" filled="f" o:preferrelative="t" stroked="f" coordsize="21600,21600">
            <v:path/>
            <v:fill on="f" focussize="0,0"/>
            <v:stroke on="f" joinstyle="miter"/>
            <v:imagedata r:id="rId50" o:title=""/>
            <o:lock v:ext="edit" aspectratio="t"/>
            <w10:wrap type="none"/>
            <w10:anchorlock/>
          </v:shape>
          <o:OLEObject Type="Embed" ProgID="Equation.3" ShapeID="_x0000_i1032" DrawAspect="Content" ObjectID="_1468075732" r:id="rId49">
            <o:LockedField>false</o:LockedField>
          </o:OLEObject>
        </w:object>
      </w:r>
      <w:r>
        <w:t>——距声源r处的A声级，dB(A)；</w:t>
      </w:r>
    </w:p>
    <w:p>
      <w:pPr>
        <w:spacing w:line="460" w:lineRule="exact"/>
        <w:ind w:firstLine="795"/>
      </w:pPr>
      <w:r>
        <w:object>
          <v:shape id="_x0000_i1033" o:spt="75" type="#_x0000_t75" style="height:19pt;width:37pt;" o:ole="t" filled="f" o:preferrelative="t" stroked="f" coordsize="21600,21600">
            <v:path/>
            <v:fill on="f" focussize="0,0"/>
            <v:stroke on="f" joinstyle="miter"/>
            <v:imagedata r:id="rId52" o:title=""/>
            <o:lock v:ext="edit" aspectratio="t"/>
            <w10:wrap type="none"/>
            <w10:anchorlock/>
          </v:shape>
          <o:OLEObject Type="Embed" ProgID="Equation.3" ShapeID="_x0000_i1033" DrawAspect="Content" ObjectID="_1468075733" r:id="rId51">
            <o:LockedField>false</o:LockedField>
          </o:OLEObject>
        </w:object>
      </w:r>
      <w:r>
        <w:t>——参考位置r</w:t>
      </w:r>
      <w:r>
        <w:rPr>
          <w:vertAlign w:val="subscript"/>
        </w:rPr>
        <w:t>0</w:t>
      </w:r>
      <w:r>
        <w:t>处的A声级，dB(A)；</w:t>
      </w:r>
    </w:p>
    <w:p>
      <w:pPr>
        <w:spacing w:line="460" w:lineRule="exact"/>
        <w:ind w:firstLine="794"/>
      </w:pPr>
      <w:r>
        <w:object>
          <v:shape id="_x0000_i1034" o:spt="75" type="#_x0000_t75" style="height:18pt;width:21pt;" o:ole="t" filled="f" o:preferrelative="t" stroked="f" coordsize="21600,21600">
            <v:path/>
            <v:fill on="f" focussize="0,0"/>
            <v:stroke on="f" joinstyle="miter"/>
            <v:imagedata r:id="rId54" o:title=""/>
            <o:lock v:ext="edit" aspectratio="t"/>
            <w10:wrap type="none"/>
            <w10:anchorlock/>
          </v:shape>
          <o:OLEObject Type="Embed" ProgID="Equation.3" ShapeID="_x0000_i1034" DrawAspect="Content" ObjectID="_1468075734" r:id="rId53">
            <o:LockedField>false</o:LockedField>
          </o:OLEObject>
        </w:object>
      </w:r>
      <w:r>
        <w:t>--声波几何发散引起的A声级衰减量，dB(A)；</w:t>
      </w:r>
    </w:p>
    <w:p>
      <w:pPr>
        <w:spacing w:line="460" w:lineRule="exact"/>
        <w:ind w:firstLine="794"/>
      </w:pPr>
      <w:r>
        <w:object>
          <v:shape id="_x0000_i1035" o:spt="75" type="#_x0000_t75" style="height:18pt;width:22pt;" o:ole="t" filled="f" o:preferrelative="t" stroked="f" coordsize="21600,21600">
            <v:path/>
            <v:fill on="f" focussize="0,0"/>
            <v:stroke on="f" joinstyle="miter"/>
            <v:imagedata r:id="rId56" o:title=""/>
            <o:lock v:ext="edit" aspectratio="t"/>
            <w10:wrap type="none"/>
            <w10:anchorlock/>
          </v:shape>
          <o:OLEObject Type="Embed" ProgID="Equation.3" ShapeID="_x0000_i1035" DrawAspect="Content" ObjectID="_1468075735" r:id="rId55">
            <o:LockedField>false</o:LockedField>
          </o:OLEObject>
        </w:object>
      </w:r>
      <w:r>
        <w:t>--声屏引起的A声级衰减量，dB(A)；</w:t>
      </w:r>
    </w:p>
    <w:p>
      <w:pPr>
        <w:spacing w:line="460" w:lineRule="exact"/>
        <w:ind w:firstLine="794"/>
      </w:pPr>
      <w:r>
        <w:rPr>
          <w:position w:val="-6"/>
        </w:rPr>
        <w:object>
          <v:shape id="_x0000_i1036" o:spt="75" type="#_x0000_t75" style="height:13.95pt;width:23pt;" o:ole="t" filled="f" o:preferrelative="t" stroked="f" coordsize="21600,21600">
            <v:path/>
            <v:fill on="f" focussize="0,0"/>
            <v:stroke on="f" joinstyle="miter"/>
            <v:imagedata r:id="rId58" o:title=""/>
            <o:lock v:ext="edit" aspectratio="t"/>
            <w10:wrap type="none"/>
            <w10:anchorlock/>
          </v:shape>
          <o:OLEObject Type="Embed" ProgID="Equation.3" ShapeID="_x0000_i1036" DrawAspect="Content" ObjectID="_1468075736" r:id="rId57">
            <o:LockedField>false</o:LockedField>
          </o:OLEObject>
        </w:object>
      </w:r>
      <w:r>
        <w:t>--空气吸收引起的A声级衰减量，dB(A)；</w:t>
      </w:r>
    </w:p>
    <w:p>
      <w:pPr>
        <w:spacing w:line="460" w:lineRule="exact"/>
        <w:ind w:firstLine="794"/>
      </w:pPr>
      <w:r>
        <w:rPr>
          <w:position w:val="-8"/>
        </w:rPr>
        <w:object>
          <v:shape id="_x0000_i1037" o:spt="75" type="#_x0000_t75" style="height:15pt;width:19pt;" o:ole="t" filled="f" o:preferrelative="t" stroked="f" coordsize="21600,21600">
            <v:path/>
            <v:fill on="f" focussize="0,0"/>
            <v:stroke on="f" joinstyle="miter"/>
            <v:imagedata r:id="rId60" o:title=""/>
            <o:lock v:ext="edit" aspectratio="t"/>
            <w10:wrap type="none"/>
            <w10:anchorlock/>
          </v:shape>
          <o:OLEObject Type="Embed" ProgID="Equation.3" ShapeID="_x0000_i1037" DrawAspect="Content" ObjectID="_1468075737" r:id="rId59">
            <o:LockedField>false</o:LockedField>
          </o:OLEObject>
        </w:object>
      </w:r>
      <w:r>
        <w:t>--地面效应引起的A声级衰减量，dB(A)；</w:t>
      </w:r>
    </w:p>
    <w:p>
      <w:pPr>
        <w:spacing w:line="460" w:lineRule="exact"/>
        <w:ind w:firstLine="794"/>
      </w:pPr>
      <w:r>
        <w:rPr>
          <w:position w:val="-6"/>
        </w:rPr>
        <w:object>
          <v:shape id="_x0000_i1038" o:spt="75" type="#_x0000_t75" style="height:13.95pt;width:24.95pt;" o:ole="t" filled="f" o:preferrelative="t" stroked="f" coordsize="21600,21600">
            <v:path/>
            <v:fill on="f" focussize="0,0"/>
            <v:stroke on="f" joinstyle="miter"/>
            <v:imagedata r:id="rId62" o:title=""/>
            <o:lock v:ext="edit" aspectratio="t"/>
            <w10:wrap type="none"/>
            <w10:anchorlock/>
          </v:shape>
          <o:OLEObject Type="Embed" ProgID="Equation.3" ShapeID="_x0000_i1038" DrawAspect="Content" ObjectID="_1468075738" r:id="rId61">
            <o:LockedField>false</o:LockedField>
          </o:OLEObject>
        </w:object>
      </w:r>
      <w:r>
        <w:t>--其他方面效应引起的A声级衰减量，dB(A)；</w:t>
      </w:r>
    </w:p>
    <w:p>
      <w:pPr>
        <w:spacing w:line="440" w:lineRule="exact"/>
        <w:ind w:firstLine="480" w:firstLineChars="200"/>
      </w:pPr>
      <w:r>
        <w:t>实际计算中主要考虑厂区内各声源至受声点（预测点）的距离衰减，车间厂房的屏蔽作用及消音作用。</w:t>
      </w:r>
    </w:p>
    <w:p>
      <w:pPr>
        <w:spacing w:line="440" w:lineRule="exact"/>
        <w:ind w:firstLine="480" w:firstLineChars="200"/>
      </w:pPr>
      <w:r>
        <w:t>②建设项目声源在预测点的等效声级贡献值计算公式：</w:t>
      </w:r>
    </w:p>
    <w:p>
      <w:pPr>
        <w:spacing w:before="156" w:beforeLines="50" w:after="312" w:afterLines="100" w:line="440" w:lineRule="exact"/>
        <w:ind w:firstLine="480" w:firstLineChars="200"/>
      </w:pPr>
      <w:r>
        <w:rPr>
          <w:position w:val="-28"/>
        </w:rPr>
        <w:object>
          <v:shape id="_x0000_i1039" o:spt="75" type="#_x0000_t75" style="height:39.55pt;width:151.95pt;" o:ole="t" filled="f" o:preferrelative="t" stroked="f" coordsize="21600,21600">
            <v:path/>
            <v:fill on="f" focussize="0,0"/>
            <v:stroke on="f" joinstyle="miter"/>
            <v:imagedata r:id="rId64" o:title=""/>
            <o:lock v:ext="edit" aspectratio="t"/>
            <w10:wrap type="none"/>
            <w10:anchorlock/>
          </v:shape>
          <o:OLEObject Type="Embed" ProgID="Equation.DSMT4" ShapeID="_x0000_i1039" DrawAspect="Content" ObjectID="_1468075739" r:id="rId63">
            <o:LockedField>false</o:LockedField>
          </o:OLEObject>
        </w:object>
      </w:r>
    </w:p>
    <w:p>
      <w:pPr>
        <w:pStyle w:val="46"/>
        <w:spacing w:line="440" w:lineRule="exact"/>
        <w:ind w:firstLine="480" w:firstLineChars="200"/>
        <w:rPr>
          <w:rFonts w:ascii="Times New Roman" w:hAnsi="Times New Roman"/>
          <w:sz w:val="24"/>
          <w:szCs w:val="24"/>
        </w:rPr>
      </w:pPr>
      <w:r>
        <w:rPr>
          <w:rFonts w:ascii="Times New Roman" w:hAnsi="Times New Roman"/>
          <w:sz w:val="24"/>
          <w:szCs w:val="24"/>
        </w:rPr>
        <w:t>式中：</w:t>
      </w:r>
      <w:r>
        <w:rPr>
          <w:rFonts w:ascii="Times New Roman" w:hAnsi="Times New Roman"/>
          <w:position w:val="-14"/>
          <w:sz w:val="24"/>
          <w:szCs w:val="24"/>
        </w:rPr>
        <w:object>
          <v:shape id="_x0000_i1040" o:spt="75" type="#_x0000_t75" style="height:22.1pt;width:24.25pt;" o:ole="t" filled="f" o:preferrelative="t" stroked="f" coordsize="21600,21600">
            <v:path/>
            <v:fill on="f" focussize="0,0"/>
            <v:stroke on="f" joinstyle="miter"/>
            <v:imagedata r:id="rId66" o:title=""/>
            <o:lock v:ext="edit" aspectratio="t"/>
            <w10:wrap type="none"/>
            <w10:anchorlock/>
          </v:shape>
          <o:OLEObject Type="Embed" ProgID="Equation.DSMT4" ShapeID="_x0000_i1040" DrawAspect="Content" ObjectID="_1468075740" r:id="rId65">
            <o:LockedField>false</o:LockedField>
          </o:OLEObject>
        </w:object>
      </w:r>
      <w:r>
        <w:rPr>
          <w:rFonts w:ascii="Times New Roman" w:hAnsi="Times New Roman"/>
          <w:sz w:val="24"/>
          <w:szCs w:val="24"/>
        </w:rPr>
        <w:t>——建设项目声源在预测点的等效声级贡献值，dB(A)；</w:t>
      </w:r>
    </w:p>
    <w:p>
      <w:pPr>
        <w:pStyle w:val="46"/>
        <w:spacing w:line="440" w:lineRule="exact"/>
        <w:ind w:firstLine="1200" w:firstLineChars="500"/>
        <w:rPr>
          <w:rFonts w:ascii="Times New Roman" w:hAnsi="Times New Roman"/>
          <w:sz w:val="24"/>
          <w:szCs w:val="24"/>
        </w:rPr>
      </w:pPr>
      <w:r>
        <w:rPr>
          <w:rFonts w:ascii="Times New Roman" w:hAnsi="Times New Roman"/>
          <w:position w:val="-12"/>
          <w:sz w:val="24"/>
          <w:szCs w:val="24"/>
        </w:rPr>
        <w:object>
          <v:shape id="_x0000_i1041" o:spt="75" type="#_x0000_t75" style="height:21pt;width:22pt;" o:ole="t" filled="f" o:preferrelative="t" stroked="f" coordsize="21600,21600">
            <v:path/>
            <v:fill on="f" focussize="0,0"/>
            <v:stroke on="f" joinstyle="miter"/>
            <v:imagedata r:id="rId68" o:title=""/>
            <o:lock v:ext="edit" aspectratio="t"/>
            <w10:wrap type="none"/>
            <w10:anchorlock/>
          </v:shape>
          <o:OLEObject Type="Embed" ProgID="Equation.DSMT4" ShapeID="_x0000_i1041" DrawAspect="Content" ObjectID="_1468075741" r:id="rId67">
            <o:LockedField>false</o:LockedField>
          </o:OLEObject>
        </w:object>
      </w:r>
      <w:r>
        <w:rPr>
          <w:rFonts w:ascii="Times New Roman" w:hAnsi="Times New Roman"/>
          <w:sz w:val="24"/>
          <w:szCs w:val="24"/>
        </w:rPr>
        <w:t>——i声源在预测点产生的A声级，dB(A)；</w:t>
      </w:r>
    </w:p>
    <w:p>
      <w:pPr>
        <w:pStyle w:val="46"/>
        <w:spacing w:line="440" w:lineRule="exact"/>
        <w:ind w:firstLine="1200" w:firstLineChars="500"/>
        <w:rPr>
          <w:rFonts w:ascii="Times New Roman" w:hAnsi="Times New Roman"/>
          <w:sz w:val="24"/>
          <w:szCs w:val="24"/>
        </w:rPr>
      </w:pPr>
      <w:r>
        <w:rPr>
          <w:rFonts w:ascii="Times New Roman" w:hAnsi="Times New Roman"/>
          <w:position w:val="-4"/>
          <w:sz w:val="24"/>
          <w:szCs w:val="24"/>
        </w:rPr>
        <w:object>
          <v:shape id="_x0000_i1042" o:spt="75" type="#_x0000_t75" style="height:15.05pt;width:14.05pt;" o:ole="t" filled="f" o:preferrelative="t" stroked="f" coordsize="21600,21600">
            <v:path/>
            <v:fill on="f" focussize="0,0"/>
            <v:stroke on="f" joinstyle="miter"/>
            <v:imagedata r:id="rId70" o:title=""/>
            <o:lock v:ext="edit" aspectratio="t"/>
            <w10:wrap type="none"/>
            <w10:anchorlock/>
          </v:shape>
          <o:OLEObject Type="Embed" ProgID="Equation.DSMT4" ShapeID="_x0000_i1042" DrawAspect="Content" ObjectID="_1468075742" r:id="rId69">
            <o:LockedField>false</o:LockedField>
          </o:OLEObject>
        </w:object>
      </w:r>
      <w:r>
        <w:rPr>
          <w:rFonts w:ascii="Times New Roman" w:hAnsi="Times New Roman"/>
          <w:sz w:val="24"/>
          <w:szCs w:val="24"/>
        </w:rPr>
        <w:t>——预测计算的时间段，s；</w:t>
      </w:r>
    </w:p>
    <w:p>
      <w:pPr>
        <w:pStyle w:val="46"/>
        <w:spacing w:line="440" w:lineRule="exact"/>
        <w:ind w:firstLine="1200" w:firstLineChars="500"/>
        <w:rPr>
          <w:rFonts w:ascii="Times New Roman" w:hAnsi="Times New Roman"/>
          <w:sz w:val="24"/>
          <w:szCs w:val="24"/>
        </w:rPr>
      </w:pPr>
      <w:r>
        <w:rPr>
          <w:rFonts w:ascii="Times New Roman" w:hAnsi="Times New Roman"/>
          <w:position w:val="-12"/>
          <w:sz w:val="24"/>
          <w:szCs w:val="24"/>
        </w:rPr>
        <w:object>
          <v:shape id="_x0000_i1043" o:spt="75" type="#_x0000_t75" style="height:21pt;width:11.75pt;" o:ole="t" filled="f" o:preferrelative="t" stroked="f" coordsize="21600,21600">
            <v:path/>
            <v:fill on="f" focussize="0,0"/>
            <v:stroke on="f" joinstyle="miter"/>
            <v:imagedata r:id="rId72" o:title=""/>
            <o:lock v:ext="edit" aspectratio="t"/>
            <w10:wrap type="none"/>
            <w10:anchorlock/>
          </v:shape>
          <o:OLEObject Type="Embed" ProgID="Equation.3" ShapeID="_x0000_i1043" DrawAspect="Content" ObjectID="_1468075743" r:id="rId71">
            <o:LockedField>false</o:LockedField>
          </o:OLEObject>
        </w:object>
      </w:r>
      <w:r>
        <w:rPr>
          <w:rFonts w:ascii="Times New Roman" w:hAnsi="Times New Roman"/>
          <w:sz w:val="24"/>
          <w:szCs w:val="24"/>
        </w:rPr>
        <w:t>——i声源在T时段内的运行时间，s；</w:t>
      </w:r>
    </w:p>
    <w:p>
      <w:pPr>
        <w:pStyle w:val="6"/>
        <w:adjustRightInd w:val="0"/>
        <w:snapToGrid w:val="0"/>
        <w:spacing w:before="156" w:beforeLines="50" w:line="360" w:lineRule="auto"/>
        <w:rPr>
          <w:rFonts w:eastAsia="宋体"/>
          <w:bCs w:val="0"/>
          <w:i w:val="0"/>
          <w:color w:val="auto"/>
          <w:sz w:val="24"/>
          <w:szCs w:val="24"/>
        </w:rPr>
      </w:pPr>
      <w:r>
        <w:rPr>
          <w:rFonts w:eastAsia="宋体"/>
          <w:bCs w:val="0"/>
          <w:i w:val="0"/>
          <w:color w:val="auto"/>
          <w:sz w:val="24"/>
          <w:szCs w:val="24"/>
        </w:rPr>
        <w:t>5.3.3预测结果</w:t>
      </w:r>
    </w:p>
    <w:p>
      <w:pPr>
        <w:adjustRightInd w:val="0"/>
        <w:snapToGrid w:val="0"/>
        <w:spacing w:line="440" w:lineRule="exact"/>
        <w:ind w:firstLine="480" w:firstLineChars="200"/>
        <w:jc w:val="both"/>
        <w:rPr>
          <w:bCs/>
        </w:rPr>
      </w:pPr>
      <w:bookmarkStart w:id="290" w:name="_Toc395801276"/>
      <w:bookmarkStart w:id="291" w:name="_Toc399150424"/>
      <w:r>
        <w:rPr>
          <w:rFonts w:hint="eastAsia"/>
          <w:bCs/>
        </w:rPr>
        <w:t>（1）开采区噪声预测</w:t>
      </w:r>
    </w:p>
    <w:p>
      <w:pPr>
        <w:adjustRightInd w:val="0"/>
        <w:snapToGrid w:val="0"/>
        <w:spacing w:line="440" w:lineRule="exact"/>
        <w:ind w:firstLine="480" w:firstLineChars="200"/>
        <w:jc w:val="both"/>
        <w:rPr>
          <w:bCs/>
        </w:rPr>
      </w:pPr>
      <w:r>
        <w:rPr>
          <w:rFonts w:hint="eastAsia"/>
          <w:bCs/>
        </w:rPr>
        <w:t>由于采场产噪设备分散，位置不确定，不易准确预测边界噪声，本次评价将采场各产噪设备按点源计，考虑其几何发散衰减，由无指向性点声源几何发散衰减的基本公式计算得到噪声在衰减与距离之间的关系。</w:t>
      </w:r>
    </w:p>
    <w:p>
      <w:pPr>
        <w:adjustRightInd w:val="0"/>
        <w:snapToGrid w:val="0"/>
        <w:spacing w:line="440" w:lineRule="exact"/>
        <w:ind w:firstLine="480" w:firstLineChars="200"/>
        <w:jc w:val="both"/>
        <w:rPr>
          <w:bCs/>
        </w:rPr>
      </w:pPr>
      <w:r>
        <w:t>考虑到机械同时运行对环境的影响将增加</w:t>
      </w:r>
      <w:r>
        <w:rPr>
          <w:rFonts w:hint="eastAsia"/>
        </w:rPr>
        <w:t>，</w:t>
      </w:r>
      <w:r>
        <w:t>评价对同时运行产噪设备进行噪声叠加</w:t>
      </w:r>
      <w:r>
        <w:rPr>
          <w:rFonts w:hint="eastAsia"/>
        </w:rPr>
        <w:t>，开采区产噪设备主要包括挖掘机、装载机、移动雾炮机和运输车辆等，</w:t>
      </w:r>
      <w:r>
        <w:t>噪声叠加结果见表5</w:t>
      </w:r>
      <w:r>
        <w:rPr>
          <w:rFonts w:hint="eastAsia"/>
        </w:rPr>
        <w:t>.</w:t>
      </w:r>
      <w:r>
        <w:t>3-2</w:t>
      </w:r>
      <w:r>
        <w:rPr>
          <w:rFonts w:hint="eastAsia"/>
        </w:rPr>
        <w:t>。</w:t>
      </w:r>
    </w:p>
    <w:p>
      <w:pPr>
        <w:pStyle w:val="362"/>
        <w:spacing w:before="156"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 xml:space="preserve">5.3-2 </w:t>
      </w:r>
      <w:r>
        <w:rPr>
          <w:rFonts w:hint="eastAsia" w:ascii="黑体" w:hAnsi="黑体" w:eastAsia="黑体" w:cs="黑体"/>
          <w:sz w:val="21"/>
          <w:szCs w:val="21"/>
        </w:rPr>
        <w:t xml:space="preserve"> 同时运行噪声源叠加结果表</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3599"/>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5" w:type="pct"/>
            <w:vAlign w:val="center"/>
          </w:tcPr>
          <w:p>
            <w:pPr>
              <w:pStyle w:val="363"/>
              <w:spacing w:line="360" w:lineRule="exact"/>
              <w:rPr>
                <w:rFonts w:eastAsia="宋体"/>
              </w:rPr>
            </w:pPr>
            <w:r>
              <w:rPr>
                <w:rFonts w:eastAsia="宋体"/>
              </w:rPr>
              <w:t>噪声源</w:t>
            </w:r>
          </w:p>
        </w:tc>
        <w:tc>
          <w:tcPr>
            <w:tcW w:w="1962" w:type="pct"/>
            <w:vAlign w:val="center"/>
          </w:tcPr>
          <w:p>
            <w:pPr>
              <w:pStyle w:val="363"/>
              <w:spacing w:line="360" w:lineRule="exact"/>
              <w:rPr>
                <w:rFonts w:eastAsia="宋体"/>
              </w:rPr>
            </w:pPr>
            <w:r>
              <w:rPr>
                <w:rFonts w:eastAsia="宋体"/>
              </w:rPr>
              <w:t>噪声强度dB</w:t>
            </w:r>
            <w:r>
              <w:rPr>
                <w:rFonts w:hint="eastAsia" w:eastAsia="宋体"/>
              </w:rPr>
              <w:t>（</w:t>
            </w:r>
            <w:r>
              <w:rPr>
                <w:rFonts w:eastAsia="宋体"/>
              </w:rPr>
              <w:t>A</w:t>
            </w:r>
            <w:r>
              <w:rPr>
                <w:rFonts w:hint="eastAsia" w:eastAsia="宋体"/>
              </w:rPr>
              <w:t>）</w:t>
            </w:r>
          </w:p>
        </w:tc>
        <w:tc>
          <w:tcPr>
            <w:tcW w:w="1962" w:type="pct"/>
            <w:vAlign w:val="center"/>
          </w:tcPr>
          <w:p>
            <w:pPr>
              <w:pStyle w:val="363"/>
              <w:spacing w:line="360" w:lineRule="exact"/>
              <w:rPr>
                <w:rFonts w:eastAsia="宋体"/>
              </w:rPr>
            </w:pPr>
            <w:r>
              <w:rPr>
                <w:rFonts w:eastAsia="宋体"/>
              </w:rPr>
              <w:t>叠加结果dB</w:t>
            </w:r>
            <w:r>
              <w:rPr>
                <w:rFonts w:hint="eastAsia" w:eastAsia="宋体"/>
              </w:rPr>
              <w:t>（</w:t>
            </w:r>
            <w:r>
              <w:rPr>
                <w:rFonts w:eastAsia="宋体"/>
              </w:rPr>
              <w:t>A</w:t>
            </w:r>
            <w:r>
              <w:rPr>
                <w:rFonts w:hint="eastAsia"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5" w:type="pct"/>
            <w:vAlign w:val="center"/>
          </w:tcPr>
          <w:p>
            <w:pPr>
              <w:pStyle w:val="363"/>
              <w:spacing w:line="360" w:lineRule="exact"/>
              <w:rPr>
                <w:rFonts w:eastAsia="宋体"/>
              </w:rPr>
            </w:pPr>
            <w:r>
              <w:rPr>
                <w:rFonts w:eastAsia="宋体"/>
              </w:rPr>
              <w:t>挖掘机</w:t>
            </w:r>
          </w:p>
        </w:tc>
        <w:tc>
          <w:tcPr>
            <w:tcW w:w="1962" w:type="pct"/>
            <w:vAlign w:val="center"/>
          </w:tcPr>
          <w:p>
            <w:pPr>
              <w:pStyle w:val="363"/>
              <w:spacing w:line="360" w:lineRule="exact"/>
              <w:rPr>
                <w:rFonts w:eastAsia="宋体"/>
              </w:rPr>
            </w:pPr>
            <w:r>
              <w:rPr>
                <w:rFonts w:hint="eastAsia" w:eastAsia="宋体"/>
              </w:rPr>
              <w:t>90</w:t>
            </w:r>
          </w:p>
        </w:tc>
        <w:tc>
          <w:tcPr>
            <w:tcW w:w="1962" w:type="pct"/>
            <w:vMerge w:val="restart"/>
            <w:vAlign w:val="center"/>
          </w:tcPr>
          <w:p>
            <w:pPr>
              <w:pStyle w:val="363"/>
              <w:spacing w:line="360" w:lineRule="exact"/>
              <w:rPr>
                <w:rFonts w:eastAsia="宋体"/>
              </w:rPr>
            </w:pPr>
            <w:r>
              <w:rPr>
                <w:rFonts w:hint="eastAsia" w:eastAsia="宋体"/>
              </w:rPr>
              <w:t>91.14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5" w:type="pct"/>
            <w:vAlign w:val="center"/>
          </w:tcPr>
          <w:p>
            <w:pPr>
              <w:pStyle w:val="363"/>
              <w:spacing w:line="360" w:lineRule="exact"/>
              <w:rPr>
                <w:rFonts w:eastAsia="宋体"/>
              </w:rPr>
            </w:pPr>
            <w:r>
              <w:rPr>
                <w:rFonts w:eastAsia="宋体"/>
              </w:rPr>
              <w:t>装载机</w:t>
            </w:r>
          </w:p>
        </w:tc>
        <w:tc>
          <w:tcPr>
            <w:tcW w:w="1962" w:type="pct"/>
            <w:vAlign w:val="center"/>
          </w:tcPr>
          <w:p>
            <w:pPr>
              <w:pStyle w:val="363"/>
              <w:spacing w:line="360" w:lineRule="exact"/>
              <w:rPr>
                <w:rFonts w:eastAsia="宋体"/>
              </w:rPr>
            </w:pPr>
            <w:r>
              <w:rPr>
                <w:rFonts w:eastAsia="宋体"/>
              </w:rPr>
              <w:t>80</w:t>
            </w:r>
          </w:p>
        </w:tc>
        <w:tc>
          <w:tcPr>
            <w:tcW w:w="1962" w:type="pct"/>
            <w:vMerge w:val="continue"/>
            <w:vAlign w:val="center"/>
          </w:tcPr>
          <w:p>
            <w:pPr>
              <w:pStyle w:val="363"/>
              <w:spacing w:line="360" w:lineRule="exact"/>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5" w:type="pct"/>
            <w:vAlign w:val="center"/>
          </w:tcPr>
          <w:p>
            <w:pPr>
              <w:pStyle w:val="363"/>
              <w:spacing w:line="360" w:lineRule="exact"/>
              <w:rPr>
                <w:rFonts w:eastAsia="宋体"/>
              </w:rPr>
            </w:pPr>
            <w:r>
              <w:rPr>
                <w:rFonts w:hint="eastAsia" w:eastAsia="宋体"/>
              </w:rPr>
              <w:t>雾炮机</w:t>
            </w:r>
          </w:p>
        </w:tc>
        <w:tc>
          <w:tcPr>
            <w:tcW w:w="1962" w:type="pct"/>
            <w:vAlign w:val="center"/>
          </w:tcPr>
          <w:p>
            <w:pPr>
              <w:pStyle w:val="363"/>
              <w:spacing w:line="360" w:lineRule="exact"/>
              <w:rPr>
                <w:rFonts w:eastAsia="宋体"/>
              </w:rPr>
            </w:pPr>
            <w:r>
              <w:rPr>
                <w:rFonts w:hint="eastAsia" w:eastAsia="宋体"/>
              </w:rPr>
              <w:t>80</w:t>
            </w:r>
          </w:p>
        </w:tc>
        <w:tc>
          <w:tcPr>
            <w:tcW w:w="1962" w:type="pct"/>
            <w:vMerge w:val="continue"/>
            <w:vAlign w:val="center"/>
          </w:tcPr>
          <w:p>
            <w:pPr>
              <w:pStyle w:val="363"/>
              <w:spacing w:line="360" w:lineRule="exact"/>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5" w:type="pct"/>
            <w:vAlign w:val="center"/>
          </w:tcPr>
          <w:p>
            <w:pPr>
              <w:pStyle w:val="363"/>
              <w:spacing w:line="360" w:lineRule="exact"/>
              <w:rPr>
                <w:rFonts w:eastAsia="宋体"/>
              </w:rPr>
            </w:pPr>
            <w:r>
              <w:rPr>
                <w:rFonts w:hint="eastAsia" w:eastAsia="宋体"/>
              </w:rPr>
              <w:t>运输车辆</w:t>
            </w:r>
          </w:p>
        </w:tc>
        <w:tc>
          <w:tcPr>
            <w:tcW w:w="1962" w:type="pct"/>
            <w:vAlign w:val="center"/>
          </w:tcPr>
          <w:p>
            <w:pPr>
              <w:pStyle w:val="363"/>
              <w:spacing w:line="360" w:lineRule="exact"/>
              <w:rPr>
                <w:rFonts w:eastAsia="宋体"/>
              </w:rPr>
            </w:pPr>
            <w:r>
              <w:rPr>
                <w:rFonts w:hint="eastAsia" w:eastAsia="宋体"/>
              </w:rPr>
              <w:t>80</w:t>
            </w:r>
          </w:p>
        </w:tc>
        <w:tc>
          <w:tcPr>
            <w:tcW w:w="1962" w:type="pct"/>
            <w:vMerge w:val="continue"/>
            <w:vAlign w:val="center"/>
          </w:tcPr>
          <w:p>
            <w:pPr>
              <w:pStyle w:val="363"/>
              <w:spacing w:line="360" w:lineRule="exact"/>
              <w:rPr>
                <w:rFonts w:eastAsia="宋体"/>
              </w:rPr>
            </w:pPr>
          </w:p>
        </w:tc>
      </w:tr>
    </w:tbl>
    <w:p>
      <w:pPr>
        <w:adjustRightInd w:val="0"/>
        <w:snapToGrid w:val="0"/>
        <w:spacing w:line="440" w:lineRule="exact"/>
        <w:ind w:firstLine="480" w:firstLineChars="200"/>
        <w:jc w:val="both"/>
        <w:rPr>
          <w:bCs/>
        </w:rPr>
      </w:pPr>
      <w:r>
        <w:t>由无指向性点声源几何发散衰减的基本公式计算得到噪声在衰减与距离之间的关系如表5</w:t>
      </w:r>
      <w:r>
        <w:rPr>
          <w:rFonts w:hint="eastAsia"/>
        </w:rPr>
        <w:t>.</w:t>
      </w:r>
      <w:r>
        <w:t>3-3</w:t>
      </w:r>
      <w:r>
        <w:rPr>
          <w:rFonts w:hint="eastAsia"/>
        </w:rPr>
        <w:t>。</w:t>
      </w:r>
    </w:p>
    <w:p>
      <w:pPr>
        <w:pStyle w:val="362"/>
        <w:spacing w:before="156"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 xml:space="preserve">5.3-3 </w:t>
      </w:r>
      <w:r>
        <w:rPr>
          <w:rFonts w:hint="eastAsia" w:ascii="黑体" w:hAnsi="黑体" w:eastAsia="黑体" w:cs="黑体"/>
          <w:sz w:val="21"/>
          <w:szCs w:val="21"/>
        </w:rPr>
        <w:t xml:space="preserve"> 各声源叠加噪声衰减与距离关系</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0"/>
        <w:gridCol w:w="1035"/>
        <w:gridCol w:w="1136"/>
        <w:gridCol w:w="996"/>
        <w:gridCol w:w="1097"/>
        <w:gridCol w:w="1097"/>
        <w:gridCol w:w="950"/>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vAlign w:val="center"/>
          </w:tcPr>
          <w:p>
            <w:pPr>
              <w:pStyle w:val="363"/>
              <w:spacing w:line="360" w:lineRule="exact"/>
              <w:rPr>
                <w:rFonts w:eastAsia="宋体"/>
              </w:rPr>
            </w:pPr>
            <w:r>
              <w:rPr>
                <w:rFonts w:eastAsia="宋体"/>
              </w:rPr>
              <w:t>噪声强度dB</w:t>
            </w:r>
            <w:r>
              <w:rPr>
                <w:rFonts w:hint="eastAsia" w:eastAsia="宋体"/>
              </w:rPr>
              <w:t>（</w:t>
            </w:r>
            <w:r>
              <w:rPr>
                <w:rFonts w:eastAsia="宋体"/>
              </w:rPr>
              <w:t>A</w:t>
            </w:r>
            <w:r>
              <w:rPr>
                <w:rFonts w:hint="eastAsia" w:eastAsia="宋体"/>
              </w:rPr>
              <w:t>）</w:t>
            </w:r>
          </w:p>
        </w:tc>
        <w:tc>
          <w:tcPr>
            <w:tcW w:w="564" w:type="pct"/>
            <w:vAlign w:val="center"/>
          </w:tcPr>
          <w:p>
            <w:pPr>
              <w:pStyle w:val="363"/>
              <w:spacing w:line="360" w:lineRule="exact"/>
              <w:rPr>
                <w:rFonts w:eastAsia="宋体"/>
              </w:rPr>
            </w:pPr>
            <w:r>
              <w:rPr>
                <w:rFonts w:eastAsia="宋体"/>
              </w:rPr>
              <w:t>20m</w:t>
            </w:r>
          </w:p>
        </w:tc>
        <w:tc>
          <w:tcPr>
            <w:tcW w:w="619" w:type="pct"/>
            <w:vAlign w:val="center"/>
          </w:tcPr>
          <w:p>
            <w:pPr>
              <w:pStyle w:val="363"/>
              <w:spacing w:line="360" w:lineRule="exact"/>
              <w:rPr>
                <w:rFonts w:eastAsia="宋体"/>
              </w:rPr>
            </w:pPr>
            <w:r>
              <w:rPr>
                <w:rFonts w:hint="eastAsia" w:eastAsia="宋体"/>
              </w:rPr>
              <w:t>4</w:t>
            </w:r>
            <w:r>
              <w:rPr>
                <w:rFonts w:eastAsia="宋体"/>
              </w:rPr>
              <w:t>0m</w:t>
            </w:r>
          </w:p>
        </w:tc>
        <w:tc>
          <w:tcPr>
            <w:tcW w:w="543" w:type="pct"/>
            <w:vAlign w:val="center"/>
          </w:tcPr>
          <w:p>
            <w:pPr>
              <w:pStyle w:val="363"/>
              <w:spacing w:line="360" w:lineRule="exact"/>
              <w:rPr>
                <w:rFonts w:eastAsia="宋体"/>
              </w:rPr>
            </w:pPr>
            <w:r>
              <w:rPr>
                <w:rFonts w:hint="eastAsia" w:eastAsia="宋体"/>
                <w:lang w:val="en-US" w:eastAsia="zh-CN"/>
              </w:rPr>
              <w:t>7</w:t>
            </w:r>
            <w:r>
              <w:rPr>
                <w:rFonts w:eastAsia="宋体"/>
              </w:rPr>
              <w:t>0m</w:t>
            </w:r>
          </w:p>
        </w:tc>
        <w:tc>
          <w:tcPr>
            <w:tcW w:w="598" w:type="pct"/>
            <w:vAlign w:val="center"/>
          </w:tcPr>
          <w:p>
            <w:pPr>
              <w:pStyle w:val="363"/>
              <w:spacing w:line="360" w:lineRule="exact"/>
              <w:rPr>
                <w:rFonts w:hint="default" w:eastAsia="宋体"/>
                <w:lang w:val="en-US" w:eastAsia="zh-CN"/>
              </w:rPr>
            </w:pPr>
            <w:r>
              <w:rPr>
                <w:rFonts w:hint="eastAsia" w:eastAsia="宋体"/>
                <w:lang w:val="en-US" w:eastAsia="zh-CN"/>
              </w:rPr>
              <w:t>100m</w:t>
            </w:r>
          </w:p>
        </w:tc>
        <w:tc>
          <w:tcPr>
            <w:tcW w:w="598" w:type="pct"/>
            <w:vAlign w:val="center"/>
          </w:tcPr>
          <w:p>
            <w:pPr>
              <w:pStyle w:val="363"/>
              <w:spacing w:line="360" w:lineRule="exact"/>
              <w:rPr>
                <w:rFonts w:eastAsia="宋体"/>
              </w:rPr>
            </w:pPr>
            <w:r>
              <w:rPr>
                <w:rFonts w:eastAsia="宋体"/>
              </w:rPr>
              <w:t>200m</w:t>
            </w:r>
          </w:p>
        </w:tc>
        <w:tc>
          <w:tcPr>
            <w:tcW w:w="518" w:type="pct"/>
            <w:vAlign w:val="center"/>
          </w:tcPr>
          <w:p>
            <w:pPr>
              <w:pStyle w:val="363"/>
              <w:spacing w:line="360" w:lineRule="exact"/>
              <w:rPr>
                <w:rFonts w:eastAsia="宋体"/>
              </w:rPr>
            </w:pPr>
            <w:r>
              <w:rPr>
                <w:rFonts w:eastAsia="宋体"/>
              </w:rPr>
              <w:t>300m</w:t>
            </w:r>
          </w:p>
        </w:tc>
        <w:tc>
          <w:tcPr>
            <w:tcW w:w="559" w:type="pct"/>
            <w:vAlign w:val="center"/>
          </w:tcPr>
          <w:p>
            <w:pPr>
              <w:pStyle w:val="363"/>
              <w:spacing w:line="360" w:lineRule="exact"/>
              <w:rPr>
                <w:rFonts w:eastAsia="宋体"/>
              </w:rPr>
            </w:pPr>
            <w:r>
              <w:rPr>
                <w:rFonts w:eastAsia="宋体"/>
              </w:rP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vAlign w:val="center"/>
          </w:tcPr>
          <w:p>
            <w:pPr>
              <w:pStyle w:val="363"/>
              <w:spacing w:line="360" w:lineRule="exact"/>
              <w:rPr>
                <w:rFonts w:eastAsia="宋体"/>
              </w:rPr>
            </w:pPr>
            <w:r>
              <w:rPr>
                <w:rFonts w:hint="eastAsia" w:eastAsia="宋体"/>
              </w:rPr>
              <w:t>91.14</w:t>
            </w:r>
          </w:p>
        </w:tc>
        <w:tc>
          <w:tcPr>
            <w:tcW w:w="564" w:type="pct"/>
            <w:vAlign w:val="center"/>
          </w:tcPr>
          <w:p>
            <w:pPr>
              <w:pStyle w:val="363"/>
              <w:spacing w:line="360" w:lineRule="exact"/>
              <w:rPr>
                <w:rFonts w:eastAsia="宋体"/>
              </w:rPr>
            </w:pPr>
            <w:r>
              <w:rPr>
                <w:rFonts w:hint="eastAsia" w:eastAsia="宋体"/>
              </w:rPr>
              <w:t>65.12</w:t>
            </w:r>
          </w:p>
        </w:tc>
        <w:tc>
          <w:tcPr>
            <w:tcW w:w="619" w:type="pct"/>
            <w:vAlign w:val="center"/>
          </w:tcPr>
          <w:p>
            <w:pPr>
              <w:pStyle w:val="363"/>
              <w:spacing w:line="360" w:lineRule="exact"/>
              <w:rPr>
                <w:rFonts w:eastAsia="宋体"/>
              </w:rPr>
            </w:pPr>
            <w:r>
              <w:rPr>
                <w:rFonts w:hint="eastAsia" w:eastAsia="宋体"/>
              </w:rPr>
              <w:t>59.10</w:t>
            </w:r>
          </w:p>
        </w:tc>
        <w:tc>
          <w:tcPr>
            <w:tcW w:w="543" w:type="pct"/>
            <w:vAlign w:val="center"/>
          </w:tcPr>
          <w:p>
            <w:pPr>
              <w:pStyle w:val="363"/>
              <w:spacing w:line="360" w:lineRule="exact"/>
              <w:rPr>
                <w:rFonts w:hint="default" w:eastAsia="宋体"/>
                <w:lang w:val="en-US" w:eastAsia="zh-CN"/>
              </w:rPr>
            </w:pPr>
            <w:r>
              <w:rPr>
                <w:rFonts w:hint="eastAsia" w:eastAsia="宋体"/>
              </w:rPr>
              <w:t>5</w:t>
            </w:r>
            <w:r>
              <w:rPr>
                <w:rFonts w:hint="eastAsia" w:eastAsia="宋体"/>
                <w:lang w:val="en-US" w:eastAsia="zh-CN"/>
              </w:rPr>
              <w:t>4.24</w:t>
            </w:r>
          </w:p>
        </w:tc>
        <w:tc>
          <w:tcPr>
            <w:tcW w:w="598" w:type="pct"/>
            <w:vAlign w:val="center"/>
          </w:tcPr>
          <w:p>
            <w:pPr>
              <w:pStyle w:val="363"/>
              <w:spacing w:line="360" w:lineRule="exact"/>
              <w:rPr>
                <w:rFonts w:hint="default" w:eastAsia="宋体"/>
                <w:lang w:val="en-US" w:eastAsia="zh-CN"/>
              </w:rPr>
            </w:pPr>
            <w:r>
              <w:rPr>
                <w:rFonts w:hint="eastAsia" w:eastAsia="宋体"/>
                <w:lang w:val="en-US" w:eastAsia="zh-CN"/>
              </w:rPr>
              <w:t>51.14</w:t>
            </w:r>
          </w:p>
        </w:tc>
        <w:tc>
          <w:tcPr>
            <w:tcW w:w="598" w:type="pct"/>
            <w:vAlign w:val="center"/>
          </w:tcPr>
          <w:p>
            <w:pPr>
              <w:pStyle w:val="363"/>
              <w:spacing w:line="360" w:lineRule="exact"/>
              <w:rPr>
                <w:rFonts w:eastAsia="宋体"/>
              </w:rPr>
            </w:pPr>
            <w:r>
              <w:rPr>
                <w:rFonts w:hint="eastAsia" w:eastAsia="宋体"/>
              </w:rPr>
              <w:t>45.12</w:t>
            </w:r>
          </w:p>
        </w:tc>
        <w:tc>
          <w:tcPr>
            <w:tcW w:w="518" w:type="pct"/>
            <w:vAlign w:val="center"/>
          </w:tcPr>
          <w:p>
            <w:pPr>
              <w:pStyle w:val="363"/>
              <w:spacing w:line="360" w:lineRule="exact"/>
              <w:rPr>
                <w:rFonts w:eastAsia="宋体"/>
              </w:rPr>
            </w:pPr>
            <w:r>
              <w:rPr>
                <w:rFonts w:hint="eastAsia" w:eastAsia="宋体"/>
              </w:rPr>
              <w:t>41.60</w:t>
            </w:r>
          </w:p>
        </w:tc>
        <w:tc>
          <w:tcPr>
            <w:tcW w:w="559" w:type="pct"/>
            <w:vAlign w:val="center"/>
          </w:tcPr>
          <w:p>
            <w:pPr>
              <w:pStyle w:val="363"/>
              <w:spacing w:line="360" w:lineRule="exact"/>
              <w:rPr>
                <w:rFonts w:eastAsia="宋体"/>
              </w:rPr>
            </w:pPr>
            <w:r>
              <w:rPr>
                <w:rFonts w:hint="eastAsia" w:eastAsia="宋体"/>
              </w:rPr>
              <w:t>37.16</w:t>
            </w:r>
          </w:p>
        </w:tc>
      </w:tr>
    </w:tbl>
    <w:p>
      <w:pPr>
        <w:adjustRightInd w:val="0"/>
        <w:snapToGrid w:val="0"/>
        <w:spacing w:line="440" w:lineRule="exact"/>
        <w:ind w:firstLine="480" w:firstLineChars="200"/>
        <w:rPr>
          <w:bCs/>
        </w:rPr>
      </w:pPr>
      <w:r>
        <w:rPr>
          <w:rFonts w:hint="eastAsia"/>
          <w:bCs/>
        </w:rPr>
        <w:t>由上表分析可知，项目粘土矿区采场机械运行产生的噪声经</w:t>
      </w:r>
      <w:r>
        <w:rPr>
          <w:rFonts w:hint="eastAsia"/>
          <w:bCs/>
          <w:lang w:val="en-US" w:eastAsia="zh-CN"/>
        </w:rPr>
        <w:t>70</w:t>
      </w:r>
      <w:r>
        <w:rPr>
          <w:rFonts w:hint="eastAsia"/>
          <w:bCs/>
        </w:rPr>
        <w:t>m距离衰减后即可满足《工业企业厂界环境噪声排放标准》</w:t>
      </w:r>
      <w:r>
        <w:rPr>
          <w:rFonts w:hint="eastAsia"/>
          <w:bCs/>
          <w:lang w:val="en-US" w:eastAsia="zh-CN"/>
        </w:rPr>
        <w:t>1</w:t>
      </w:r>
      <w:r>
        <w:rPr>
          <w:rFonts w:hint="eastAsia"/>
          <w:bCs/>
        </w:rPr>
        <w:t>类标准限值要求。本项目采场夜间不开采，采场边界距离最近村庄（前所村）约930m，经几何发散衰减、自然地理屏障及建构筑物屏障衰减、空气吸收衰减后，项目粘土采场噪声不会对村庄声环境产生明显影响</w:t>
      </w:r>
    </w:p>
    <w:p>
      <w:pPr>
        <w:adjustRightInd w:val="0"/>
        <w:snapToGrid w:val="0"/>
        <w:spacing w:line="440" w:lineRule="exact"/>
        <w:ind w:firstLine="482"/>
        <w:rPr>
          <w:bCs/>
        </w:rPr>
      </w:pPr>
      <w:r>
        <w:rPr>
          <w:rFonts w:hint="eastAsia"/>
          <w:bCs/>
        </w:rPr>
        <w:t>（2）工业场地噪声预测</w:t>
      </w:r>
    </w:p>
    <w:p>
      <w:pPr>
        <w:adjustRightInd w:val="0"/>
        <w:snapToGrid w:val="0"/>
        <w:spacing w:line="440" w:lineRule="exact"/>
        <w:ind w:firstLine="480" w:firstLineChars="200"/>
        <w:jc w:val="both"/>
        <w:rPr>
          <w:bCs/>
        </w:rPr>
      </w:pPr>
      <w:r>
        <w:rPr>
          <w:rFonts w:hint="eastAsia"/>
          <w:bCs/>
        </w:rPr>
        <w:t>本项目工业场地内产噪设备主要包括水泵和雾炮机等设备。</w:t>
      </w:r>
    </w:p>
    <w:p>
      <w:pPr>
        <w:adjustRightInd w:val="0"/>
        <w:snapToGrid w:val="0"/>
        <w:spacing w:line="440" w:lineRule="exact"/>
        <w:ind w:firstLine="480" w:firstLineChars="200"/>
        <w:jc w:val="both"/>
      </w:pPr>
      <w:r>
        <w:rPr>
          <w:rFonts w:hint="eastAsia"/>
          <w:bCs/>
        </w:rPr>
        <w:t>根据《环境影响评价技术导则  声环境》（HJ2.4-2009）9.2.1介绍的评价方法和评价量，进行边界噪声评价时，新建项目以工程噪声贡献值作为评价量，厂界噪声预测值见表5.3-4、图5-3-1。</w:t>
      </w:r>
    </w:p>
    <w:p>
      <w:pPr>
        <w:spacing w:before="156" w:beforeLines="50"/>
        <w:ind w:firstLine="420" w:firstLineChars="200"/>
        <w:jc w:val="center"/>
        <w:rPr>
          <w:rFonts w:eastAsia="黑体"/>
          <w:bCs/>
          <w:sz w:val="21"/>
          <w:szCs w:val="21"/>
        </w:rPr>
      </w:pPr>
      <w:r>
        <w:rPr>
          <w:rFonts w:eastAsia="黑体"/>
          <w:bCs/>
          <w:sz w:val="21"/>
          <w:szCs w:val="21"/>
        </w:rPr>
        <w:t>表5</w:t>
      </w:r>
      <w:r>
        <w:rPr>
          <w:rFonts w:hint="eastAsia" w:eastAsia="黑体"/>
          <w:bCs/>
          <w:sz w:val="21"/>
          <w:szCs w:val="21"/>
        </w:rPr>
        <w:t>-</w:t>
      </w:r>
      <w:r>
        <w:rPr>
          <w:rFonts w:eastAsia="黑体"/>
          <w:bCs/>
          <w:sz w:val="21"/>
          <w:szCs w:val="21"/>
        </w:rPr>
        <w:t>3-</w:t>
      </w:r>
      <w:r>
        <w:rPr>
          <w:rFonts w:hint="eastAsia" w:eastAsia="黑体"/>
          <w:bCs/>
          <w:sz w:val="21"/>
          <w:szCs w:val="21"/>
        </w:rPr>
        <w:t>4</w:t>
      </w:r>
      <w:r>
        <w:rPr>
          <w:rFonts w:eastAsia="黑体"/>
          <w:bCs/>
          <w:sz w:val="21"/>
          <w:szCs w:val="21"/>
        </w:rPr>
        <w:t xml:space="preserve">   厂界噪声预测结果     单位：dB（A）</w:t>
      </w:r>
    </w:p>
    <w:tbl>
      <w:tblPr>
        <w:tblStyle w:val="88"/>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57" w:type="dxa"/>
          <w:bottom w:w="0" w:type="dxa"/>
          <w:right w:w="57" w:type="dxa"/>
        </w:tblCellMar>
      </w:tblPr>
      <w:tblGrid>
        <w:gridCol w:w="4534"/>
        <w:gridCol w:w="45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00" w:hRule="atLeast"/>
          <w:jc w:val="center"/>
        </w:trPr>
        <w:tc>
          <w:tcPr>
            <w:tcW w:w="2499" w:type="pct"/>
            <w:tcBorders>
              <w:top w:val="single" w:color="auto" w:sz="4" w:space="0"/>
              <w:bottom w:val="single" w:color="auto" w:sz="4" w:space="0"/>
              <w:right w:val="single" w:color="auto" w:sz="4" w:space="0"/>
            </w:tcBorders>
            <w:vAlign w:val="center"/>
          </w:tcPr>
          <w:p>
            <w:pPr>
              <w:pStyle w:val="46"/>
              <w:spacing w:line="360" w:lineRule="exact"/>
              <w:jc w:val="center"/>
              <w:rPr>
                <w:rFonts w:ascii="Times New Roman" w:hAnsi="Times New Roman"/>
                <w:szCs w:val="21"/>
              </w:rPr>
            </w:pPr>
            <w:r>
              <w:rPr>
                <w:rFonts w:ascii="Times New Roman" w:hAnsi="Times New Roman"/>
                <w:szCs w:val="21"/>
              </w:rPr>
              <w:t>测点信息</w:t>
            </w:r>
          </w:p>
        </w:tc>
        <w:tc>
          <w:tcPr>
            <w:tcW w:w="2500" w:type="pct"/>
            <w:tcBorders>
              <w:top w:val="single" w:color="auto" w:sz="4" w:space="0"/>
              <w:left w:val="single" w:color="auto" w:sz="4" w:space="0"/>
              <w:bottom w:val="single" w:color="auto" w:sz="4" w:space="0"/>
              <w:right w:val="single" w:color="auto" w:sz="4" w:space="0"/>
            </w:tcBorders>
            <w:vAlign w:val="center"/>
          </w:tcPr>
          <w:p>
            <w:pPr>
              <w:pStyle w:val="46"/>
              <w:spacing w:line="360" w:lineRule="exact"/>
              <w:jc w:val="center"/>
              <w:rPr>
                <w:rFonts w:ascii="Times New Roman" w:hAnsi="Times New Roman"/>
                <w:szCs w:val="21"/>
              </w:rPr>
            </w:pPr>
            <w:r>
              <w:rPr>
                <w:rFonts w:ascii="Times New Roman" w:hAnsi="Times New Roman"/>
                <w:szCs w:val="21"/>
              </w:rPr>
              <w:t>昼间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00" w:hRule="atLeast"/>
          <w:jc w:val="center"/>
        </w:trPr>
        <w:tc>
          <w:tcPr>
            <w:tcW w:w="2499" w:type="pct"/>
            <w:tcBorders>
              <w:top w:val="single" w:color="auto" w:sz="4" w:space="0"/>
              <w:left w:val="single" w:color="auto" w:sz="4" w:space="0"/>
              <w:bottom w:val="single" w:color="auto" w:sz="4" w:space="0"/>
              <w:right w:val="single" w:color="auto" w:sz="4" w:space="0"/>
            </w:tcBorders>
            <w:vAlign w:val="center"/>
          </w:tcPr>
          <w:p>
            <w:pPr>
              <w:pStyle w:val="46"/>
              <w:spacing w:line="360" w:lineRule="exact"/>
              <w:jc w:val="center"/>
              <w:rPr>
                <w:rFonts w:ascii="Times New Roman" w:hAnsi="Times New Roman"/>
                <w:szCs w:val="21"/>
              </w:rPr>
            </w:pPr>
            <w:r>
              <w:rPr>
                <w:rFonts w:ascii="Times New Roman" w:hAnsi="Times New Roman"/>
                <w:szCs w:val="21"/>
              </w:rPr>
              <w:t>测点名称</w:t>
            </w:r>
          </w:p>
        </w:tc>
        <w:tc>
          <w:tcPr>
            <w:tcW w:w="2500" w:type="pct"/>
            <w:tcBorders>
              <w:top w:val="single" w:color="auto" w:sz="4" w:space="0"/>
              <w:left w:val="single" w:color="auto" w:sz="4" w:space="0"/>
              <w:bottom w:val="single" w:color="auto" w:sz="4" w:space="0"/>
              <w:right w:val="single" w:color="auto" w:sz="4" w:space="0"/>
            </w:tcBorders>
            <w:vAlign w:val="center"/>
          </w:tcPr>
          <w:p>
            <w:pPr>
              <w:pStyle w:val="46"/>
              <w:spacing w:line="360" w:lineRule="exact"/>
              <w:jc w:val="center"/>
              <w:rPr>
                <w:rFonts w:ascii="Times New Roman" w:hAnsi="Times New Roman"/>
                <w:szCs w:val="21"/>
              </w:rPr>
            </w:pPr>
            <w:r>
              <w:rPr>
                <w:rFonts w:ascii="Times New Roman" w:hAnsi="Times New Roman"/>
                <w:szCs w:val="21"/>
              </w:rPr>
              <w:t>贡献值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00" w:hRule="atLeast"/>
          <w:jc w:val="center"/>
        </w:trPr>
        <w:tc>
          <w:tcPr>
            <w:tcW w:w="249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 w:val="21"/>
                <w:szCs w:val="21"/>
              </w:rPr>
            </w:pPr>
            <w:r>
              <w:rPr>
                <w:rFonts w:eastAsiaTheme="minorEastAsia"/>
                <w:sz w:val="21"/>
                <w:szCs w:val="21"/>
              </w:rPr>
              <w:t>1#</w:t>
            </w:r>
            <w:r>
              <w:rPr>
                <w:rFonts w:hint="eastAsia" w:eastAsiaTheme="minorEastAsia"/>
                <w:sz w:val="21"/>
                <w:szCs w:val="21"/>
              </w:rPr>
              <w:t>厂区北侧</w:t>
            </w:r>
          </w:p>
        </w:tc>
        <w:tc>
          <w:tcPr>
            <w:tcW w:w="45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 w:val="21"/>
                <w:szCs w:val="21"/>
              </w:rPr>
            </w:pPr>
            <w:r>
              <w:rPr>
                <w:sz w:val="21"/>
                <w:szCs w:val="21"/>
                <w:lang w:bidi="ar"/>
              </w:rPr>
              <w:t>41.83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00" w:hRule="atLeast"/>
          <w:jc w:val="center"/>
        </w:trPr>
        <w:tc>
          <w:tcPr>
            <w:tcW w:w="249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 w:val="21"/>
                <w:szCs w:val="21"/>
              </w:rPr>
            </w:pPr>
            <w:r>
              <w:rPr>
                <w:rFonts w:eastAsiaTheme="minorEastAsia"/>
                <w:sz w:val="21"/>
                <w:szCs w:val="21"/>
              </w:rPr>
              <w:t>2#</w:t>
            </w:r>
            <w:r>
              <w:rPr>
                <w:rFonts w:hint="eastAsia" w:eastAsiaTheme="minorEastAsia"/>
                <w:sz w:val="21"/>
                <w:szCs w:val="21"/>
              </w:rPr>
              <w:t>厂区西侧</w:t>
            </w:r>
          </w:p>
        </w:tc>
        <w:tc>
          <w:tcPr>
            <w:tcW w:w="45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 w:val="21"/>
                <w:szCs w:val="21"/>
              </w:rPr>
            </w:pPr>
            <w:r>
              <w:rPr>
                <w:sz w:val="21"/>
                <w:szCs w:val="21"/>
                <w:lang w:bidi="ar"/>
              </w:rPr>
              <w:t>45.58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00" w:hRule="atLeast"/>
          <w:jc w:val="center"/>
        </w:trPr>
        <w:tc>
          <w:tcPr>
            <w:tcW w:w="249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 w:val="21"/>
                <w:szCs w:val="21"/>
              </w:rPr>
            </w:pPr>
            <w:r>
              <w:rPr>
                <w:rFonts w:eastAsiaTheme="minorEastAsia"/>
                <w:sz w:val="21"/>
                <w:szCs w:val="21"/>
              </w:rPr>
              <w:t>3#</w:t>
            </w:r>
            <w:r>
              <w:rPr>
                <w:rFonts w:hint="eastAsia" w:eastAsiaTheme="minorEastAsia"/>
                <w:sz w:val="21"/>
                <w:szCs w:val="21"/>
              </w:rPr>
              <w:t>厂区</w:t>
            </w:r>
            <w:r>
              <w:rPr>
                <w:rFonts w:eastAsiaTheme="minorEastAsia"/>
                <w:sz w:val="21"/>
                <w:szCs w:val="21"/>
              </w:rPr>
              <w:t>南</w:t>
            </w:r>
            <w:r>
              <w:rPr>
                <w:rFonts w:hint="eastAsia" w:eastAsiaTheme="minorEastAsia"/>
                <w:sz w:val="21"/>
                <w:szCs w:val="21"/>
              </w:rPr>
              <w:t>侧</w:t>
            </w:r>
          </w:p>
        </w:tc>
        <w:tc>
          <w:tcPr>
            <w:tcW w:w="45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 w:val="21"/>
                <w:szCs w:val="21"/>
              </w:rPr>
            </w:pPr>
            <w:r>
              <w:rPr>
                <w:sz w:val="21"/>
                <w:szCs w:val="21"/>
                <w:lang w:bidi="ar"/>
              </w:rPr>
              <w:t>43.12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00" w:hRule="atLeast"/>
          <w:jc w:val="center"/>
        </w:trPr>
        <w:tc>
          <w:tcPr>
            <w:tcW w:w="249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 w:val="21"/>
                <w:szCs w:val="21"/>
              </w:rPr>
            </w:pPr>
            <w:r>
              <w:rPr>
                <w:rFonts w:eastAsiaTheme="minorEastAsia"/>
                <w:sz w:val="21"/>
                <w:szCs w:val="21"/>
              </w:rPr>
              <w:t>4#</w:t>
            </w:r>
            <w:r>
              <w:rPr>
                <w:rFonts w:hint="eastAsia" w:eastAsiaTheme="minorEastAsia"/>
                <w:sz w:val="21"/>
                <w:szCs w:val="21"/>
              </w:rPr>
              <w:t>厂区东侧</w:t>
            </w:r>
          </w:p>
        </w:tc>
        <w:tc>
          <w:tcPr>
            <w:tcW w:w="45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inorEastAsia"/>
                <w:sz w:val="21"/>
                <w:szCs w:val="21"/>
              </w:rPr>
            </w:pPr>
            <w:r>
              <w:rPr>
                <w:sz w:val="21"/>
                <w:szCs w:val="21"/>
                <w:lang w:bidi="ar"/>
              </w:rPr>
              <w:t>33.33</w:t>
            </w:r>
          </w:p>
        </w:tc>
      </w:tr>
    </w:tbl>
    <w:p>
      <w:pPr>
        <w:adjustRightInd w:val="0"/>
        <w:snapToGrid w:val="0"/>
        <w:jc w:val="center"/>
      </w:pPr>
    </w:p>
    <w:p>
      <w:pPr>
        <w:adjustRightInd w:val="0"/>
        <w:snapToGrid w:val="0"/>
        <w:jc w:val="center"/>
      </w:pPr>
      <w:r>
        <w:drawing>
          <wp:inline distT="0" distB="0" distL="114300" distR="114300">
            <wp:extent cx="5438775" cy="3896995"/>
            <wp:effectExtent l="0" t="0" r="9525" b="825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73"/>
                    <a:stretch>
                      <a:fillRect/>
                    </a:stretch>
                  </pic:blipFill>
                  <pic:spPr>
                    <a:xfrm>
                      <a:off x="0" y="0"/>
                      <a:ext cx="5438775" cy="3896995"/>
                    </a:xfrm>
                    <a:prstGeom prst="rect">
                      <a:avLst/>
                    </a:prstGeom>
                    <a:noFill/>
                    <a:ln>
                      <a:noFill/>
                    </a:ln>
                  </pic:spPr>
                </pic:pic>
              </a:graphicData>
            </a:graphic>
          </wp:inline>
        </w:drawing>
      </w:r>
    </w:p>
    <w:p>
      <w:pPr>
        <w:pStyle w:val="2"/>
        <w:ind w:firstLine="240"/>
        <w:jc w:val="center"/>
        <w:rPr>
          <w:sz w:val="24"/>
          <w:szCs w:val="32"/>
        </w:rPr>
      </w:pPr>
      <w:r>
        <w:rPr>
          <w:rFonts w:hint="eastAsia"/>
          <w:sz w:val="24"/>
          <w:szCs w:val="32"/>
        </w:rPr>
        <w:t>图5-3-1 厂界昼间噪声贡献值等值线图</w:t>
      </w:r>
    </w:p>
    <w:p>
      <w:pPr>
        <w:adjustRightInd w:val="0"/>
        <w:snapToGrid w:val="0"/>
        <w:spacing w:line="440" w:lineRule="exact"/>
        <w:ind w:firstLine="480" w:firstLineChars="200"/>
        <w:jc w:val="both"/>
      </w:pPr>
      <w:r>
        <w:rPr>
          <w:rFonts w:hint="eastAsia"/>
        </w:rPr>
        <w:t>本项目夜间不生产，根据预测，厂界昼间噪声预测结果为33.33~45.58dB（A），能够满足</w:t>
      </w:r>
      <w:r>
        <w:t>《工业企业厂界噪声排放标准》</w:t>
      </w:r>
      <w:r>
        <w:rPr>
          <w:rFonts w:hint="eastAsia"/>
        </w:rPr>
        <w:t>（</w:t>
      </w:r>
      <w:r>
        <w:t>GB12348-2008</w:t>
      </w:r>
      <w:r>
        <w:rPr>
          <w:rFonts w:hint="eastAsia"/>
        </w:rPr>
        <w:t>）</w:t>
      </w:r>
      <w:r>
        <w:rPr>
          <w:rFonts w:hint="eastAsia"/>
          <w:lang w:val="en-US" w:eastAsia="zh-CN"/>
        </w:rPr>
        <w:t>1</w:t>
      </w:r>
      <w:r>
        <w:t>类标准要求</w:t>
      </w:r>
      <w:r>
        <w:rPr>
          <w:rFonts w:hint="eastAsia"/>
        </w:rPr>
        <w:t>，厂界噪声能够达标排放</w:t>
      </w:r>
      <w:r>
        <w:t>。</w:t>
      </w:r>
      <w:r>
        <w:rPr>
          <w:rFonts w:hint="eastAsia"/>
        </w:rPr>
        <w:t>厂区距离最近的村庄（前所村）930m，经距离衰减后，不会对村庄声环境产生影响。</w:t>
      </w:r>
    </w:p>
    <w:p>
      <w:pPr>
        <w:pStyle w:val="5"/>
        <w:adjustRightInd w:val="0"/>
        <w:snapToGrid w:val="0"/>
        <w:spacing w:before="156" w:beforeLines="50" w:line="360" w:lineRule="auto"/>
        <w:rPr>
          <w:rFonts w:eastAsia="宋体"/>
          <w:sz w:val="28"/>
          <w:szCs w:val="28"/>
        </w:rPr>
      </w:pPr>
      <w:bookmarkStart w:id="292" w:name="_Toc15547"/>
      <w:r>
        <w:rPr>
          <w:rFonts w:eastAsia="宋体"/>
          <w:sz w:val="28"/>
          <w:szCs w:val="28"/>
        </w:rPr>
        <w:t>5.4固体废物影响分析</w:t>
      </w:r>
      <w:bookmarkEnd w:id="290"/>
      <w:bookmarkEnd w:id="291"/>
      <w:bookmarkEnd w:id="292"/>
    </w:p>
    <w:p>
      <w:pPr>
        <w:pStyle w:val="6"/>
        <w:adjustRightInd w:val="0"/>
        <w:snapToGrid w:val="0"/>
        <w:spacing w:before="156" w:beforeLines="50" w:line="360" w:lineRule="auto"/>
        <w:rPr>
          <w:rFonts w:eastAsia="宋体"/>
          <w:bCs w:val="0"/>
          <w:i w:val="0"/>
          <w:color w:val="auto"/>
          <w:sz w:val="24"/>
          <w:szCs w:val="24"/>
        </w:rPr>
      </w:pPr>
      <w:r>
        <w:rPr>
          <w:rFonts w:eastAsia="宋体"/>
          <w:bCs w:val="0"/>
          <w:i w:val="0"/>
          <w:color w:val="auto"/>
          <w:sz w:val="24"/>
          <w:szCs w:val="24"/>
        </w:rPr>
        <w:t>5.4.1 固体废物种类、产生量及</w:t>
      </w:r>
      <w:r>
        <w:rPr>
          <w:rFonts w:hint="eastAsia" w:eastAsia="宋体"/>
          <w:bCs w:val="0"/>
          <w:i w:val="0"/>
          <w:color w:val="auto"/>
          <w:sz w:val="24"/>
          <w:szCs w:val="24"/>
        </w:rPr>
        <w:t>处置去向</w:t>
      </w:r>
    </w:p>
    <w:p>
      <w:pPr>
        <w:spacing w:line="440" w:lineRule="exact"/>
        <w:ind w:firstLine="480" w:firstLineChars="200"/>
        <w:rPr>
          <w:lang w:val="zh-CN" w:bidi="zh-CN"/>
        </w:rPr>
      </w:pPr>
      <w:r>
        <w:rPr>
          <w:rFonts w:hint="eastAsia"/>
          <w:lang w:val="zh-CN" w:bidi="zh-CN"/>
        </w:rPr>
        <w:t>本项目固体废物主要包括开采剥离土、职工生活垃圾和设备维修产生的废机油。</w:t>
      </w:r>
    </w:p>
    <w:p>
      <w:pPr>
        <w:numPr>
          <w:ilvl w:val="0"/>
          <w:numId w:val="5"/>
        </w:numPr>
        <w:spacing w:line="440" w:lineRule="exact"/>
        <w:ind w:firstLine="480" w:firstLineChars="200"/>
        <w:rPr>
          <w:lang w:bidi="zh-CN"/>
        </w:rPr>
      </w:pPr>
      <w:r>
        <w:rPr>
          <w:rFonts w:hint="eastAsia"/>
          <w:lang w:bidi="zh-CN"/>
        </w:rPr>
        <w:t>本项目开采剥离土产生量约为2700t/a，剥离土经汽车运输至矿区内排土场，后期用于土地复垦和生态恢复。排土场内部单独设置表土堆存区域，上游设截排水沟，下游设挡土墙。</w:t>
      </w:r>
    </w:p>
    <w:p>
      <w:pPr>
        <w:numPr>
          <w:ilvl w:val="0"/>
          <w:numId w:val="5"/>
        </w:numPr>
        <w:spacing w:line="440" w:lineRule="exact"/>
        <w:ind w:firstLine="480" w:firstLineChars="200"/>
        <w:rPr>
          <w:lang w:bidi="zh-CN"/>
        </w:rPr>
      </w:pPr>
      <w:r>
        <w:rPr>
          <w:rFonts w:hint="eastAsia"/>
          <w:lang w:bidi="zh-CN"/>
        </w:rPr>
        <w:t>本项目生活垃圾产生量为1.05t/a，生活垃圾设垃圾箱收集，定期送环卫部门指定地点处置。</w:t>
      </w:r>
    </w:p>
    <w:p>
      <w:pPr>
        <w:numPr>
          <w:ilvl w:val="0"/>
          <w:numId w:val="5"/>
        </w:numPr>
        <w:spacing w:line="440" w:lineRule="exact"/>
        <w:ind w:firstLine="480" w:firstLineChars="200"/>
        <w:rPr>
          <w:spacing w:val="4"/>
        </w:rPr>
      </w:pPr>
      <w:r>
        <w:rPr>
          <w:rFonts w:hint="eastAsia"/>
          <w:lang w:bidi="zh-CN"/>
        </w:rPr>
        <w:t>本项目废机油产生量约为0.2t/a，</w:t>
      </w:r>
      <w:r>
        <w:rPr>
          <w:spacing w:val="4"/>
        </w:rPr>
        <w:t>根据《国家危险废物名录》2016版</w:t>
      </w:r>
      <w:r>
        <w:rPr>
          <w:rFonts w:hint="eastAsia"/>
          <w:spacing w:val="4"/>
        </w:rPr>
        <w:t>（</w:t>
      </w:r>
      <w:r>
        <w:rPr>
          <w:spacing w:val="4"/>
        </w:rPr>
        <w:t>部令第39号</w:t>
      </w:r>
      <w:r>
        <w:rPr>
          <w:rFonts w:hint="eastAsia"/>
          <w:spacing w:val="4"/>
        </w:rPr>
        <w:t>），</w:t>
      </w:r>
      <w:r>
        <w:rPr>
          <w:spacing w:val="4"/>
        </w:rPr>
        <w:t>废机油属于HW08</w:t>
      </w:r>
      <w:r>
        <w:rPr>
          <w:rFonts w:hint="eastAsia"/>
          <w:spacing w:val="4"/>
        </w:rPr>
        <w:t>，</w:t>
      </w:r>
      <w:r>
        <w:rPr>
          <w:spacing w:val="4"/>
        </w:rPr>
        <w:t>危险废物代码为900-217-08</w:t>
      </w:r>
      <w:r>
        <w:rPr>
          <w:rFonts w:hint="eastAsia"/>
          <w:spacing w:val="4"/>
        </w:rPr>
        <w:t>。废机油设危废暂存间暂存，定期由有资质单位统一转运处置。</w:t>
      </w:r>
    </w:p>
    <w:p>
      <w:pPr>
        <w:pStyle w:val="87"/>
        <w:spacing w:after="0"/>
        <w:ind w:left="0" w:leftChars="0" w:firstLine="480"/>
        <w:rPr>
          <w:rFonts w:eastAsia="宋体"/>
          <w:sz w:val="24"/>
          <w:lang w:bidi="zh-CN"/>
        </w:rPr>
      </w:pPr>
      <w:r>
        <w:rPr>
          <w:rFonts w:hint="eastAsia" w:eastAsia="宋体"/>
          <w:sz w:val="24"/>
          <w:lang w:bidi="zh-CN"/>
        </w:rPr>
        <w:t>危险废物在厂区内暂存时应严格遵守《危险废物贮存污染控制标准》（GB18597－2001）及其2013年修改单相关要求。</w:t>
      </w:r>
    </w:p>
    <w:p>
      <w:pPr>
        <w:pStyle w:val="87"/>
        <w:spacing w:after="0"/>
        <w:ind w:left="0" w:leftChars="0" w:firstLine="480"/>
        <w:rPr>
          <w:rFonts w:eastAsia="宋体"/>
          <w:sz w:val="24"/>
          <w:lang w:bidi="zh-CN"/>
        </w:rPr>
      </w:pPr>
      <w:r>
        <w:rPr>
          <w:rFonts w:hint="eastAsia" w:eastAsia="宋体"/>
          <w:sz w:val="24"/>
          <w:lang w:bidi="zh-CN"/>
        </w:rPr>
        <w:t>建设单位拟建设1座5m</w:t>
      </w:r>
      <w:r>
        <w:rPr>
          <w:rFonts w:hint="eastAsia" w:eastAsia="宋体"/>
          <w:sz w:val="24"/>
          <w:vertAlign w:val="superscript"/>
          <w:lang w:bidi="zh-CN"/>
        </w:rPr>
        <w:t>2</w:t>
      </w:r>
      <w:r>
        <w:rPr>
          <w:rFonts w:hint="eastAsia" w:eastAsia="宋体"/>
          <w:sz w:val="24"/>
          <w:lang w:bidi="zh-CN"/>
        </w:rPr>
        <w:t>危险废物暂存间，地面采用混凝土结构，进行防渗处理，防渗系数≤10</w:t>
      </w:r>
      <w:r>
        <w:rPr>
          <w:rFonts w:hint="eastAsia" w:eastAsia="宋体"/>
          <w:sz w:val="24"/>
          <w:vertAlign w:val="superscript"/>
          <w:lang w:bidi="zh-CN"/>
        </w:rPr>
        <w:t>-10</w:t>
      </w:r>
      <w:r>
        <w:rPr>
          <w:rFonts w:hint="eastAsia" w:eastAsia="宋体"/>
          <w:sz w:val="24"/>
          <w:lang w:bidi="zh-CN"/>
        </w:rPr>
        <w:t>cm/s。危险废物暂存间外应设置警示标志，严禁无关人员进入；应加强危险废物管理，做好危险废物台账，认真记录危险废物的名称、数量、入库日期、出库日期、接收单位名称等；危险废物应由专门的运输车辆进行转运，运输过程中严格遵守《危险废物转移联单管理办法》（国家环境保护总局令第5号）的相关要求。</w:t>
      </w:r>
    </w:p>
    <w:p>
      <w:pPr>
        <w:pStyle w:val="6"/>
        <w:adjustRightInd w:val="0"/>
        <w:snapToGrid w:val="0"/>
        <w:spacing w:before="156" w:beforeLines="50" w:line="360" w:lineRule="auto"/>
        <w:rPr>
          <w:rFonts w:eastAsia="宋体"/>
          <w:bCs w:val="0"/>
          <w:i w:val="0"/>
          <w:color w:val="auto"/>
          <w:sz w:val="24"/>
          <w:szCs w:val="24"/>
        </w:rPr>
      </w:pPr>
      <w:r>
        <w:rPr>
          <w:rFonts w:eastAsia="宋体"/>
          <w:bCs w:val="0"/>
          <w:i w:val="0"/>
          <w:color w:val="auto"/>
          <w:sz w:val="24"/>
          <w:szCs w:val="24"/>
        </w:rPr>
        <w:t>5.4.</w:t>
      </w:r>
      <w:r>
        <w:rPr>
          <w:rFonts w:hint="eastAsia" w:eastAsia="宋体"/>
          <w:bCs w:val="0"/>
          <w:i w:val="0"/>
          <w:color w:val="auto"/>
          <w:sz w:val="24"/>
          <w:szCs w:val="24"/>
        </w:rPr>
        <w:t>2</w:t>
      </w:r>
      <w:r>
        <w:rPr>
          <w:rFonts w:eastAsia="宋体"/>
          <w:bCs w:val="0"/>
          <w:i w:val="0"/>
          <w:color w:val="auto"/>
          <w:sz w:val="24"/>
          <w:szCs w:val="24"/>
        </w:rPr>
        <w:t xml:space="preserve"> 固体废物</w:t>
      </w:r>
      <w:r>
        <w:rPr>
          <w:rFonts w:hint="eastAsia" w:eastAsia="宋体"/>
          <w:bCs w:val="0"/>
          <w:i w:val="0"/>
          <w:color w:val="auto"/>
          <w:sz w:val="24"/>
          <w:szCs w:val="24"/>
        </w:rPr>
        <w:t>影响分析</w:t>
      </w:r>
    </w:p>
    <w:p>
      <w:pPr>
        <w:pStyle w:val="361"/>
        <w:spacing w:line="440" w:lineRule="exact"/>
        <w:ind w:firstLineChars="200"/>
        <w:jc w:val="both"/>
        <w:rPr>
          <w:rFonts w:eastAsia="宋体"/>
        </w:rPr>
      </w:pPr>
      <w:bookmarkStart w:id="293" w:name="OLE_LINK4"/>
      <w:bookmarkStart w:id="294" w:name="OLE_LINK3"/>
      <w:r>
        <w:rPr>
          <w:rFonts w:eastAsia="宋体"/>
        </w:rPr>
        <w:t>固体废物除直接占用土地和空间外</w:t>
      </w:r>
      <w:r>
        <w:rPr>
          <w:rFonts w:hint="eastAsia" w:eastAsia="宋体"/>
        </w:rPr>
        <w:t>，</w:t>
      </w:r>
      <w:r>
        <w:rPr>
          <w:rFonts w:eastAsia="宋体"/>
        </w:rPr>
        <w:t>其对环境的影响将会通过水、气或土壤污染周围环境</w:t>
      </w:r>
      <w:r>
        <w:rPr>
          <w:rFonts w:hint="eastAsia" w:eastAsia="宋体"/>
        </w:rPr>
        <w:t>，</w:t>
      </w:r>
      <w:r>
        <w:rPr>
          <w:rFonts w:eastAsia="宋体"/>
        </w:rPr>
        <w:t>因此</w:t>
      </w:r>
      <w:r>
        <w:rPr>
          <w:rFonts w:hint="eastAsia" w:eastAsia="宋体"/>
        </w:rPr>
        <w:t>，</w:t>
      </w:r>
      <w:r>
        <w:rPr>
          <w:rFonts w:eastAsia="宋体"/>
        </w:rPr>
        <w:t>固体废物既是造成水、大气、土壤污染的</w:t>
      </w:r>
      <w:r>
        <w:rPr>
          <w:rFonts w:hint="eastAsia" w:eastAsia="宋体"/>
        </w:rPr>
        <w:t>“</w:t>
      </w:r>
      <w:r>
        <w:rPr>
          <w:rFonts w:eastAsia="宋体"/>
        </w:rPr>
        <w:t>源头</w:t>
      </w:r>
      <w:r>
        <w:rPr>
          <w:rFonts w:hint="eastAsia" w:eastAsia="宋体"/>
        </w:rPr>
        <w:t>”，</w:t>
      </w:r>
      <w:r>
        <w:rPr>
          <w:rFonts w:eastAsia="宋体"/>
        </w:rPr>
        <w:t>又是废水、废气处理的</w:t>
      </w:r>
      <w:r>
        <w:rPr>
          <w:rFonts w:hint="eastAsia" w:eastAsia="宋体"/>
        </w:rPr>
        <w:t>“</w:t>
      </w:r>
      <w:r>
        <w:rPr>
          <w:rFonts w:eastAsia="宋体"/>
        </w:rPr>
        <w:t>终态物</w:t>
      </w:r>
      <w:r>
        <w:rPr>
          <w:rFonts w:hint="eastAsia" w:eastAsia="宋体"/>
        </w:rPr>
        <w:t>”。</w:t>
      </w:r>
    </w:p>
    <w:p>
      <w:pPr>
        <w:spacing w:line="440" w:lineRule="exact"/>
        <w:ind w:firstLine="480" w:firstLineChars="200"/>
        <w:jc w:val="both"/>
        <w:rPr>
          <w:rFonts w:eastAsiaTheme="minorEastAsia"/>
        </w:rPr>
      </w:pPr>
      <w:r>
        <w:rPr>
          <w:rFonts w:hint="eastAsia" w:eastAsiaTheme="minorEastAsia"/>
        </w:rPr>
        <w:t>本项目矿区内设排土场，开采剥离土运至排土场，后期用于土地复垦和生态恢复；生活垃圾送环卫部门指定地点处置；废机油设危废暂存间暂存，定期由有资质单位统一转运处置。</w:t>
      </w:r>
    </w:p>
    <w:p>
      <w:pPr>
        <w:spacing w:line="440" w:lineRule="exact"/>
        <w:ind w:firstLine="480" w:firstLineChars="200"/>
        <w:jc w:val="both"/>
        <w:rPr>
          <w:rFonts w:eastAsiaTheme="minorEastAsia"/>
        </w:rPr>
      </w:pPr>
      <w:r>
        <w:rPr>
          <w:rFonts w:hint="eastAsia" w:eastAsiaTheme="minorEastAsia"/>
        </w:rPr>
        <w:t>本项目各类</w:t>
      </w:r>
      <w:r>
        <w:rPr>
          <w:rFonts w:eastAsiaTheme="minorEastAsia"/>
        </w:rPr>
        <w:t>固体废物</w:t>
      </w:r>
      <w:r>
        <w:rPr>
          <w:rFonts w:hint="eastAsia" w:eastAsiaTheme="minorEastAsia"/>
        </w:rPr>
        <w:t>均能够得到合理处置，不会对周围环境产生明显影响。</w:t>
      </w:r>
    </w:p>
    <w:bookmarkEnd w:id="293"/>
    <w:bookmarkEnd w:id="294"/>
    <w:p>
      <w:pPr>
        <w:pStyle w:val="5"/>
        <w:adjustRightInd w:val="0"/>
        <w:snapToGrid w:val="0"/>
        <w:spacing w:before="156" w:beforeLines="50" w:line="360" w:lineRule="auto"/>
        <w:rPr>
          <w:rFonts w:eastAsia="宋体"/>
          <w:sz w:val="28"/>
          <w:szCs w:val="28"/>
        </w:rPr>
      </w:pPr>
      <w:bookmarkStart w:id="295" w:name="_Toc6134"/>
      <w:r>
        <w:rPr>
          <w:rFonts w:eastAsia="宋体"/>
          <w:sz w:val="28"/>
          <w:szCs w:val="28"/>
        </w:rPr>
        <w:t>5.5生态环境影响</w:t>
      </w:r>
      <w:r>
        <w:rPr>
          <w:rFonts w:hint="eastAsia" w:eastAsia="宋体"/>
          <w:sz w:val="28"/>
          <w:szCs w:val="28"/>
        </w:rPr>
        <w:t>预测与评价</w:t>
      </w:r>
      <w:bookmarkEnd w:id="295"/>
    </w:p>
    <w:p>
      <w:pPr>
        <w:pStyle w:val="6"/>
        <w:adjustRightInd w:val="0"/>
        <w:snapToGrid w:val="0"/>
        <w:spacing w:before="156" w:beforeLines="50" w:line="360" w:lineRule="auto"/>
        <w:rPr>
          <w:rFonts w:eastAsia="宋体"/>
          <w:bCs w:val="0"/>
          <w:i w:val="0"/>
          <w:color w:val="auto"/>
          <w:sz w:val="24"/>
          <w:szCs w:val="24"/>
        </w:rPr>
      </w:pPr>
      <w:r>
        <w:rPr>
          <w:rFonts w:eastAsia="宋体"/>
          <w:bCs w:val="0"/>
          <w:i w:val="0"/>
          <w:color w:val="auto"/>
          <w:sz w:val="24"/>
          <w:szCs w:val="24"/>
        </w:rPr>
        <w:t>5.5.1 生态环境</w:t>
      </w:r>
      <w:r>
        <w:rPr>
          <w:rFonts w:hint="eastAsia" w:eastAsia="宋体"/>
          <w:bCs w:val="0"/>
          <w:i w:val="0"/>
          <w:color w:val="auto"/>
          <w:sz w:val="24"/>
          <w:szCs w:val="24"/>
        </w:rPr>
        <w:t>评价内容</w:t>
      </w:r>
    </w:p>
    <w:p>
      <w:pPr>
        <w:pStyle w:val="361"/>
        <w:spacing w:line="440" w:lineRule="exact"/>
        <w:ind w:firstLineChars="200"/>
        <w:rPr>
          <w:rFonts w:eastAsia="宋体"/>
        </w:rPr>
      </w:pPr>
      <w:r>
        <w:rPr>
          <w:rFonts w:eastAsia="宋体"/>
        </w:rPr>
        <w:t>根据项目所在地的生态环境现状特性和工程建设、运营特征</w:t>
      </w:r>
      <w:r>
        <w:rPr>
          <w:rFonts w:hint="eastAsia" w:eastAsia="宋体"/>
        </w:rPr>
        <w:t>，</w:t>
      </w:r>
      <w:r>
        <w:rPr>
          <w:rFonts w:eastAsia="宋体"/>
        </w:rPr>
        <w:t>综合考虑区域主导生态功能和生态保护的需要</w:t>
      </w:r>
      <w:r>
        <w:rPr>
          <w:rFonts w:hint="eastAsia" w:eastAsia="宋体"/>
        </w:rPr>
        <w:t>，</w:t>
      </w:r>
      <w:r>
        <w:rPr>
          <w:rFonts w:eastAsia="宋体"/>
        </w:rPr>
        <w:t>选定土地利用、植被覆盖、</w:t>
      </w:r>
      <w:r>
        <w:rPr>
          <w:rFonts w:hint="eastAsia" w:eastAsia="宋体"/>
        </w:rPr>
        <w:t>水土流失</w:t>
      </w:r>
      <w:r>
        <w:rPr>
          <w:rFonts w:eastAsia="宋体"/>
        </w:rPr>
        <w:t>等因子变化情况作为预测指标</w:t>
      </w:r>
      <w:r>
        <w:rPr>
          <w:rFonts w:hint="eastAsia" w:eastAsia="宋体"/>
        </w:rPr>
        <w:t>，</w:t>
      </w:r>
      <w:r>
        <w:rPr>
          <w:rFonts w:eastAsia="宋体"/>
        </w:rPr>
        <w:t>分析项目建设前后各指标的改变及当地生态系统变化趋势</w:t>
      </w:r>
      <w:r>
        <w:rPr>
          <w:rFonts w:hint="eastAsia" w:eastAsia="宋体"/>
        </w:rPr>
        <w:t>。</w:t>
      </w:r>
    </w:p>
    <w:p>
      <w:pPr>
        <w:pStyle w:val="6"/>
        <w:adjustRightInd w:val="0"/>
        <w:snapToGrid w:val="0"/>
        <w:spacing w:before="156" w:beforeLines="50" w:line="360" w:lineRule="auto"/>
        <w:rPr>
          <w:rFonts w:eastAsia="宋体"/>
          <w:bCs w:val="0"/>
          <w:i w:val="0"/>
          <w:color w:val="auto"/>
          <w:sz w:val="24"/>
          <w:szCs w:val="24"/>
        </w:rPr>
      </w:pPr>
      <w:r>
        <w:rPr>
          <w:rFonts w:eastAsia="宋体"/>
          <w:bCs w:val="0"/>
          <w:i w:val="0"/>
          <w:color w:val="auto"/>
          <w:sz w:val="24"/>
          <w:szCs w:val="24"/>
        </w:rPr>
        <w:t>5.5.2 生态</w:t>
      </w:r>
      <w:r>
        <w:rPr>
          <w:rFonts w:hint="eastAsia" w:eastAsia="宋体"/>
          <w:bCs w:val="0"/>
          <w:i w:val="0"/>
          <w:color w:val="auto"/>
          <w:sz w:val="24"/>
          <w:szCs w:val="24"/>
        </w:rPr>
        <w:t>环境影响评价方法</w:t>
      </w:r>
    </w:p>
    <w:p>
      <w:pPr>
        <w:pStyle w:val="361"/>
        <w:spacing w:line="440" w:lineRule="exact"/>
        <w:ind w:firstLineChars="200"/>
        <w:jc w:val="both"/>
        <w:rPr>
          <w:rFonts w:eastAsia="宋体"/>
        </w:rPr>
      </w:pPr>
      <w:r>
        <w:rPr>
          <w:rFonts w:eastAsia="宋体"/>
        </w:rPr>
        <w:t>根据评价对象的生态学特征</w:t>
      </w:r>
      <w:r>
        <w:rPr>
          <w:rFonts w:hint="eastAsia" w:eastAsia="宋体"/>
        </w:rPr>
        <w:t>，</w:t>
      </w:r>
      <w:r>
        <w:rPr>
          <w:rFonts w:eastAsia="宋体"/>
        </w:rPr>
        <w:t>在调查、判定该区域主要生态功能的基础上</w:t>
      </w:r>
      <w:r>
        <w:rPr>
          <w:rFonts w:hint="eastAsia" w:eastAsia="宋体"/>
        </w:rPr>
        <w:t>，</w:t>
      </w:r>
      <w:r>
        <w:rPr>
          <w:rFonts w:eastAsia="宋体"/>
        </w:rPr>
        <w:t>采用定量分析与定性分析相结合方法进行预测</w:t>
      </w:r>
      <w:r>
        <w:rPr>
          <w:rFonts w:hint="eastAsia" w:eastAsia="宋体"/>
        </w:rPr>
        <w:t>，</w:t>
      </w:r>
      <w:r>
        <w:rPr>
          <w:rFonts w:eastAsia="宋体"/>
        </w:rPr>
        <w:t>并使用图形叠置法对评价范围内各指标的变化情况进行直观表述</w:t>
      </w:r>
      <w:r>
        <w:rPr>
          <w:rFonts w:hint="eastAsia" w:eastAsia="宋体"/>
        </w:rPr>
        <w:t xml:space="preserve">。 </w:t>
      </w:r>
    </w:p>
    <w:p>
      <w:pPr>
        <w:pStyle w:val="6"/>
        <w:keepLines w:val="0"/>
        <w:adjustRightInd w:val="0"/>
        <w:snapToGrid w:val="0"/>
        <w:spacing w:before="156" w:beforeLines="50" w:line="360" w:lineRule="auto"/>
        <w:rPr>
          <w:rFonts w:eastAsia="宋体"/>
          <w:bCs w:val="0"/>
          <w:i w:val="0"/>
          <w:color w:val="auto"/>
          <w:sz w:val="24"/>
          <w:szCs w:val="24"/>
        </w:rPr>
      </w:pPr>
      <w:r>
        <w:rPr>
          <w:rFonts w:eastAsia="宋体"/>
          <w:bCs w:val="0"/>
          <w:i w:val="0"/>
          <w:color w:val="auto"/>
          <w:sz w:val="24"/>
          <w:szCs w:val="24"/>
        </w:rPr>
        <w:t>5.5.3生态环境</w:t>
      </w:r>
      <w:r>
        <w:rPr>
          <w:rFonts w:hint="eastAsia" w:eastAsia="宋体"/>
          <w:bCs w:val="0"/>
          <w:i w:val="0"/>
          <w:color w:val="auto"/>
          <w:sz w:val="24"/>
          <w:szCs w:val="24"/>
        </w:rPr>
        <w:t>影响预测与评价</w:t>
      </w:r>
    </w:p>
    <w:p>
      <w:pPr>
        <w:widowControl w:val="0"/>
        <w:spacing w:line="440" w:lineRule="exact"/>
        <w:ind w:firstLine="480" w:firstLineChars="200"/>
        <w:jc w:val="both"/>
      </w:pPr>
      <w:r>
        <w:t>本次评价主要</w:t>
      </w:r>
      <w:r>
        <w:rPr>
          <w:rFonts w:hint="eastAsia"/>
        </w:rPr>
        <w:t>通过对</w:t>
      </w:r>
      <w:r>
        <w:t>土地利用、植被覆盖、水土流失3个因子的影响来分析评价区生态环境变化情况</w:t>
      </w:r>
      <w:r>
        <w:rPr>
          <w:rFonts w:hint="eastAsia"/>
        </w:rPr>
        <w:t>，</w:t>
      </w:r>
      <w:r>
        <w:t>预测在不采取任何复垦措施的情况下</w:t>
      </w:r>
      <w:r>
        <w:rPr>
          <w:rFonts w:hint="eastAsia"/>
        </w:rPr>
        <w:t>，项目</w:t>
      </w:r>
      <w:r>
        <w:t>结束后的生态破坏情况</w:t>
      </w:r>
      <w:r>
        <w:rPr>
          <w:rFonts w:hint="eastAsia"/>
        </w:rPr>
        <w:t>。</w:t>
      </w:r>
    </w:p>
    <w:p>
      <w:pPr>
        <w:spacing w:line="440" w:lineRule="exact"/>
        <w:ind w:firstLine="480" w:firstLineChars="200"/>
        <w:jc w:val="both"/>
      </w:pPr>
      <w:r>
        <w:rPr>
          <w:rFonts w:hint="eastAsia"/>
        </w:rPr>
        <w:t>（1）土地利用影响</w:t>
      </w:r>
    </w:p>
    <w:p>
      <w:pPr>
        <w:widowControl w:val="0"/>
        <w:spacing w:line="440" w:lineRule="exact"/>
        <w:ind w:firstLine="480" w:firstLineChars="200"/>
        <w:jc w:val="both"/>
        <w:rPr>
          <w:rFonts w:hint="eastAsia"/>
          <w:kern w:val="2"/>
        </w:rPr>
      </w:pPr>
      <w:r>
        <w:rPr>
          <w:kern w:val="2"/>
        </w:rPr>
        <w:t>矿山开采活动扰动地表，造成</w:t>
      </w:r>
      <w:r>
        <w:rPr>
          <w:rFonts w:hint="eastAsia"/>
          <w:kern w:val="2"/>
        </w:rPr>
        <w:t>矿区内土地利用类型改变</w:t>
      </w:r>
      <w:r>
        <w:rPr>
          <w:kern w:val="2"/>
        </w:rPr>
        <w:t>，生物量减少</w:t>
      </w:r>
      <w:r>
        <w:rPr>
          <w:rFonts w:hint="eastAsia"/>
          <w:kern w:val="2"/>
        </w:rPr>
        <w:t>。本项目矿山</w:t>
      </w:r>
      <w:r>
        <w:rPr>
          <w:rFonts w:hint="eastAsia"/>
          <w:kern w:val="2"/>
          <w:lang w:val="en-US" w:eastAsia="zh-CN"/>
        </w:rPr>
        <w:t>开采</w:t>
      </w:r>
      <w:r>
        <w:rPr>
          <w:rFonts w:hint="eastAsia"/>
          <w:kern w:val="2"/>
        </w:rPr>
        <w:t>活动预计破坏耕地面积</w:t>
      </w:r>
      <w:r>
        <w:rPr>
          <w:rFonts w:hint="eastAsia"/>
          <w:kern w:val="2"/>
          <w:lang w:val="en-US" w:eastAsia="zh-CN"/>
        </w:rPr>
        <w:t>1.19hm</w:t>
      </w:r>
      <w:r>
        <w:rPr>
          <w:rFonts w:hint="eastAsia"/>
          <w:kern w:val="2"/>
          <w:vertAlign w:val="superscript"/>
          <w:lang w:val="en-US" w:eastAsia="zh-CN"/>
        </w:rPr>
        <w:t>2</w:t>
      </w:r>
      <w:r>
        <w:rPr>
          <w:rFonts w:hint="eastAsia"/>
          <w:kern w:val="2"/>
        </w:rPr>
        <w:t>；排土场、工业广场</w:t>
      </w:r>
      <w:r>
        <w:rPr>
          <w:rFonts w:hint="eastAsia"/>
          <w:kern w:val="2"/>
          <w:lang w:eastAsia="zh-CN"/>
        </w:rPr>
        <w:t>、</w:t>
      </w:r>
      <w:r>
        <w:rPr>
          <w:rFonts w:hint="eastAsia"/>
          <w:kern w:val="2"/>
        </w:rPr>
        <w:t>办公生活区</w:t>
      </w:r>
      <w:r>
        <w:rPr>
          <w:rFonts w:hint="eastAsia"/>
          <w:kern w:val="2"/>
          <w:lang w:eastAsia="zh-CN"/>
        </w:rPr>
        <w:t>和运输道路</w:t>
      </w:r>
      <w:r>
        <w:rPr>
          <w:rFonts w:hint="eastAsia"/>
          <w:kern w:val="2"/>
        </w:rPr>
        <w:t>等设施均利用工矿仓储用地进行建设，不改变土地利用现状；</w:t>
      </w:r>
    </w:p>
    <w:p>
      <w:pPr>
        <w:widowControl w:val="0"/>
        <w:spacing w:line="440" w:lineRule="exact"/>
        <w:ind w:firstLine="480" w:firstLineChars="200"/>
        <w:jc w:val="both"/>
        <w:rPr>
          <w:kern w:val="2"/>
        </w:rPr>
      </w:pPr>
      <w:r>
        <w:rPr>
          <w:rFonts w:hint="eastAsia"/>
          <w:kern w:val="2"/>
        </w:rPr>
        <w:t>项目运营</w:t>
      </w:r>
      <w:r>
        <w:rPr>
          <w:kern w:val="2"/>
        </w:rPr>
        <w:t>对</w:t>
      </w:r>
      <w:r>
        <w:rPr>
          <w:rFonts w:hint="eastAsia"/>
          <w:kern w:val="2"/>
        </w:rPr>
        <w:t>评价区土地利用</w:t>
      </w:r>
      <w:r>
        <w:rPr>
          <w:kern w:val="2"/>
        </w:rPr>
        <w:t>影响</w:t>
      </w:r>
      <w:r>
        <w:rPr>
          <w:rFonts w:hint="eastAsia"/>
          <w:kern w:val="2"/>
        </w:rPr>
        <w:t>情况</w:t>
      </w:r>
      <w:r>
        <w:rPr>
          <w:kern w:val="2"/>
        </w:rPr>
        <w:t>见表</w:t>
      </w:r>
      <w:r>
        <w:rPr>
          <w:rFonts w:hint="eastAsia"/>
          <w:kern w:val="2"/>
        </w:rPr>
        <w:t>5.5-1</w:t>
      </w:r>
      <w:r>
        <w:rPr>
          <w:kern w:val="2"/>
        </w:rPr>
        <w:t>。</w:t>
      </w:r>
    </w:p>
    <w:p>
      <w:pPr>
        <w:widowControl w:val="0"/>
        <w:spacing w:before="156" w:beforeLines="50"/>
        <w:jc w:val="center"/>
        <w:rPr>
          <w:rFonts w:eastAsia="黑体" w:cs="宋体"/>
          <w:bCs/>
          <w:kern w:val="2"/>
          <w:sz w:val="21"/>
        </w:rPr>
      </w:pPr>
      <w:r>
        <w:rPr>
          <w:rFonts w:eastAsia="黑体" w:cs="宋体"/>
          <w:bCs/>
          <w:kern w:val="2"/>
          <w:sz w:val="21"/>
        </w:rPr>
        <w:t>表</w:t>
      </w:r>
      <w:r>
        <w:rPr>
          <w:rFonts w:hint="eastAsia" w:eastAsia="黑体" w:cs="宋体"/>
          <w:bCs/>
          <w:kern w:val="2"/>
          <w:sz w:val="21"/>
        </w:rPr>
        <w:t>5.5-1项目对评价区域土地利用影响情况</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2338"/>
        <w:gridCol w:w="2875"/>
        <w:gridCol w:w="2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Align w:val="center"/>
          </w:tcPr>
          <w:p>
            <w:pPr>
              <w:widowControl w:val="0"/>
              <w:adjustRightInd w:val="0"/>
              <w:snapToGrid w:val="0"/>
              <w:spacing w:line="360" w:lineRule="exact"/>
              <w:jc w:val="center"/>
              <w:rPr>
                <w:kern w:val="2"/>
                <w:sz w:val="21"/>
                <w:szCs w:val="20"/>
              </w:rPr>
            </w:pPr>
            <w:r>
              <w:rPr>
                <w:rFonts w:hint="eastAsia"/>
                <w:kern w:val="2"/>
                <w:sz w:val="21"/>
                <w:szCs w:val="20"/>
              </w:rPr>
              <w:t>类别</w:t>
            </w:r>
          </w:p>
        </w:tc>
        <w:tc>
          <w:tcPr>
            <w:tcW w:w="1274" w:type="pct"/>
            <w:vAlign w:val="center"/>
          </w:tcPr>
          <w:p>
            <w:pPr>
              <w:widowControl w:val="0"/>
              <w:adjustRightInd w:val="0"/>
              <w:snapToGrid w:val="0"/>
              <w:spacing w:line="360" w:lineRule="exact"/>
              <w:jc w:val="center"/>
              <w:rPr>
                <w:kern w:val="2"/>
                <w:sz w:val="21"/>
                <w:szCs w:val="20"/>
              </w:rPr>
            </w:pPr>
            <w:r>
              <w:rPr>
                <w:kern w:val="2"/>
                <w:sz w:val="21"/>
                <w:szCs w:val="20"/>
              </w:rPr>
              <w:t>土地</w:t>
            </w:r>
            <w:r>
              <w:rPr>
                <w:rFonts w:hint="eastAsia"/>
                <w:kern w:val="2"/>
                <w:sz w:val="21"/>
                <w:szCs w:val="20"/>
              </w:rPr>
              <w:t>利用</w:t>
            </w:r>
            <w:r>
              <w:rPr>
                <w:kern w:val="2"/>
                <w:sz w:val="21"/>
                <w:szCs w:val="20"/>
              </w:rPr>
              <w:t>类型</w:t>
            </w:r>
          </w:p>
        </w:tc>
        <w:tc>
          <w:tcPr>
            <w:tcW w:w="1567" w:type="pct"/>
            <w:vAlign w:val="center"/>
          </w:tcPr>
          <w:p>
            <w:pPr>
              <w:widowControl w:val="0"/>
              <w:adjustRightInd w:val="0"/>
              <w:snapToGrid w:val="0"/>
              <w:spacing w:line="360" w:lineRule="exact"/>
              <w:jc w:val="center"/>
              <w:rPr>
                <w:kern w:val="2"/>
                <w:sz w:val="21"/>
                <w:szCs w:val="20"/>
              </w:rPr>
            </w:pPr>
            <w:r>
              <w:rPr>
                <w:rFonts w:hint="eastAsia"/>
                <w:kern w:val="2"/>
                <w:sz w:val="21"/>
                <w:szCs w:val="20"/>
              </w:rPr>
              <w:t>影响后</w:t>
            </w:r>
            <w:r>
              <w:rPr>
                <w:kern w:val="2"/>
                <w:sz w:val="21"/>
                <w:szCs w:val="20"/>
              </w:rPr>
              <w:t>面积(hm</w:t>
            </w:r>
            <w:r>
              <w:rPr>
                <w:kern w:val="2"/>
                <w:sz w:val="21"/>
                <w:szCs w:val="20"/>
                <w:vertAlign w:val="superscript"/>
              </w:rPr>
              <w:t>2</w:t>
            </w:r>
            <w:r>
              <w:rPr>
                <w:kern w:val="2"/>
                <w:sz w:val="21"/>
                <w:szCs w:val="20"/>
              </w:rPr>
              <w:t>)</w:t>
            </w:r>
          </w:p>
        </w:tc>
        <w:tc>
          <w:tcPr>
            <w:tcW w:w="1388" w:type="pct"/>
            <w:vAlign w:val="center"/>
          </w:tcPr>
          <w:p>
            <w:pPr>
              <w:widowControl w:val="0"/>
              <w:adjustRightInd w:val="0"/>
              <w:snapToGrid w:val="0"/>
              <w:spacing w:line="360" w:lineRule="exact"/>
              <w:jc w:val="center"/>
              <w:rPr>
                <w:kern w:val="2"/>
                <w:sz w:val="21"/>
                <w:szCs w:val="20"/>
              </w:rPr>
            </w:pPr>
            <w:r>
              <w:rPr>
                <w:rFonts w:hint="eastAsia"/>
                <w:kern w:val="2"/>
                <w:sz w:val="21"/>
                <w:szCs w:val="20"/>
              </w:rPr>
              <w:t>影响后生物量</w:t>
            </w:r>
            <w:r>
              <w:rPr>
                <w:kern w:val="2"/>
                <w:sz w:val="21"/>
                <w:szCs w:val="20"/>
              </w:rPr>
              <w:t>t/(hm</w:t>
            </w:r>
            <w:r>
              <w:rPr>
                <w:kern w:val="2"/>
                <w:sz w:val="21"/>
                <w:szCs w:val="20"/>
                <w:vertAlign w:val="superscript"/>
              </w:rPr>
              <w:t>2</w:t>
            </w:r>
            <w:r>
              <w:rPr>
                <w:kern w:val="2"/>
                <w:sz w:val="21"/>
                <w:szCs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69" w:type="pct"/>
            <w:vMerge w:val="restart"/>
            <w:vAlign w:val="center"/>
          </w:tcPr>
          <w:p>
            <w:pPr>
              <w:widowControl w:val="0"/>
              <w:adjustRightInd w:val="0"/>
              <w:snapToGrid w:val="0"/>
              <w:spacing w:line="360" w:lineRule="exact"/>
              <w:jc w:val="center"/>
              <w:rPr>
                <w:kern w:val="2"/>
                <w:sz w:val="21"/>
                <w:szCs w:val="20"/>
              </w:rPr>
            </w:pPr>
            <w:r>
              <w:rPr>
                <w:rFonts w:hint="eastAsia"/>
                <w:kern w:val="2"/>
                <w:sz w:val="21"/>
                <w:szCs w:val="20"/>
              </w:rPr>
              <w:t>评价范围</w:t>
            </w:r>
          </w:p>
        </w:tc>
        <w:tc>
          <w:tcPr>
            <w:tcW w:w="2366" w:type="dxa"/>
            <w:vAlign w:val="center"/>
          </w:tcPr>
          <w:p>
            <w:pPr>
              <w:adjustRightInd w:val="0"/>
              <w:snapToGrid w:val="0"/>
              <w:spacing w:line="360" w:lineRule="exact"/>
              <w:jc w:val="center"/>
              <w:rPr>
                <w:kern w:val="2"/>
                <w:sz w:val="21"/>
                <w:szCs w:val="20"/>
              </w:rPr>
            </w:pPr>
            <w:r>
              <w:rPr>
                <w:sz w:val="21"/>
                <w:szCs w:val="20"/>
              </w:rPr>
              <w:t>耕地</w:t>
            </w:r>
          </w:p>
        </w:tc>
        <w:tc>
          <w:tcPr>
            <w:tcW w:w="2911" w:type="dxa"/>
            <w:vAlign w:val="center"/>
          </w:tcPr>
          <w:p>
            <w:pPr>
              <w:widowControl w:val="0"/>
              <w:adjustRightInd w:val="0"/>
              <w:snapToGrid w:val="0"/>
              <w:spacing w:line="360" w:lineRule="exact"/>
              <w:jc w:val="center"/>
              <w:rPr>
                <w:rFonts w:hint="default" w:eastAsia="宋体"/>
                <w:kern w:val="2"/>
                <w:sz w:val="21"/>
                <w:szCs w:val="20"/>
                <w:lang w:val="en-US" w:eastAsia="zh-CN"/>
              </w:rPr>
            </w:pPr>
            <w:r>
              <w:rPr>
                <w:rFonts w:hint="eastAsia"/>
                <w:kern w:val="2"/>
                <w:sz w:val="21"/>
                <w:szCs w:val="20"/>
                <w:lang w:val="en-US" w:eastAsia="zh-CN"/>
              </w:rPr>
              <w:t>23.63</w:t>
            </w:r>
          </w:p>
        </w:tc>
        <w:tc>
          <w:tcPr>
            <w:tcW w:w="2578" w:type="dxa"/>
            <w:vAlign w:val="center"/>
          </w:tcPr>
          <w:p>
            <w:pPr>
              <w:adjustRightInd w:val="0"/>
              <w:snapToGrid w:val="0"/>
              <w:spacing w:line="360" w:lineRule="exact"/>
              <w:jc w:val="center"/>
              <w:rPr>
                <w:kern w:val="2"/>
                <w:sz w:val="21"/>
                <w:szCs w:val="20"/>
              </w:rPr>
            </w:pPr>
            <w:r>
              <w:rPr>
                <w:rFonts w:hint="eastAsia"/>
                <w:sz w:val="21"/>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continue"/>
            <w:vAlign w:val="center"/>
          </w:tcPr>
          <w:p>
            <w:pPr>
              <w:widowControl w:val="0"/>
              <w:adjustRightInd w:val="0"/>
              <w:snapToGrid w:val="0"/>
              <w:spacing w:line="360" w:lineRule="exact"/>
              <w:jc w:val="center"/>
              <w:rPr>
                <w:kern w:val="2"/>
                <w:sz w:val="21"/>
                <w:szCs w:val="20"/>
              </w:rPr>
            </w:pPr>
          </w:p>
        </w:tc>
        <w:tc>
          <w:tcPr>
            <w:tcW w:w="2366" w:type="dxa"/>
            <w:vAlign w:val="center"/>
          </w:tcPr>
          <w:p>
            <w:pPr>
              <w:adjustRightInd w:val="0"/>
              <w:snapToGrid w:val="0"/>
              <w:spacing w:line="360" w:lineRule="exact"/>
              <w:jc w:val="center"/>
              <w:rPr>
                <w:kern w:val="2"/>
                <w:sz w:val="21"/>
                <w:szCs w:val="20"/>
              </w:rPr>
            </w:pPr>
            <w:r>
              <w:rPr>
                <w:rFonts w:hint="eastAsia"/>
                <w:kern w:val="2"/>
                <w:sz w:val="21"/>
                <w:szCs w:val="20"/>
              </w:rPr>
              <w:t>内陆滩涂</w:t>
            </w:r>
          </w:p>
        </w:tc>
        <w:tc>
          <w:tcPr>
            <w:tcW w:w="2911" w:type="dxa"/>
            <w:vAlign w:val="center"/>
          </w:tcPr>
          <w:p>
            <w:pPr>
              <w:widowControl w:val="0"/>
              <w:adjustRightInd w:val="0"/>
              <w:snapToGrid w:val="0"/>
              <w:spacing w:line="360" w:lineRule="exact"/>
              <w:jc w:val="center"/>
              <w:rPr>
                <w:kern w:val="2"/>
                <w:sz w:val="21"/>
                <w:szCs w:val="20"/>
              </w:rPr>
            </w:pPr>
            <w:r>
              <w:rPr>
                <w:rFonts w:hint="eastAsia"/>
                <w:kern w:val="2"/>
                <w:sz w:val="21"/>
                <w:szCs w:val="20"/>
              </w:rPr>
              <w:t>1.52</w:t>
            </w:r>
          </w:p>
        </w:tc>
        <w:tc>
          <w:tcPr>
            <w:tcW w:w="2578" w:type="dxa"/>
            <w:vAlign w:val="center"/>
          </w:tcPr>
          <w:p>
            <w:pPr>
              <w:adjustRightInd w:val="0"/>
              <w:snapToGrid w:val="0"/>
              <w:spacing w:line="360" w:lineRule="exact"/>
              <w:jc w:val="center"/>
              <w:rPr>
                <w:rFonts w:hint="eastAsia" w:eastAsia="宋体"/>
                <w:kern w:val="2"/>
                <w:sz w:val="21"/>
                <w:szCs w:val="20"/>
                <w:lang w:eastAsia="zh-CN"/>
              </w:rPr>
            </w:pPr>
            <w:r>
              <w:rPr>
                <w:rFonts w:hint="eastAsia"/>
                <w:sz w:val="21"/>
                <w:szCs w:val="2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continue"/>
            <w:vAlign w:val="center"/>
          </w:tcPr>
          <w:p>
            <w:pPr>
              <w:widowControl w:val="0"/>
              <w:adjustRightInd w:val="0"/>
              <w:snapToGrid w:val="0"/>
              <w:spacing w:line="360" w:lineRule="exact"/>
              <w:jc w:val="center"/>
              <w:rPr>
                <w:kern w:val="2"/>
                <w:sz w:val="21"/>
                <w:szCs w:val="20"/>
              </w:rPr>
            </w:pPr>
          </w:p>
        </w:tc>
        <w:tc>
          <w:tcPr>
            <w:tcW w:w="2366" w:type="dxa"/>
            <w:vAlign w:val="center"/>
          </w:tcPr>
          <w:p>
            <w:pPr>
              <w:adjustRightInd w:val="0"/>
              <w:snapToGrid w:val="0"/>
              <w:spacing w:line="360" w:lineRule="exact"/>
              <w:jc w:val="center"/>
              <w:rPr>
                <w:sz w:val="21"/>
                <w:szCs w:val="20"/>
              </w:rPr>
            </w:pPr>
            <w:r>
              <w:rPr>
                <w:sz w:val="21"/>
                <w:szCs w:val="20"/>
              </w:rPr>
              <w:t>工矿仓储用地</w:t>
            </w:r>
          </w:p>
        </w:tc>
        <w:tc>
          <w:tcPr>
            <w:tcW w:w="2911" w:type="dxa"/>
            <w:vAlign w:val="center"/>
          </w:tcPr>
          <w:p>
            <w:pPr>
              <w:widowControl w:val="0"/>
              <w:adjustRightInd w:val="0"/>
              <w:snapToGrid w:val="0"/>
              <w:spacing w:line="360" w:lineRule="exact"/>
              <w:jc w:val="center"/>
              <w:rPr>
                <w:rFonts w:hint="default" w:eastAsia="宋体"/>
                <w:kern w:val="2"/>
                <w:sz w:val="21"/>
                <w:szCs w:val="20"/>
                <w:lang w:val="en-US" w:eastAsia="zh-CN"/>
              </w:rPr>
            </w:pPr>
            <w:r>
              <w:rPr>
                <w:rFonts w:hint="eastAsia"/>
                <w:kern w:val="2"/>
                <w:sz w:val="21"/>
                <w:szCs w:val="20"/>
                <w:lang w:val="en-US" w:eastAsia="zh-CN"/>
              </w:rPr>
              <w:t>10.44</w:t>
            </w:r>
          </w:p>
        </w:tc>
        <w:tc>
          <w:tcPr>
            <w:tcW w:w="2578" w:type="dxa"/>
            <w:vAlign w:val="center"/>
          </w:tcPr>
          <w:p>
            <w:pPr>
              <w:adjustRightInd w:val="0"/>
              <w:snapToGrid w:val="0"/>
              <w:spacing w:line="360" w:lineRule="exact"/>
              <w:jc w:val="center"/>
              <w:rPr>
                <w:kern w:val="2"/>
                <w:sz w:val="21"/>
                <w:szCs w:val="20"/>
              </w:rPr>
            </w:pPr>
            <w:r>
              <w:rPr>
                <w:rFonts w:hint="eastAsia"/>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continue"/>
            <w:vAlign w:val="center"/>
          </w:tcPr>
          <w:p>
            <w:pPr>
              <w:widowControl w:val="0"/>
              <w:adjustRightInd w:val="0"/>
              <w:snapToGrid w:val="0"/>
              <w:spacing w:line="360" w:lineRule="exact"/>
              <w:jc w:val="center"/>
              <w:rPr>
                <w:kern w:val="2"/>
                <w:sz w:val="21"/>
                <w:szCs w:val="20"/>
              </w:rPr>
            </w:pPr>
          </w:p>
        </w:tc>
        <w:tc>
          <w:tcPr>
            <w:tcW w:w="2366" w:type="dxa"/>
            <w:vAlign w:val="center"/>
          </w:tcPr>
          <w:p>
            <w:pPr>
              <w:adjustRightInd w:val="0"/>
              <w:snapToGrid w:val="0"/>
              <w:spacing w:line="360" w:lineRule="exact"/>
              <w:jc w:val="center"/>
              <w:rPr>
                <w:kern w:val="2"/>
                <w:sz w:val="21"/>
                <w:szCs w:val="20"/>
              </w:rPr>
            </w:pPr>
            <w:r>
              <w:rPr>
                <w:sz w:val="21"/>
                <w:szCs w:val="20"/>
              </w:rPr>
              <w:t>交通运输用地</w:t>
            </w:r>
          </w:p>
        </w:tc>
        <w:tc>
          <w:tcPr>
            <w:tcW w:w="2911" w:type="dxa"/>
            <w:vAlign w:val="center"/>
          </w:tcPr>
          <w:p>
            <w:pPr>
              <w:widowControl w:val="0"/>
              <w:adjustRightInd w:val="0"/>
              <w:snapToGrid w:val="0"/>
              <w:spacing w:line="360" w:lineRule="exact"/>
              <w:jc w:val="center"/>
              <w:rPr>
                <w:kern w:val="2"/>
                <w:sz w:val="21"/>
                <w:szCs w:val="20"/>
              </w:rPr>
            </w:pPr>
            <w:r>
              <w:rPr>
                <w:rFonts w:hint="eastAsia"/>
                <w:kern w:val="2"/>
                <w:sz w:val="21"/>
                <w:szCs w:val="20"/>
              </w:rPr>
              <w:t>0.62</w:t>
            </w:r>
          </w:p>
        </w:tc>
        <w:tc>
          <w:tcPr>
            <w:tcW w:w="2578" w:type="dxa"/>
            <w:vAlign w:val="center"/>
          </w:tcPr>
          <w:p>
            <w:pPr>
              <w:adjustRightInd w:val="0"/>
              <w:snapToGrid w:val="0"/>
              <w:spacing w:line="360" w:lineRule="exact"/>
              <w:jc w:val="center"/>
              <w:rPr>
                <w:kern w:val="2"/>
                <w:sz w:val="21"/>
                <w:szCs w:val="20"/>
              </w:rPr>
            </w:pPr>
            <w:r>
              <w:rPr>
                <w:rFonts w:hint="eastAsia"/>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continue"/>
            <w:vAlign w:val="center"/>
          </w:tcPr>
          <w:p>
            <w:pPr>
              <w:widowControl w:val="0"/>
              <w:adjustRightInd w:val="0"/>
              <w:snapToGrid w:val="0"/>
              <w:spacing w:line="360" w:lineRule="exact"/>
              <w:jc w:val="center"/>
              <w:rPr>
                <w:kern w:val="2"/>
                <w:sz w:val="21"/>
                <w:szCs w:val="20"/>
              </w:rPr>
            </w:pPr>
          </w:p>
        </w:tc>
        <w:tc>
          <w:tcPr>
            <w:tcW w:w="2366" w:type="dxa"/>
            <w:vAlign w:val="center"/>
          </w:tcPr>
          <w:p>
            <w:pPr>
              <w:adjustRightInd w:val="0"/>
              <w:snapToGrid w:val="0"/>
              <w:spacing w:line="360" w:lineRule="exact"/>
              <w:jc w:val="center"/>
              <w:rPr>
                <w:kern w:val="2"/>
                <w:sz w:val="21"/>
                <w:szCs w:val="20"/>
              </w:rPr>
            </w:pPr>
            <w:r>
              <w:rPr>
                <w:sz w:val="21"/>
                <w:szCs w:val="20"/>
              </w:rPr>
              <w:t>合计</w:t>
            </w:r>
          </w:p>
        </w:tc>
        <w:tc>
          <w:tcPr>
            <w:tcW w:w="2911" w:type="dxa"/>
            <w:vAlign w:val="center"/>
          </w:tcPr>
          <w:p>
            <w:pPr>
              <w:widowControl w:val="0"/>
              <w:adjustRightInd w:val="0"/>
              <w:snapToGrid w:val="0"/>
              <w:spacing w:line="360" w:lineRule="exact"/>
              <w:jc w:val="center"/>
              <w:rPr>
                <w:kern w:val="2"/>
                <w:sz w:val="21"/>
                <w:szCs w:val="20"/>
              </w:rPr>
            </w:pPr>
            <w:r>
              <w:rPr>
                <w:rFonts w:hint="eastAsia"/>
                <w:kern w:val="2"/>
                <w:sz w:val="21"/>
                <w:szCs w:val="20"/>
              </w:rPr>
              <w:t>36.21</w:t>
            </w:r>
          </w:p>
        </w:tc>
        <w:tc>
          <w:tcPr>
            <w:tcW w:w="2578" w:type="dxa"/>
            <w:vAlign w:val="center"/>
          </w:tcPr>
          <w:p>
            <w:pPr>
              <w:adjustRightInd w:val="0"/>
              <w:snapToGrid w:val="0"/>
              <w:spacing w:line="360" w:lineRule="exact"/>
              <w:jc w:val="center"/>
              <w:rPr>
                <w:rFonts w:hint="default" w:eastAsia="宋体"/>
                <w:kern w:val="2"/>
                <w:sz w:val="21"/>
                <w:szCs w:val="20"/>
                <w:lang w:val="en-US" w:eastAsia="zh-CN"/>
              </w:rPr>
            </w:pPr>
            <w:r>
              <w:rPr>
                <w:rFonts w:hint="eastAsia"/>
                <w:kern w:val="2"/>
                <w:sz w:val="21"/>
                <w:szCs w:val="20"/>
                <w:lang w:val="en-US" w:eastAsia="zh-CN"/>
              </w:rPr>
              <w:t>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restart"/>
            <w:vAlign w:val="center"/>
          </w:tcPr>
          <w:p>
            <w:pPr>
              <w:widowControl w:val="0"/>
              <w:adjustRightInd w:val="0"/>
              <w:snapToGrid w:val="0"/>
              <w:spacing w:line="360" w:lineRule="exact"/>
              <w:jc w:val="center"/>
              <w:rPr>
                <w:kern w:val="2"/>
                <w:sz w:val="21"/>
                <w:szCs w:val="20"/>
              </w:rPr>
            </w:pPr>
            <w:r>
              <w:rPr>
                <w:rFonts w:hint="eastAsia"/>
                <w:kern w:val="2"/>
                <w:sz w:val="21"/>
                <w:szCs w:val="20"/>
              </w:rPr>
              <w:t>项目占地</w:t>
            </w:r>
          </w:p>
        </w:tc>
        <w:tc>
          <w:tcPr>
            <w:tcW w:w="2366" w:type="dxa"/>
            <w:vAlign w:val="center"/>
          </w:tcPr>
          <w:p>
            <w:pPr>
              <w:widowControl w:val="0"/>
              <w:adjustRightInd w:val="0"/>
              <w:snapToGrid w:val="0"/>
              <w:spacing w:line="360" w:lineRule="exact"/>
              <w:jc w:val="center"/>
              <w:rPr>
                <w:kern w:val="2"/>
                <w:sz w:val="21"/>
                <w:szCs w:val="20"/>
              </w:rPr>
            </w:pPr>
            <w:r>
              <w:rPr>
                <w:rFonts w:hint="eastAsia"/>
                <w:kern w:val="2"/>
                <w:sz w:val="21"/>
                <w:szCs w:val="20"/>
              </w:rPr>
              <w:t>耕地</w:t>
            </w:r>
          </w:p>
        </w:tc>
        <w:tc>
          <w:tcPr>
            <w:tcW w:w="2911" w:type="dxa"/>
            <w:vAlign w:val="center"/>
          </w:tcPr>
          <w:p>
            <w:pPr>
              <w:widowControl w:val="0"/>
              <w:adjustRightInd w:val="0"/>
              <w:snapToGrid w:val="0"/>
              <w:spacing w:line="360" w:lineRule="exact"/>
              <w:jc w:val="center"/>
              <w:rPr>
                <w:rFonts w:hint="default" w:eastAsia="宋体"/>
                <w:kern w:val="2"/>
                <w:sz w:val="21"/>
                <w:szCs w:val="20"/>
                <w:lang w:val="en-US" w:eastAsia="zh-CN"/>
              </w:rPr>
            </w:pPr>
            <w:r>
              <w:rPr>
                <w:rFonts w:hint="eastAsia"/>
                <w:kern w:val="2"/>
                <w:sz w:val="21"/>
                <w:szCs w:val="20"/>
                <w:lang w:val="en-US" w:eastAsia="zh-CN"/>
              </w:rPr>
              <w:t>1.06</w:t>
            </w:r>
          </w:p>
        </w:tc>
        <w:tc>
          <w:tcPr>
            <w:tcW w:w="2578" w:type="dxa"/>
            <w:vAlign w:val="center"/>
          </w:tcPr>
          <w:p>
            <w:pPr>
              <w:adjustRightInd w:val="0"/>
              <w:snapToGrid w:val="0"/>
              <w:spacing w:line="360" w:lineRule="exact"/>
              <w:jc w:val="center"/>
              <w:rPr>
                <w:kern w:val="2"/>
                <w:sz w:val="21"/>
                <w:szCs w:val="20"/>
              </w:rPr>
            </w:pPr>
            <w:r>
              <w:rPr>
                <w:rFonts w:hint="eastAsia"/>
                <w:sz w:val="21"/>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continue"/>
            <w:vAlign w:val="center"/>
          </w:tcPr>
          <w:p>
            <w:pPr>
              <w:widowControl w:val="0"/>
              <w:adjustRightInd w:val="0"/>
              <w:snapToGrid w:val="0"/>
              <w:spacing w:line="360" w:lineRule="exact"/>
              <w:jc w:val="center"/>
              <w:rPr>
                <w:kern w:val="2"/>
                <w:sz w:val="21"/>
                <w:szCs w:val="20"/>
              </w:rPr>
            </w:pPr>
          </w:p>
        </w:tc>
        <w:tc>
          <w:tcPr>
            <w:tcW w:w="2366" w:type="dxa"/>
            <w:vAlign w:val="center"/>
          </w:tcPr>
          <w:p>
            <w:pPr>
              <w:widowControl w:val="0"/>
              <w:adjustRightInd w:val="0"/>
              <w:snapToGrid w:val="0"/>
              <w:spacing w:line="360" w:lineRule="exact"/>
              <w:jc w:val="center"/>
              <w:rPr>
                <w:kern w:val="2"/>
                <w:sz w:val="21"/>
                <w:szCs w:val="20"/>
              </w:rPr>
            </w:pPr>
            <w:r>
              <w:rPr>
                <w:rFonts w:hint="eastAsia"/>
                <w:kern w:val="2"/>
                <w:sz w:val="21"/>
                <w:szCs w:val="20"/>
              </w:rPr>
              <w:t>工矿仓储用地</w:t>
            </w:r>
          </w:p>
        </w:tc>
        <w:tc>
          <w:tcPr>
            <w:tcW w:w="2911" w:type="dxa"/>
            <w:vAlign w:val="center"/>
          </w:tcPr>
          <w:p>
            <w:pPr>
              <w:widowControl w:val="0"/>
              <w:adjustRightInd w:val="0"/>
              <w:snapToGrid w:val="0"/>
              <w:spacing w:line="360" w:lineRule="exact"/>
              <w:jc w:val="center"/>
              <w:rPr>
                <w:rFonts w:hint="default" w:eastAsia="宋体"/>
                <w:kern w:val="2"/>
                <w:sz w:val="21"/>
                <w:szCs w:val="20"/>
                <w:lang w:val="en-US" w:eastAsia="zh-CN"/>
              </w:rPr>
            </w:pPr>
            <w:r>
              <w:rPr>
                <w:rFonts w:hint="eastAsia"/>
                <w:kern w:val="2"/>
                <w:sz w:val="21"/>
                <w:szCs w:val="20"/>
                <w:lang w:val="en-US" w:eastAsia="zh-CN"/>
              </w:rPr>
              <w:t>4.05</w:t>
            </w:r>
          </w:p>
        </w:tc>
        <w:tc>
          <w:tcPr>
            <w:tcW w:w="2578" w:type="dxa"/>
            <w:vAlign w:val="center"/>
          </w:tcPr>
          <w:p>
            <w:pPr>
              <w:adjustRightInd w:val="0"/>
              <w:snapToGrid w:val="0"/>
              <w:spacing w:line="360" w:lineRule="exact"/>
              <w:jc w:val="center"/>
              <w:rPr>
                <w:kern w:val="2"/>
                <w:sz w:val="21"/>
                <w:szCs w:val="20"/>
              </w:rPr>
            </w:pPr>
            <w:r>
              <w:rPr>
                <w:rFonts w:hint="eastAsia"/>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continue"/>
            <w:vAlign w:val="center"/>
          </w:tcPr>
          <w:p>
            <w:pPr>
              <w:widowControl w:val="0"/>
              <w:adjustRightInd w:val="0"/>
              <w:snapToGrid w:val="0"/>
              <w:spacing w:line="360" w:lineRule="exact"/>
              <w:jc w:val="center"/>
              <w:rPr>
                <w:kern w:val="2"/>
                <w:sz w:val="21"/>
                <w:szCs w:val="20"/>
              </w:rPr>
            </w:pPr>
          </w:p>
        </w:tc>
        <w:tc>
          <w:tcPr>
            <w:tcW w:w="2366" w:type="dxa"/>
            <w:vAlign w:val="center"/>
          </w:tcPr>
          <w:p>
            <w:pPr>
              <w:widowControl w:val="0"/>
              <w:adjustRightInd w:val="0"/>
              <w:snapToGrid w:val="0"/>
              <w:spacing w:line="360" w:lineRule="exact"/>
              <w:jc w:val="center"/>
              <w:rPr>
                <w:kern w:val="2"/>
                <w:sz w:val="21"/>
                <w:szCs w:val="20"/>
              </w:rPr>
            </w:pPr>
            <w:r>
              <w:rPr>
                <w:rFonts w:hint="eastAsia"/>
                <w:kern w:val="2"/>
                <w:sz w:val="21"/>
                <w:szCs w:val="20"/>
              </w:rPr>
              <w:t>交通运输占地</w:t>
            </w:r>
          </w:p>
        </w:tc>
        <w:tc>
          <w:tcPr>
            <w:tcW w:w="2911" w:type="dxa"/>
            <w:vAlign w:val="center"/>
          </w:tcPr>
          <w:p>
            <w:pPr>
              <w:widowControl w:val="0"/>
              <w:adjustRightInd w:val="0"/>
              <w:snapToGrid w:val="0"/>
              <w:spacing w:line="360" w:lineRule="exact"/>
              <w:jc w:val="center"/>
              <w:rPr>
                <w:rFonts w:hint="default" w:eastAsia="宋体"/>
                <w:kern w:val="2"/>
                <w:sz w:val="21"/>
                <w:szCs w:val="20"/>
                <w:lang w:val="en-US" w:eastAsia="zh-CN"/>
              </w:rPr>
            </w:pPr>
            <w:r>
              <w:rPr>
                <w:rFonts w:hint="eastAsia"/>
                <w:kern w:val="2"/>
                <w:sz w:val="21"/>
                <w:szCs w:val="20"/>
                <w:lang w:val="en-US" w:eastAsia="zh-CN"/>
              </w:rPr>
              <w:t>0.09</w:t>
            </w:r>
          </w:p>
        </w:tc>
        <w:tc>
          <w:tcPr>
            <w:tcW w:w="2578" w:type="dxa"/>
            <w:vAlign w:val="center"/>
          </w:tcPr>
          <w:p>
            <w:pPr>
              <w:adjustRightInd w:val="0"/>
              <w:snapToGrid w:val="0"/>
              <w:spacing w:line="360" w:lineRule="exact"/>
              <w:jc w:val="center"/>
              <w:rPr>
                <w:kern w:val="2"/>
                <w:sz w:val="21"/>
                <w:szCs w:val="20"/>
              </w:rPr>
            </w:pPr>
            <w:r>
              <w:rPr>
                <w:rFonts w:hint="eastAsia"/>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continue"/>
            <w:vAlign w:val="center"/>
          </w:tcPr>
          <w:p>
            <w:pPr>
              <w:widowControl w:val="0"/>
              <w:adjustRightInd w:val="0"/>
              <w:snapToGrid w:val="0"/>
              <w:spacing w:line="360" w:lineRule="exact"/>
              <w:jc w:val="center"/>
              <w:rPr>
                <w:kern w:val="2"/>
                <w:sz w:val="21"/>
                <w:szCs w:val="20"/>
              </w:rPr>
            </w:pPr>
          </w:p>
        </w:tc>
        <w:tc>
          <w:tcPr>
            <w:tcW w:w="2366" w:type="dxa"/>
            <w:vAlign w:val="center"/>
          </w:tcPr>
          <w:p>
            <w:pPr>
              <w:widowControl w:val="0"/>
              <w:adjustRightInd w:val="0"/>
              <w:snapToGrid w:val="0"/>
              <w:spacing w:line="360" w:lineRule="exact"/>
              <w:jc w:val="center"/>
              <w:rPr>
                <w:kern w:val="2"/>
                <w:sz w:val="21"/>
                <w:szCs w:val="20"/>
              </w:rPr>
            </w:pPr>
            <w:r>
              <w:rPr>
                <w:rFonts w:hint="eastAsia"/>
                <w:kern w:val="2"/>
                <w:sz w:val="21"/>
                <w:szCs w:val="20"/>
              </w:rPr>
              <w:t>总计</w:t>
            </w:r>
          </w:p>
        </w:tc>
        <w:tc>
          <w:tcPr>
            <w:tcW w:w="2911" w:type="dxa"/>
            <w:vAlign w:val="center"/>
          </w:tcPr>
          <w:p>
            <w:pPr>
              <w:widowControl w:val="0"/>
              <w:adjustRightInd w:val="0"/>
              <w:snapToGrid w:val="0"/>
              <w:spacing w:line="360" w:lineRule="exact"/>
              <w:jc w:val="center"/>
              <w:rPr>
                <w:rFonts w:hint="default" w:eastAsia="宋体"/>
                <w:kern w:val="2"/>
                <w:sz w:val="21"/>
                <w:szCs w:val="20"/>
                <w:lang w:val="en-US" w:eastAsia="zh-CN"/>
              </w:rPr>
            </w:pPr>
            <w:r>
              <w:rPr>
                <w:rFonts w:hint="eastAsia"/>
                <w:kern w:val="2"/>
                <w:sz w:val="21"/>
                <w:szCs w:val="20"/>
              </w:rPr>
              <w:t>5.</w:t>
            </w:r>
            <w:r>
              <w:rPr>
                <w:rFonts w:hint="eastAsia"/>
                <w:kern w:val="2"/>
                <w:sz w:val="21"/>
                <w:szCs w:val="20"/>
                <w:lang w:val="en-US" w:eastAsia="zh-CN"/>
              </w:rPr>
              <w:t>20</w:t>
            </w:r>
          </w:p>
        </w:tc>
        <w:tc>
          <w:tcPr>
            <w:tcW w:w="2578" w:type="dxa"/>
            <w:vAlign w:val="center"/>
          </w:tcPr>
          <w:p>
            <w:pPr>
              <w:adjustRightInd w:val="0"/>
              <w:snapToGrid w:val="0"/>
              <w:spacing w:line="360" w:lineRule="exact"/>
              <w:jc w:val="center"/>
              <w:rPr>
                <w:rFonts w:hint="default" w:eastAsia="宋体"/>
                <w:kern w:val="2"/>
                <w:sz w:val="21"/>
                <w:szCs w:val="20"/>
                <w:lang w:val="en-US" w:eastAsia="zh-CN"/>
              </w:rPr>
            </w:pPr>
            <w:r>
              <w:rPr>
                <w:rFonts w:hint="eastAsia"/>
                <w:kern w:val="2"/>
                <w:sz w:val="21"/>
                <w:szCs w:val="20"/>
                <w:lang w:val="en-US" w:eastAsia="zh-CN"/>
              </w:rPr>
              <w:t>2.04</w:t>
            </w:r>
          </w:p>
        </w:tc>
      </w:tr>
    </w:tbl>
    <w:p>
      <w:pPr>
        <w:spacing w:line="440" w:lineRule="exact"/>
        <w:ind w:firstLine="480" w:firstLineChars="200"/>
        <w:jc w:val="both"/>
      </w:pPr>
      <w:r>
        <w:t>经过计算，影响后评价范围内土地生物量</w:t>
      </w:r>
      <w:r>
        <w:rPr>
          <w:rFonts w:hint="eastAsia"/>
        </w:rPr>
        <w:t>为</w:t>
      </w:r>
      <w:r>
        <w:rPr>
          <w:rFonts w:hint="eastAsia"/>
          <w:lang w:val="en-US" w:eastAsia="zh-CN"/>
        </w:rPr>
        <w:t>6.53</w:t>
      </w:r>
      <w:r>
        <w:t>t/</w:t>
      </w:r>
      <w:r>
        <w:rPr>
          <w:rFonts w:hint="eastAsia"/>
        </w:rPr>
        <w:t>(</w:t>
      </w:r>
      <w:r>
        <w:t>hm</w:t>
      </w:r>
      <w:r>
        <w:rPr>
          <w:vertAlign w:val="superscript"/>
        </w:rPr>
        <w:t>2</w:t>
      </w:r>
      <w:r>
        <w:t>.a</w:t>
      </w:r>
      <w:r>
        <w:rPr>
          <w:rFonts w:hint="eastAsia"/>
        </w:rPr>
        <w:t>)，相比影响前，土地生物量下降0.</w:t>
      </w:r>
      <w:r>
        <w:rPr>
          <w:rFonts w:hint="eastAsia"/>
          <w:lang w:val="en-US" w:eastAsia="zh-CN"/>
        </w:rPr>
        <w:t>32</w:t>
      </w:r>
      <w:r>
        <w:t>t/</w:t>
      </w:r>
      <w:r>
        <w:rPr>
          <w:rFonts w:hint="eastAsia"/>
        </w:rPr>
        <w:t>(</w:t>
      </w:r>
      <w:r>
        <w:t>hm</w:t>
      </w:r>
      <w:r>
        <w:rPr>
          <w:vertAlign w:val="superscript"/>
        </w:rPr>
        <w:t>2</w:t>
      </w:r>
      <w:r>
        <w:t>.a</w:t>
      </w:r>
      <w:r>
        <w:rPr>
          <w:rFonts w:hint="eastAsia"/>
        </w:rPr>
        <w:t>)；影响后项目占地范围内土地生物量为</w:t>
      </w:r>
      <w:r>
        <w:rPr>
          <w:rFonts w:hint="eastAsia"/>
          <w:lang w:val="en-US" w:eastAsia="zh-CN"/>
        </w:rPr>
        <w:t>2.04</w:t>
      </w:r>
      <w:r>
        <w:t>t/</w:t>
      </w:r>
      <w:r>
        <w:rPr>
          <w:rFonts w:hint="eastAsia"/>
        </w:rPr>
        <w:t>(</w:t>
      </w:r>
      <w:r>
        <w:t>hm</w:t>
      </w:r>
      <w:r>
        <w:rPr>
          <w:vertAlign w:val="superscript"/>
        </w:rPr>
        <w:t>2</w:t>
      </w:r>
      <w:r>
        <w:t>.a</w:t>
      </w:r>
      <w:r>
        <w:rPr>
          <w:rFonts w:hint="eastAsia"/>
        </w:rPr>
        <w:t>)，相比影响前，土地生物量下降</w:t>
      </w:r>
      <w:r>
        <w:rPr>
          <w:rFonts w:hint="eastAsia"/>
          <w:lang w:val="en-US" w:eastAsia="zh-CN"/>
        </w:rPr>
        <w:t>2.29</w:t>
      </w:r>
      <w:r>
        <w:t>t/</w:t>
      </w:r>
      <w:r>
        <w:rPr>
          <w:rFonts w:hint="eastAsia"/>
        </w:rPr>
        <w:t>(</w:t>
      </w:r>
      <w:r>
        <w:t>hm</w:t>
      </w:r>
      <w:r>
        <w:rPr>
          <w:vertAlign w:val="superscript"/>
        </w:rPr>
        <w:t>2</w:t>
      </w:r>
      <w:r>
        <w:t>.a</w:t>
      </w:r>
      <w:r>
        <w:rPr>
          <w:rFonts w:hint="eastAsia"/>
        </w:rPr>
        <w:t>)；</w:t>
      </w:r>
    </w:p>
    <w:p>
      <w:pPr>
        <w:spacing w:line="440" w:lineRule="exact"/>
        <w:ind w:firstLine="480" w:firstLineChars="200"/>
        <w:jc w:val="both"/>
      </w:pPr>
      <w:r>
        <w:t>将</w:t>
      </w:r>
      <w:r>
        <w:rPr>
          <w:rFonts w:hint="eastAsia"/>
        </w:rPr>
        <w:t>耕地</w:t>
      </w:r>
      <w:r>
        <w:t>生物量确定为标定生物量</w:t>
      </w:r>
      <w:r>
        <w:rPr>
          <w:rFonts w:hint="eastAsia"/>
        </w:rPr>
        <w:t>（10）</w:t>
      </w:r>
      <w:r>
        <w:t>根据公式：Pa=Ba/Bmo得出，评价</w:t>
      </w:r>
      <w:r>
        <w:rPr>
          <w:rFonts w:hint="eastAsia"/>
        </w:rPr>
        <w:t>范围内</w:t>
      </w:r>
      <w:r>
        <w:t>土地利用</w:t>
      </w:r>
      <w:r>
        <w:rPr>
          <w:rFonts w:hint="eastAsia"/>
        </w:rPr>
        <w:t>预测</w:t>
      </w:r>
      <w:r>
        <w:t>值为</w:t>
      </w:r>
      <w:r>
        <w:rPr>
          <w:rFonts w:hint="eastAsia"/>
        </w:rPr>
        <w:t>0.</w:t>
      </w:r>
      <w:r>
        <w:rPr>
          <w:rFonts w:hint="eastAsia"/>
          <w:lang w:val="en-US" w:eastAsia="zh-CN"/>
        </w:rPr>
        <w:t>653</w:t>
      </w:r>
      <w:r>
        <w:rPr>
          <w:rFonts w:hint="eastAsia"/>
        </w:rPr>
        <w:t>，项目占地范围内土地利用预测值为0.</w:t>
      </w:r>
      <w:r>
        <w:rPr>
          <w:rFonts w:hint="eastAsia"/>
          <w:lang w:val="en-US" w:eastAsia="zh-CN"/>
        </w:rPr>
        <w:t>204</w:t>
      </w:r>
      <w:r>
        <w:t>。</w:t>
      </w:r>
    </w:p>
    <w:p>
      <w:pPr>
        <w:spacing w:line="440" w:lineRule="exact"/>
        <w:ind w:firstLine="480" w:firstLineChars="200"/>
      </w:pPr>
      <w:r>
        <w:rPr>
          <w:rFonts w:hint="eastAsia"/>
        </w:rPr>
        <w:t>（2）植被覆盖影响</w:t>
      </w:r>
    </w:p>
    <w:p>
      <w:pPr>
        <w:widowControl w:val="0"/>
        <w:adjustRightInd w:val="0"/>
        <w:snapToGrid w:val="0"/>
        <w:spacing w:line="440" w:lineRule="exact"/>
        <w:ind w:firstLine="480" w:firstLineChars="200"/>
        <w:jc w:val="both"/>
        <w:rPr>
          <w:kern w:val="2"/>
        </w:rPr>
      </w:pPr>
      <w:r>
        <w:rPr>
          <w:rFonts w:hint="eastAsia"/>
          <w:kern w:val="2"/>
        </w:rPr>
        <w:t>本项目矿山开采过程中会破坏矿区范围内农田植被，导致植被覆盖率下降，影响面积预计为1.</w:t>
      </w:r>
      <w:r>
        <w:rPr>
          <w:rFonts w:hint="eastAsia"/>
          <w:kern w:val="2"/>
          <w:lang w:val="en-US" w:eastAsia="zh-CN"/>
        </w:rPr>
        <w:t>19</w:t>
      </w:r>
      <w:r>
        <w:rPr>
          <w:rFonts w:hint="eastAsia"/>
          <w:kern w:val="2"/>
        </w:rPr>
        <w:t>hm</w:t>
      </w:r>
      <w:r>
        <w:rPr>
          <w:rFonts w:hint="eastAsia"/>
          <w:kern w:val="2"/>
          <w:vertAlign w:val="superscript"/>
        </w:rPr>
        <w:t>2</w:t>
      </w:r>
      <w:r>
        <w:rPr>
          <w:rFonts w:hint="eastAsia"/>
          <w:kern w:val="2"/>
        </w:rPr>
        <w:t>。项目对评价区植被覆盖影响情况见表5.5-2。</w:t>
      </w:r>
    </w:p>
    <w:p>
      <w:pPr>
        <w:widowControl w:val="0"/>
        <w:spacing w:before="156" w:beforeLines="50"/>
        <w:jc w:val="center"/>
        <w:rPr>
          <w:rFonts w:eastAsia="黑体" w:cs="宋体"/>
          <w:bCs/>
          <w:kern w:val="2"/>
          <w:sz w:val="21"/>
        </w:rPr>
      </w:pPr>
      <w:r>
        <w:rPr>
          <w:rFonts w:eastAsia="黑体" w:cs="宋体"/>
          <w:bCs/>
          <w:kern w:val="2"/>
          <w:sz w:val="21"/>
        </w:rPr>
        <w:t>表</w:t>
      </w:r>
      <w:r>
        <w:rPr>
          <w:rFonts w:hint="eastAsia" w:eastAsia="黑体" w:cs="宋体"/>
          <w:bCs/>
          <w:kern w:val="2"/>
          <w:sz w:val="21"/>
        </w:rPr>
        <w:t>5.5</w:t>
      </w:r>
      <w:r>
        <w:rPr>
          <w:rFonts w:eastAsia="黑体" w:cs="宋体"/>
          <w:bCs/>
          <w:kern w:val="2"/>
          <w:sz w:val="21"/>
        </w:rPr>
        <w:t xml:space="preserve">-2  </w:t>
      </w:r>
      <w:r>
        <w:rPr>
          <w:rFonts w:hint="eastAsia" w:eastAsia="黑体" w:cs="宋体"/>
          <w:bCs/>
          <w:kern w:val="2"/>
          <w:sz w:val="21"/>
        </w:rPr>
        <w:t>项目对评价区植被覆盖影响情况</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2362"/>
        <w:gridCol w:w="2832"/>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Align w:val="center"/>
          </w:tcPr>
          <w:p>
            <w:pPr>
              <w:widowControl w:val="0"/>
              <w:adjustRightInd w:val="0"/>
              <w:snapToGrid w:val="0"/>
              <w:spacing w:line="360" w:lineRule="exact"/>
              <w:jc w:val="center"/>
              <w:rPr>
                <w:kern w:val="2"/>
                <w:sz w:val="21"/>
                <w:szCs w:val="20"/>
              </w:rPr>
            </w:pPr>
            <w:r>
              <w:rPr>
                <w:rFonts w:hint="eastAsia"/>
                <w:kern w:val="2"/>
                <w:sz w:val="21"/>
                <w:szCs w:val="20"/>
              </w:rPr>
              <w:t>类别</w:t>
            </w:r>
          </w:p>
        </w:tc>
        <w:tc>
          <w:tcPr>
            <w:tcW w:w="1288" w:type="pct"/>
            <w:vAlign w:val="center"/>
          </w:tcPr>
          <w:p>
            <w:pPr>
              <w:widowControl w:val="0"/>
              <w:adjustRightInd w:val="0"/>
              <w:snapToGrid w:val="0"/>
              <w:spacing w:line="360" w:lineRule="exact"/>
              <w:jc w:val="center"/>
              <w:rPr>
                <w:kern w:val="2"/>
                <w:sz w:val="21"/>
                <w:szCs w:val="20"/>
              </w:rPr>
            </w:pPr>
            <w:r>
              <w:rPr>
                <w:kern w:val="2"/>
                <w:sz w:val="21"/>
                <w:szCs w:val="20"/>
              </w:rPr>
              <w:t>植被</w:t>
            </w:r>
            <w:r>
              <w:rPr>
                <w:rFonts w:hint="eastAsia"/>
                <w:kern w:val="2"/>
                <w:sz w:val="21"/>
                <w:szCs w:val="20"/>
              </w:rPr>
              <w:t>覆盖</w:t>
            </w:r>
            <w:r>
              <w:rPr>
                <w:kern w:val="2"/>
                <w:sz w:val="21"/>
                <w:szCs w:val="20"/>
              </w:rPr>
              <w:t>类型</w:t>
            </w:r>
          </w:p>
        </w:tc>
        <w:tc>
          <w:tcPr>
            <w:tcW w:w="1544" w:type="pct"/>
            <w:vAlign w:val="center"/>
          </w:tcPr>
          <w:p>
            <w:pPr>
              <w:widowControl w:val="0"/>
              <w:adjustRightInd w:val="0"/>
              <w:snapToGrid w:val="0"/>
              <w:spacing w:line="360" w:lineRule="exact"/>
              <w:jc w:val="center"/>
              <w:rPr>
                <w:kern w:val="2"/>
                <w:sz w:val="21"/>
                <w:szCs w:val="20"/>
              </w:rPr>
            </w:pPr>
            <w:r>
              <w:rPr>
                <w:rFonts w:hint="eastAsia"/>
                <w:kern w:val="2"/>
                <w:sz w:val="21"/>
                <w:szCs w:val="20"/>
              </w:rPr>
              <w:t>影响后</w:t>
            </w:r>
            <w:r>
              <w:rPr>
                <w:kern w:val="2"/>
                <w:sz w:val="21"/>
                <w:szCs w:val="20"/>
              </w:rPr>
              <w:t>面积(hm</w:t>
            </w:r>
            <w:r>
              <w:rPr>
                <w:kern w:val="2"/>
                <w:sz w:val="21"/>
                <w:szCs w:val="20"/>
                <w:vertAlign w:val="superscript"/>
              </w:rPr>
              <w:t>2</w:t>
            </w:r>
            <w:r>
              <w:rPr>
                <w:kern w:val="2"/>
                <w:sz w:val="21"/>
                <w:szCs w:val="20"/>
              </w:rPr>
              <w:t>)</w:t>
            </w:r>
          </w:p>
        </w:tc>
        <w:tc>
          <w:tcPr>
            <w:tcW w:w="1344" w:type="pct"/>
            <w:vAlign w:val="center"/>
          </w:tcPr>
          <w:p>
            <w:pPr>
              <w:widowControl w:val="0"/>
              <w:adjustRightInd w:val="0"/>
              <w:snapToGrid w:val="0"/>
              <w:spacing w:line="360" w:lineRule="exact"/>
              <w:jc w:val="center"/>
              <w:rPr>
                <w:kern w:val="2"/>
                <w:sz w:val="21"/>
                <w:szCs w:val="20"/>
              </w:rPr>
            </w:pPr>
            <w:r>
              <w:rPr>
                <w:rFonts w:hint="eastAsia"/>
                <w:kern w:val="2"/>
                <w:sz w:val="21"/>
                <w:szCs w:val="20"/>
              </w:rPr>
              <w:t>影响后</w:t>
            </w:r>
            <w:r>
              <w:rPr>
                <w:kern w:val="2"/>
                <w:sz w:val="21"/>
                <w:szCs w:val="20"/>
              </w:rPr>
              <w:t>植被覆盖率</w:t>
            </w:r>
            <w:r>
              <w:rPr>
                <w:rFonts w:hint="eastAsia"/>
                <w:kern w:val="2"/>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restart"/>
            <w:vAlign w:val="center"/>
          </w:tcPr>
          <w:p>
            <w:pPr>
              <w:widowControl w:val="0"/>
              <w:adjustRightInd w:val="0"/>
              <w:snapToGrid w:val="0"/>
              <w:spacing w:line="360" w:lineRule="exact"/>
              <w:jc w:val="center"/>
              <w:rPr>
                <w:kern w:val="2"/>
                <w:sz w:val="21"/>
                <w:szCs w:val="20"/>
              </w:rPr>
            </w:pPr>
            <w:r>
              <w:rPr>
                <w:rFonts w:hint="eastAsia"/>
                <w:kern w:val="2"/>
                <w:sz w:val="21"/>
                <w:szCs w:val="20"/>
              </w:rPr>
              <w:t>评价范围</w:t>
            </w:r>
          </w:p>
        </w:tc>
        <w:tc>
          <w:tcPr>
            <w:tcW w:w="1288" w:type="pct"/>
            <w:vAlign w:val="center"/>
          </w:tcPr>
          <w:p>
            <w:pPr>
              <w:adjustRightInd w:val="0"/>
              <w:snapToGrid w:val="0"/>
              <w:spacing w:line="360" w:lineRule="exact"/>
              <w:jc w:val="center"/>
              <w:rPr>
                <w:rFonts w:ascii="Times New Roman" w:hAnsi="Times New Roman" w:eastAsia="宋体" w:cs="Times New Roman"/>
                <w:kern w:val="2"/>
                <w:sz w:val="21"/>
                <w:szCs w:val="20"/>
                <w:lang w:val="en-US" w:eastAsia="zh-CN" w:bidi="ar-SA"/>
              </w:rPr>
            </w:pPr>
            <w:r>
              <w:rPr>
                <w:sz w:val="21"/>
                <w:szCs w:val="20"/>
              </w:rPr>
              <w:t>农田植被</w:t>
            </w:r>
          </w:p>
        </w:tc>
        <w:tc>
          <w:tcPr>
            <w:tcW w:w="1544" w:type="pct"/>
            <w:vAlign w:val="center"/>
          </w:tcPr>
          <w:p>
            <w:pPr>
              <w:spacing w:line="360" w:lineRule="exact"/>
              <w:jc w:val="center"/>
              <w:rPr>
                <w:rFonts w:hint="default" w:ascii="Times New Roman" w:hAnsi="Times New Roman" w:eastAsia="宋体" w:cs="Times New Roman"/>
                <w:kern w:val="2"/>
                <w:sz w:val="21"/>
                <w:szCs w:val="20"/>
                <w:lang w:val="en-US" w:eastAsia="zh-CN" w:bidi="ar-SA"/>
              </w:rPr>
            </w:pPr>
            <w:r>
              <w:rPr>
                <w:rFonts w:hint="eastAsia"/>
                <w:color w:val="000000" w:themeColor="text1"/>
                <w:sz w:val="21"/>
                <w:szCs w:val="21"/>
                <w:lang w:val="en-US" w:eastAsia="zh-CN"/>
                <w14:textFill>
                  <w14:solidFill>
                    <w14:schemeClr w14:val="tx1"/>
                  </w14:solidFill>
                </w14:textFill>
              </w:rPr>
              <w:t>23.63</w:t>
            </w:r>
          </w:p>
        </w:tc>
        <w:tc>
          <w:tcPr>
            <w:tcW w:w="1344" w:type="pct"/>
            <w:vAlign w:val="center"/>
          </w:tcPr>
          <w:p>
            <w:pPr>
              <w:adjustRightInd w:val="0"/>
              <w:snapToGrid w:val="0"/>
              <w:spacing w:line="360" w:lineRule="exact"/>
              <w:jc w:val="center"/>
              <w:rPr>
                <w:rFonts w:ascii="Times New Roman" w:hAnsi="Times New Roman" w:eastAsia="宋体" w:cs="Times New Roman"/>
                <w:kern w:val="2"/>
                <w:sz w:val="21"/>
                <w:szCs w:val="20"/>
                <w:lang w:val="en-US" w:eastAsia="zh-CN" w:bidi="ar-SA"/>
              </w:rPr>
            </w:pPr>
            <w:r>
              <w:rPr>
                <w:rFonts w:hint="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vAlign w:val="center"/>
          </w:tcPr>
          <w:p>
            <w:pPr>
              <w:widowControl w:val="0"/>
              <w:adjustRightInd w:val="0"/>
              <w:snapToGrid w:val="0"/>
              <w:spacing w:line="360" w:lineRule="exact"/>
              <w:jc w:val="center"/>
              <w:rPr>
                <w:kern w:val="2"/>
                <w:sz w:val="21"/>
                <w:szCs w:val="20"/>
              </w:rPr>
            </w:pPr>
          </w:p>
        </w:tc>
        <w:tc>
          <w:tcPr>
            <w:tcW w:w="1288" w:type="pct"/>
            <w:vAlign w:val="center"/>
          </w:tcPr>
          <w:p>
            <w:pPr>
              <w:adjustRightInd w:val="0"/>
              <w:snapToGrid w:val="0"/>
              <w:spacing w:line="360" w:lineRule="exact"/>
              <w:jc w:val="center"/>
              <w:rPr>
                <w:rFonts w:ascii="Times New Roman" w:hAnsi="Times New Roman" w:eastAsia="宋体" w:cs="Times New Roman"/>
                <w:kern w:val="2"/>
                <w:sz w:val="21"/>
                <w:szCs w:val="20"/>
                <w:lang w:val="en-US" w:eastAsia="zh-CN" w:bidi="ar-SA"/>
              </w:rPr>
            </w:pPr>
            <w:r>
              <w:rPr>
                <w:sz w:val="21"/>
                <w:szCs w:val="20"/>
              </w:rPr>
              <w:t>无植被区域</w:t>
            </w:r>
          </w:p>
        </w:tc>
        <w:tc>
          <w:tcPr>
            <w:tcW w:w="1544" w:type="pct"/>
            <w:vAlign w:val="center"/>
          </w:tcPr>
          <w:p>
            <w:pPr>
              <w:spacing w:line="360" w:lineRule="exact"/>
              <w:jc w:val="center"/>
              <w:rPr>
                <w:rFonts w:hint="default" w:ascii="Times New Roman" w:hAnsi="Times New Roman" w:eastAsia="宋体" w:cs="Times New Roman"/>
                <w:kern w:val="2"/>
                <w:sz w:val="21"/>
                <w:szCs w:val="20"/>
                <w:lang w:val="en-US" w:eastAsia="zh-CN" w:bidi="ar-SA"/>
              </w:rPr>
            </w:pPr>
            <w:r>
              <w:rPr>
                <w:rFonts w:hint="eastAsia"/>
                <w:color w:val="000000" w:themeColor="text1"/>
                <w:sz w:val="21"/>
                <w:szCs w:val="21"/>
                <w:lang w:val="en-US" w:eastAsia="zh-CN"/>
                <w14:textFill>
                  <w14:solidFill>
                    <w14:schemeClr w14:val="tx1"/>
                  </w14:solidFill>
                </w14:textFill>
              </w:rPr>
              <w:t>12.58</w:t>
            </w:r>
          </w:p>
        </w:tc>
        <w:tc>
          <w:tcPr>
            <w:tcW w:w="1344" w:type="pct"/>
            <w:vAlign w:val="center"/>
          </w:tcPr>
          <w:p>
            <w:pPr>
              <w:adjustRightInd w:val="0"/>
              <w:snapToGrid w:val="0"/>
              <w:spacing w:line="360" w:lineRule="exact"/>
              <w:jc w:val="center"/>
              <w:rPr>
                <w:rFonts w:ascii="Times New Roman" w:hAnsi="Times New Roman" w:eastAsia="宋体" w:cs="Times New Roman"/>
                <w:kern w:val="2"/>
                <w:sz w:val="21"/>
                <w:szCs w:val="20"/>
                <w:lang w:val="en-US" w:eastAsia="zh-CN" w:bidi="ar-SA"/>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vAlign w:val="center"/>
          </w:tcPr>
          <w:p>
            <w:pPr>
              <w:widowControl w:val="0"/>
              <w:adjustRightInd w:val="0"/>
              <w:snapToGrid w:val="0"/>
              <w:spacing w:line="360" w:lineRule="exact"/>
              <w:jc w:val="center"/>
              <w:rPr>
                <w:kern w:val="2"/>
                <w:sz w:val="21"/>
                <w:szCs w:val="20"/>
              </w:rPr>
            </w:pPr>
          </w:p>
        </w:tc>
        <w:tc>
          <w:tcPr>
            <w:tcW w:w="1288" w:type="pct"/>
            <w:vAlign w:val="center"/>
          </w:tcPr>
          <w:p>
            <w:pPr>
              <w:adjustRightInd w:val="0"/>
              <w:snapToGrid w:val="0"/>
              <w:spacing w:line="360" w:lineRule="exact"/>
              <w:jc w:val="center"/>
              <w:rPr>
                <w:kern w:val="2"/>
                <w:sz w:val="21"/>
                <w:szCs w:val="20"/>
              </w:rPr>
            </w:pPr>
            <w:r>
              <w:rPr>
                <w:sz w:val="21"/>
                <w:szCs w:val="20"/>
              </w:rPr>
              <w:t>合计</w:t>
            </w:r>
          </w:p>
        </w:tc>
        <w:tc>
          <w:tcPr>
            <w:tcW w:w="1544" w:type="pct"/>
            <w:vAlign w:val="center"/>
          </w:tcPr>
          <w:p>
            <w:pPr>
              <w:spacing w:line="360" w:lineRule="exact"/>
              <w:jc w:val="center"/>
              <w:rPr>
                <w:rFonts w:hint="default" w:eastAsia="宋体"/>
                <w:kern w:val="2"/>
                <w:sz w:val="21"/>
                <w:szCs w:val="20"/>
                <w:lang w:val="en-US" w:eastAsia="zh-CN"/>
              </w:rPr>
            </w:pPr>
            <w:r>
              <w:rPr>
                <w:rFonts w:hint="eastAsia"/>
                <w:color w:val="000000" w:themeColor="text1"/>
                <w:sz w:val="21"/>
                <w:szCs w:val="21"/>
                <w:lang w:val="en-US" w:eastAsia="zh-CN"/>
                <w14:textFill>
                  <w14:solidFill>
                    <w14:schemeClr w14:val="tx1"/>
                  </w14:solidFill>
                </w14:textFill>
              </w:rPr>
              <w:t>36.21</w:t>
            </w:r>
          </w:p>
        </w:tc>
        <w:tc>
          <w:tcPr>
            <w:tcW w:w="1344" w:type="pct"/>
            <w:vAlign w:val="center"/>
          </w:tcPr>
          <w:p>
            <w:pPr>
              <w:adjustRightInd w:val="0"/>
              <w:snapToGrid w:val="0"/>
              <w:spacing w:line="360" w:lineRule="exact"/>
              <w:jc w:val="center"/>
              <w:rPr>
                <w:rFonts w:hint="default" w:eastAsia="宋体"/>
                <w:kern w:val="2"/>
                <w:sz w:val="21"/>
                <w:szCs w:val="20"/>
                <w:lang w:val="en-US" w:eastAsia="zh-CN"/>
              </w:rPr>
            </w:pPr>
            <w:r>
              <w:rPr>
                <w:rFonts w:hint="eastAsia"/>
                <w:kern w:val="2"/>
                <w:sz w:val="21"/>
                <w:szCs w:val="20"/>
                <w:lang w:val="en-US" w:eastAsia="zh-CN"/>
              </w:rPr>
              <w:t>19.58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restart"/>
            <w:vAlign w:val="center"/>
          </w:tcPr>
          <w:p>
            <w:pPr>
              <w:widowControl w:val="0"/>
              <w:adjustRightInd w:val="0"/>
              <w:snapToGrid w:val="0"/>
              <w:spacing w:line="360" w:lineRule="exact"/>
              <w:jc w:val="center"/>
              <w:rPr>
                <w:kern w:val="2"/>
                <w:sz w:val="21"/>
                <w:szCs w:val="20"/>
              </w:rPr>
            </w:pPr>
            <w:r>
              <w:rPr>
                <w:rFonts w:hint="eastAsia"/>
                <w:kern w:val="2"/>
                <w:sz w:val="21"/>
                <w:szCs w:val="20"/>
              </w:rPr>
              <w:t>项目占地</w:t>
            </w:r>
          </w:p>
        </w:tc>
        <w:tc>
          <w:tcPr>
            <w:tcW w:w="1288" w:type="pct"/>
            <w:vAlign w:val="center"/>
          </w:tcPr>
          <w:p>
            <w:pPr>
              <w:adjustRightInd w:val="0"/>
              <w:snapToGrid w:val="0"/>
              <w:spacing w:line="360" w:lineRule="exact"/>
              <w:jc w:val="center"/>
              <w:rPr>
                <w:sz w:val="21"/>
                <w:szCs w:val="20"/>
              </w:rPr>
            </w:pPr>
            <w:r>
              <w:rPr>
                <w:sz w:val="21"/>
                <w:szCs w:val="20"/>
              </w:rPr>
              <w:t>农田植被</w:t>
            </w:r>
          </w:p>
        </w:tc>
        <w:tc>
          <w:tcPr>
            <w:tcW w:w="1544" w:type="pct"/>
            <w:vAlign w:val="center"/>
          </w:tcPr>
          <w:p>
            <w:pPr>
              <w:spacing w:line="360" w:lineRule="exact"/>
              <w:jc w:val="center"/>
              <w:rPr>
                <w:rFonts w:hint="default" w:eastAsia="宋体"/>
                <w:kern w:val="2"/>
                <w:sz w:val="21"/>
                <w:szCs w:val="20"/>
                <w:lang w:val="en-US" w:eastAsia="zh-CN"/>
              </w:rPr>
            </w:pPr>
            <w:r>
              <w:rPr>
                <w:rFonts w:hint="eastAsia"/>
                <w:sz w:val="21"/>
                <w:szCs w:val="21"/>
                <w:lang w:val="en-US" w:eastAsia="zh-CN"/>
              </w:rPr>
              <w:t>1.06</w:t>
            </w:r>
          </w:p>
        </w:tc>
        <w:tc>
          <w:tcPr>
            <w:tcW w:w="1344" w:type="pct"/>
            <w:vAlign w:val="center"/>
          </w:tcPr>
          <w:p>
            <w:pPr>
              <w:adjustRightInd w:val="0"/>
              <w:snapToGrid w:val="0"/>
              <w:spacing w:line="360" w:lineRule="exact"/>
              <w:jc w:val="center"/>
              <w:rPr>
                <w:kern w:val="2"/>
                <w:sz w:val="21"/>
                <w:szCs w:val="20"/>
              </w:rPr>
            </w:pPr>
            <w:r>
              <w:rPr>
                <w:rFonts w:hint="eastAsia"/>
                <w:sz w:val="21"/>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vAlign w:val="center"/>
          </w:tcPr>
          <w:p>
            <w:pPr>
              <w:widowControl w:val="0"/>
              <w:adjustRightInd w:val="0"/>
              <w:snapToGrid w:val="0"/>
              <w:spacing w:line="360" w:lineRule="exact"/>
              <w:jc w:val="center"/>
              <w:rPr>
                <w:kern w:val="2"/>
                <w:sz w:val="21"/>
                <w:szCs w:val="20"/>
              </w:rPr>
            </w:pPr>
          </w:p>
        </w:tc>
        <w:tc>
          <w:tcPr>
            <w:tcW w:w="1288" w:type="pct"/>
            <w:vAlign w:val="center"/>
          </w:tcPr>
          <w:p>
            <w:pPr>
              <w:adjustRightInd w:val="0"/>
              <w:snapToGrid w:val="0"/>
              <w:spacing w:line="360" w:lineRule="exact"/>
              <w:jc w:val="center"/>
              <w:rPr>
                <w:sz w:val="21"/>
                <w:szCs w:val="20"/>
              </w:rPr>
            </w:pPr>
            <w:r>
              <w:rPr>
                <w:sz w:val="21"/>
                <w:szCs w:val="20"/>
              </w:rPr>
              <w:t>无植被区域</w:t>
            </w:r>
          </w:p>
        </w:tc>
        <w:tc>
          <w:tcPr>
            <w:tcW w:w="1544" w:type="pct"/>
            <w:vAlign w:val="center"/>
          </w:tcPr>
          <w:p>
            <w:pPr>
              <w:spacing w:line="360" w:lineRule="exact"/>
              <w:jc w:val="center"/>
              <w:rPr>
                <w:rFonts w:hint="default" w:eastAsia="宋体"/>
                <w:kern w:val="2"/>
                <w:sz w:val="21"/>
                <w:szCs w:val="20"/>
                <w:lang w:val="en-US" w:eastAsia="zh-CN"/>
              </w:rPr>
            </w:pPr>
            <w:r>
              <w:rPr>
                <w:rFonts w:hint="eastAsia"/>
                <w:sz w:val="21"/>
                <w:szCs w:val="21"/>
              </w:rPr>
              <w:t>4.</w:t>
            </w:r>
            <w:r>
              <w:rPr>
                <w:rFonts w:hint="eastAsia"/>
                <w:sz w:val="21"/>
                <w:szCs w:val="21"/>
                <w:lang w:val="en-US" w:eastAsia="zh-CN"/>
              </w:rPr>
              <w:t>14</w:t>
            </w:r>
          </w:p>
        </w:tc>
        <w:tc>
          <w:tcPr>
            <w:tcW w:w="1344" w:type="pct"/>
            <w:vAlign w:val="center"/>
          </w:tcPr>
          <w:p>
            <w:pPr>
              <w:adjustRightInd w:val="0"/>
              <w:snapToGrid w:val="0"/>
              <w:spacing w:line="360" w:lineRule="exact"/>
              <w:jc w:val="center"/>
              <w:rPr>
                <w:kern w:val="2"/>
                <w:sz w:val="21"/>
                <w:szCs w:val="20"/>
              </w:rPr>
            </w:pPr>
            <w:r>
              <w:rPr>
                <w:rFonts w:hint="eastAsia"/>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vAlign w:val="center"/>
          </w:tcPr>
          <w:p>
            <w:pPr>
              <w:widowControl w:val="0"/>
              <w:adjustRightInd w:val="0"/>
              <w:snapToGrid w:val="0"/>
              <w:spacing w:line="360" w:lineRule="exact"/>
              <w:jc w:val="center"/>
              <w:rPr>
                <w:kern w:val="2"/>
                <w:sz w:val="21"/>
                <w:szCs w:val="20"/>
              </w:rPr>
            </w:pPr>
          </w:p>
        </w:tc>
        <w:tc>
          <w:tcPr>
            <w:tcW w:w="1288" w:type="pct"/>
            <w:vAlign w:val="center"/>
          </w:tcPr>
          <w:p>
            <w:pPr>
              <w:adjustRightInd w:val="0"/>
              <w:snapToGrid w:val="0"/>
              <w:spacing w:line="360" w:lineRule="exact"/>
              <w:jc w:val="center"/>
              <w:rPr>
                <w:sz w:val="21"/>
                <w:szCs w:val="20"/>
              </w:rPr>
            </w:pPr>
            <w:r>
              <w:rPr>
                <w:sz w:val="21"/>
                <w:szCs w:val="20"/>
              </w:rPr>
              <w:t>合计</w:t>
            </w:r>
          </w:p>
        </w:tc>
        <w:tc>
          <w:tcPr>
            <w:tcW w:w="1544" w:type="pct"/>
            <w:vAlign w:val="center"/>
          </w:tcPr>
          <w:p>
            <w:pPr>
              <w:spacing w:line="360" w:lineRule="exact"/>
              <w:jc w:val="center"/>
              <w:rPr>
                <w:rFonts w:hint="default" w:eastAsia="宋体"/>
                <w:kern w:val="2"/>
                <w:sz w:val="21"/>
                <w:szCs w:val="20"/>
                <w:lang w:val="en-US" w:eastAsia="zh-CN"/>
              </w:rPr>
            </w:pPr>
            <w:r>
              <w:rPr>
                <w:rFonts w:hint="eastAsia"/>
                <w:sz w:val="21"/>
                <w:szCs w:val="21"/>
              </w:rPr>
              <w:t>5.</w:t>
            </w:r>
            <w:r>
              <w:rPr>
                <w:rFonts w:hint="eastAsia"/>
                <w:sz w:val="21"/>
                <w:szCs w:val="21"/>
                <w:lang w:val="en-US" w:eastAsia="zh-CN"/>
              </w:rPr>
              <w:t>20</w:t>
            </w:r>
          </w:p>
        </w:tc>
        <w:tc>
          <w:tcPr>
            <w:tcW w:w="1344" w:type="pct"/>
            <w:vAlign w:val="center"/>
          </w:tcPr>
          <w:p>
            <w:pPr>
              <w:adjustRightInd w:val="0"/>
              <w:snapToGrid w:val="0"/>
              <w:spacing w:line="360" w:lineRule="exact"/>
              <w:jc w:val="center"/>
              <w:rPr>
                <w:rFonts w:hint="default" w:eastAsia="宋体"/>
                <w:kern w:val="2"/>
                <w:sz w:val="21"/>
                <w:szCs w:val="20"/>
                <w:lang w:val="en-US" w:eastAsia="zh-CN"/>
              </w:rPr>
            </w:pPr>
            <w:r>
              <w:rPr>
                <w:rFonts w:hint="eastAsia"/>
                <w:kern w:val="2"/>
                <w:sz w:val="21"/>
                <w:szCs w:val="20"/>
                <w:lang w:val="en-US" w:eastAsia="zh-CN"/>
              </w:rPr>
              <w:t>6.12</w:t>
            </w:r>
          </w:p>
        </w:tc>
      </w:tr>
    </w:tbl>
    <w:p>
      <w:pPr>
        <w:spacing w:line="440" w:lineRule="exact"/>
        <w:ind w:firstLine="480" w:firstLineChars="200"/>
        <w:jc w:val="both"/>
      </w:pPr>
      <w:r>
        <w:rPr>
          <w:rFonts w:hint="eastAsia"/>
        </w:rPr>
        <w:t>经过计算，影响后评价范围内植被覆盖率为</w:t>
      </w:r>
      <w:r>
        <w:rPr>
          <w:rFonts w:hint="eastAsia"/>
          <w:lang w:val="en-US" w:eastAsia="zh-CN"/>
        </w:rPr>
        <w:t>19.58</w:t>
      </w:r>
      <w:r>
        <w:rPr>
          <w:rFonts w:hint="eastAsia"/>
        </w:rPr>
        <w:t>%，相比影响前，植被覆盖率下降0.</w:t>
      </w:r>
      <w:r>
        <w:rPr>
          <w:rFonts w:hint="eastAsia"/>
          <w:lang w:val="en-US" w:eastAsia="zh-CN"/>
        </w:rPr>
        <w:t>98</w:t>
      </w:r>
      <w:r>
        <w:rPr>
          <w:rFonts w:hint="eastAsia"/>
        </w:rPr>
        <w:t>%；影响后项目占地范围内植被覆盖率为</w:t>
      </w:r>
      <w:r>
        <w:rPr>
          <w:rFonts w:hint="eastAsia"/>
          <w:lang w:val="en-US" w:eastAsia="zh-CN"/>
        </w:rPr>
        <w:t>6.12</w:t>
      </w:r>
      <w:r>
        <w:rPr>
          <w:rFonts w:hint="eastAsia"/>
        </w:rPr>
        <w:t>%，相比影响前，植被覆盖率下降</w:t>
      </w:r>
      <w:r>
        <w:rPr>
          <w:rFonts w:hint="eastAsia"/>
          <w:lang w:val="en-US" w:eastAsia="zh-CN"/>
        </w:rPr>
        <w:t>6.86</w:t>
      </w:r>
      <w:r>
        <w:rPr>
          <w:rFonts w:hint="eastAsia"/>
        </w:rPr>
        <w:t>%。</w:t>
      </w:r>
    </w:p>
    <w:p>
      <w:pPr>
        <w:spacing w:line="440" w:lineRule="exact"/>
        <w:ind w:firstLine="480" w:firstLineChars="200"/>
        <w:jc w:val="both"/>
      </w:pPr>
      <w:r>
        <w:t>设定</w:t>
      </w:r>
      <w:r>
        <w:rPr>
          <w:rFonts w:hint="eastAsia"/>
          <w:lang w:eastAsia="zh-CN"/>
        </w:rPr>
        <w:t>农田</w:t>
      </w:r>
      <w:r>
        <w:t>植被覆盖率</w:t>
      </w:r>
      <w:r>
        <w:rPr>
          <w:rFonts w:hint="eastAsia"/>
        </w:rPr>
        <w:t>为标定植被覆盖率（3</w:t>
      </w:r>
      <w:r>
        <w:rPr>
          <w:rFonts w:hint="eastAsia"/>
          <w:lang w:val="en-US" w:eastAsia="zh-CN"/>
        </w:rPr>
        <w:t>0</w:t>
      </w:r>
      <w:r>
        <w:rPr>
          <w:rFonts w:hint="eastAsia"/>
        </w:rPr>
        <w:t>%）</w:t>
      </w:r>
      <w:r>
        <w:t>，则</w:t>
      </w:r>
      <w:r>
        <w:rPr>
          <w:rFonts w:hint="eastAsia"/>
        </w:rPr>
        <w:t>评价范围内植被覆盖预测值为0.</w:t>
      </w:r>
      <w:r>
        <w:rPr>
          <w:rFonts w:hint="eastAsia"/>
          <w:lang w:val="en-US" w:eastAsia="zh-CN"/>
        </w:rPr>
        <w:t>653</w:t>
      </w:r>
      <w:r>
        <w:rPr>
          <w:rFonts w:hint="eastAsia"/>
        </w:rPr>
        <w:t>，项目占地范围内植被覆盖预测值为0.</w:t>
      </w:r>
      <w:r>
        <w:rPr>
          <w:rFonts w:hint="eastAsia"/>
          <w:lang w:val="en-US" w:eastAsia="zh-CN"/>
        </w:rPr>
        <w:t>204</w:t>
      </w:r>
      <w:r>
        <w:rPr>
          <w:rFonts w:hint="eastAsia"/>
        </w:rPr>
        <w:t>。</w:t>
      </w:r>
    </w:p>
    <w:p>
      <w:pPr>
        <w:spacing w:line="440" w:lineRule="exact"/>
        <w:ind w:firstLine="480" w:firstLineChars="200"/>
      </w:pPr>
      <w:r>
        <w:rPr>
          <w:rFonts w:hint="eastAsia"/>
        </w:rPr>
        <w:t>（3）土壤侵蚀影响</w:t>
      </w:r>
    </w:p>
    <w:p>
      <w:pPr>
        <w:widowControl w:val="0"/>
        <w:spacing w:line="440" w:lineRule="exact"/>
        <w:ind w:firstLine="480" w:firstLineChars="200"/>
        <w:jc w:val="both"/>
      </w:pPr>
      <w:r>
        <w:rPr>
          <w:rFonts w:hint="eastAsia"/>
          <w:kern w:val="2"/>
        </w:rPr>
        <w:t>矿山开采</w:t>
      </w:r>
      <w:r>
        <w:rPr>
          <w:kern w:val="2"/>
        </w:rPr>
        <w:t>扰动地表，不可恢复的破坏地表植被，使各区水土流失加重，土壤侵蚀模数增加</w:t>
      </w:r>
      <w:r>
        <w:rPr>
          <w:rFonts w:hint="eastAsia"/>
          <w:kern w:val="2"/>
        </w:rPr>
        <w:t>。</w:t>
      </w:r>
      <w:r>
        <w:rPr>
          <w:rFonts w:hint="eastAsia"/>
        </w:rPr>
        <w:t>项目对</w:t>
      </w:r>
      <w:r>
        <w:t>评价区土壤侵蚀</w:t>
      </w:r>
      <w:r>
        <w:rPr>
          <w:rFonts w:hint="eastAsia"/>
        </w:rPr>
        <w:t>影响情况见</w:t>
      </w:r>
      <w:r>
        <w:t>表5</w:t>
      </w:r>
      <w:r>
        <w:rPr>
          <w:rFonts w:hint="eastAsia"/>
        </w:rPr>
        <w:t>.5</w:t>
      </w:r>
      <w:r>
        <w:t>-</w:t>
      </w:r>
      <w:r>
        <w:rPr>
          <w:rFonts w:hint="eastAsia"/>
        </w:rPr>
        <w:t>3。</w:t>
      </w:r>
    </w:p>
    <w:p>
      <w:pPr>
        <w:pStyle w:val="362"/>
        <w:spacing w:before="156"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5.5-3</w:t>
      </w:r>
      <w:r>
        <w:rPr>
          <w:rFonts w:hint="eastAsia" w:ascii="黑体" w:hAnsi="黑体" w:eastAsia="黑体" w:cs="黑体"/>
          <w:sz w:val="21"/>
          <w:szCs w:val="21"/>
        </w:rPr>
        <w:t xml:space="preserve"> 项目对评价区土壤侵蚀影响情况</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1758"/>
        <w:gridCol w:w="1960"/>
        <w:gridCol w:w="2130"/>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92" w:type="pct"/>
            <w:vMerge w:val="restart"/>
            <w:vAlign w:val="center"/>
          </w:tcPr>
          <w:p>
            <w:pPr>
              <w:pStyle w:val="363"/>
              <w:spacing w:line="360" w:lineRule="exact"/>
              <w:rPr>
                <w:rFonts w:eastAsia="宋体"/>
              </w:rPr>
            </w:pPr>
            <w:r>
              <w:rPr>
                <w:rFonts w:hint="eastAsia" w:eastAsia="宋体"/>
              </w:rPr>
              <w:t>类别</w:t>
            </w:r>
          </w:p>
        </w:tc>
        <w:tc>
          <w:tcPr>
            <w:tcW w:w="958" w:type="pct"/>
            <w:vMerge w:val="restart"/>
            <w:vAlign w:val="center"/>
          </w:tcPr>
          <w:p>
            <w:pPr>
              <w:pStyle w:val="363"/>
              <w:spacing w:line="360" w:lineRule="exact"/>
              <w:rPr>
                <w:rFonts w:eastAsia="宋体"/>
                <w:color w:val="auto"/>
              </w:rPr>
            </w:pPr>
            <w:r>
              <w:rPr>
                <w:rFonts w:eastAsia="宋体"/>
                <w:color w:val="auto"/>
              </w:rPr>
              <w:t>土壤侵蚀</w:t>
            </w:r>
          </w:p>
          <w:p>
            <w:pPr>
              <w:pStyle w:val="363"/>
              <w:spacing w:line="360" w:lineRule="exact"/>
              <w:rPr>
                <w:rFonts w:eastAsia="宋体"/>
                <w:color w:val="auto"/>
              </w:rPr>
            </w:pPr>
            <w:r>
              <w:rPr>
                <w:rFonts w:eastAsia="宋体"/>
                <w:color w:val="auto"/>
              </w:rPr>
              <w:t>类型</w:t>
            </w:r>
          </w:p>
        </w:tc>
        <w:tc>
          <w:tcPr>
            <w:tcW w:w="1068" w:type="pct"/>
            <w:vMerge w:val="restart"/>
            <w:vAlign w:val="center"/>
          </w:tcPr>
          <w:p>
            <w:pPr>
              <w:pStyle w:val="363"/>
              <w:spacing w:line="360" w:lineRule="exact"/>
              <w:rPr>
                <w:rFonts w:eastAsia="宋体"/>
                <w:color w:val="auto"/>
                <w:szCs w:val="21"/>
              </w:rPr>
            </w:pPr>
            <w:r>
              <w:rPr>
                <w:rFonts w:hint="eastAsia" w:eastAsia="宋体"/>
                <w:color w:val="auto"/>
                <w:szCs w:val="21"/>
              </w:rPr>
              <w:t>影响后面积</w:t>
            </w:r>
            <w:r>
              <w:rPr>
                <w:rFonts w:eastAsia="宋体"/>
                <w:color w:val="auto"/>
                <w:kern w:val="2"/>
              </w:rPr>
              <w:t>(</w:t>
            </w:r>
            <w:r>
              <w:rPr>
                <w:rFonts w:hint="eastAsia" w:eastAsia="宋体"/>
                <w:color w:val="auto"/>
                <w:kern w:val="2"/>
              </w:rPr>
              <w:t>k</w:t>
            </w:r>
            <w:r>
              <w:rPr>
                <w:rFonts w:eastAsia="宋体"/>
                <w:color w:val="auto"/>
                <w:kern w:val="2"/>
              </w:rPr>
              <w:t>m</w:t>
            </w:r>
            <w:r>
              <w:rPr>
                <w:rFonts w:eastAsia="宋体"/>
                <w:color w:val="auto"/>
                <w:kern w:val="2"/>
                <w:vertAlign w:val="superscript"/>
              </w:rPr>
              <w:t>2</w:t>
            </w:r>
            <w:r>
              <w:rPr>
                <w:rFonts w:eastAsia="宋体"/>
                <w:color w:val="auto"/>
                <w:kern w:val="2"/>
              </w:rPr>
              <w:t>)</w:t>
            </w:r>
          </w:p>
        </w:tc>
        <w:tc>
          <w:tcPr>
            <w:tcW w:w="2280" w:type="pct"/>
            <w:gridSpan w:val="2"/>
            <w:vAlign w:val="center"/>
          </w:tcPr>
          <w:p>
            <w:pPr>
              <w:pStyle w:val="363"/>
              <w:spacing w:line="360" w:lineRule="exact"/>
              <w:rPr>
                <w:rFonts w:eastAsia="宋体"/>
                <w:color w:val="auto"/>
                <w:szCs w:val="21"/>
              </w:rPr>
            </w:pPr>
            <w:r>
              <w:rPr>
                <w:rFonts w:hint="eastAsia" w:eastAsia="宋体"/>
                <w:color w:val="auto"/>
                <w:szCs w:val="21"/>
              </w:rPr>
              <w:t>影响后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92" w:type="pct"/>
            <w:vMerge w:val="continue"/>
            <w:vAlign w:val="center"/>
          </w:tcPr>
          <w:p>
            <w:pPr>
              <w:pStyle w:val="363"/>
              <w:spacing w:line="360" w:lineRule="exact"/>
            </w:pPr>
          </w:p>
        </w:tc>
        <w:tc>
          <w:tcPr>
            <w:tcW w:w="958" w:type="pct"/>
            <w:vMerge w:val="continue"/>
            <w:vAlign w:val="center"/>
          </w:tcPr>
          <w:p>
            <w:pPr>
              <w:pStyle w:val="363"/>
              <w:spacing w:line="360" w:lineRule="exact"/>
              <w:rPr>
                <w:color w:val="auto"/>
              </w:rPr>
            </w:pPr>
          </w:p>
        </w:tc>
        <w:tc>
          <w:tcPr>
            <w:tcW w:w="1068" w:type="pct"/>
            <w:vMerge w:val="continue"/>
            <w:vAlign w:val="center"/>
          </w:tcPr>
          <w:p>
            <w:pPr>
              <w:pStyle w:val="363"/>
              <w:spacing w:line="360" w:lineRule="exact"/>
              <w:rPr>
                <w:color w:val="auto"/>
              </w:rPr>
            </w:pPr>
          </w:p>
        </w:tc>
        <w:tc>
          <w:tcPr>
            <w:tcW w:w="1161" w:type="pct"/>
            <w:vAlign w:val="center"/>
          </w:tcPr>
          <w:p>
            <w:pPr>
              <w:pStyle w:val="363"/>
              <w:spacing w:line="360" w:lineRule="exact"/>
              <w:rPr>
                <w:rFonts w:eastAsia="宋体"/>
                <w:color w:val="auto"/>
                <w:szCs w:val="21"/>
              </w:rPr>
            </w:pPr>
            <w:r>
              <w:rPr>
                <w:rFonts w:eastAsia="宋体"/>
                <w:color w:val="auto"/>
                <w:szCs w:val="21"/>
              </w:rPr>
              <w:t>侵蚀模</w:t>
            </w:r>
            <w:r>
              <w:rPr>
                <w:rFonts w:hint="eastAsia" w:eastAsia="宋体"/>
                <w:color w:val="auto"/>
                <w:szCs w:val="21"/>
              </w:rPr>
              <w:t>数</w:t>
            </w:r>
            <w:r>
              <w:rPr>
                <w:rFonts w:hint="eastAsia"/>
                <w:color w:val="auto"/>
                <w:szCs w:val="21"/>
              </w:rPr>
              <w:t>[</w:t>
            </w:r>
            <w:r>
              <w:rPr>
                <w:rFonts w:eastAsia="宋体"/>
                <w:color w:val="auto"/>
                <w:szCs w:val="21"/>
              </w:rPr>
              <w:t>t/</w:t>
            </w:r>
            <w:r>
              <w:rPr>
                <w:rFonts w:hint="eastAsia"/>
                <w:color w:val="auto"/>
                <w:szCs w:val="21"/>
              </w:rPr>
              <w:t>(</w:t>
            </w:r>
            <w:r>
              <w:rPr>
                <w:rFonts w:eastAsia="宋体"/>
                <w:color w:val="auto"/>
                <w:szCs w:val="21"/>
              </w:rPr>
              <w:t>km</w:t>
            </w:r>
            <w:r>
              <w:rPr>
                <w:rFonts w:eastAsia="宋体"/>
                <w:color w:val="auto"/>
                <w:szCs w:val="21"/>
                <w:vertAlign w:val="superscript"/>
              </w:rPr>
              <w:t>2</w:t>
            </w:r>
            <w:r>
              <w:rPr>
                <w:rFonts w:eastAsia="宋体"/>
                <w:color w:val="auto"/>
                <w:szCs w:val="21"/>
              </w:rPr>
              <w:t>·a</w:t>
            </w:r>
            <w:r>
              <w:rPr>
                <w:rFonts w:hint="eastAsia"/>
                <w:color w:val="auto"/>
                <w:szCs w:val="21"/>
              </w:rPr>
              <w:t>)]</w:t>
            </w:r>
          </w:p>
        </w:tc>
        <w:tc>
          <w:tcPr>
            <w:tcW w:w="1118" w:type="pct"/>
            <w:vAlign w:val="center"/>
          </w:tcPr>
          <w:p>
            <w:pPr>
              <w:pStyle w:val="363"/>
              <w:spacing w:line="360" w:lineRule="exact"/>
              <w:rPr>
                <w:rFonts w:eastAsia="宋体"/>
                <w:color w:val="auto"/>
                <w:szCs w:val="21"/>
              </w:rPr>
            </w:pPr>
            <w:r>
              <w:rPr>
                <w:rFonts w:hint="eastAsia" w:eastAsia="宋体"/>
                <w:color w:val="auto"/>
                <w:szCs w:val="21"/>
              </w:rPr>
              <w:t>侵蚀量（t/a）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92" w:type="pct"/>
            <w:vMerge w:val="restart"/>
            <w:vAlign w:val="center"/>
          </w:tcPr>
          <w:p>
            <w:pPr>
              <w:pStyle w:val="362"/>
              <w:spacing w:before="0" w:beforeLines="0" w:line="360" w:lineRule="exact"/>
              <w:rPr>
                <w:rFonts w:eastAsia="宋体"/>
                <w:sz w:val="21"/>
                <w:szCs w:val="21"/>
              </w:rPr>
            </w:pPr>
            <w:r>
              <w:rPr>
                <w:rFonts w:hint="eastAsia" w:eastAsia="宋体"/>
                <w:sz w:val="21"/>
                <w:szCs w:val="21"/>
              </w:rPr>
              <w:t>评价范围</w:t>
            </w:r>
          </w:p>
        </w:tc>
        <w:tc>
          <w:tcPr>
            <w:tcW w:w="958" w:type="pct"/>
            <w:vAlign w:val="center"/>
          </w:tcPr>
          <w:p>
            <w:pPr>
              <w:pStyle w:val="362"/>
              <w:spacing w:before="0" w:beforeLines="0" w:line="360" w:lineRule="exact"/>
              <w:rPr>
                <w:rFonts w:eastAsia="宋体"/>
                <w:color w:val="auto"/>
                <w:sz w:val="21"/>
                <w:szCs w:val="21"/>
              </w:rPr>
            </w:pPr>
            <w:r>
              <w:rPr>
                <w:rFonts w:hint="eastAsia" w:eastAsia="宋体"/>
                <w:color w:val="auto"/>
                <w:sz w:val="21"/>
                <w:szCs w:val="21"/>
              </w:rPr>
              <w:t>微</w:t>
            </w:r>
            <w:r>
              <w:rPr>
                <w:rFonts w:eastAsia="宋体"/>
                <w:color w:val="auto"/>
                <w:sz w:val="21"/>
                <w:szCs w:val="21"/>
              </w:rPr>
              <w:t>度侵蚀</w:t>
            </w:r>
          </w:p>
        </w:tc>
        <w:tc>
          <w:tcPr>
            <w:tcW w:w="1960" w:type="dxa"/>
            <w:vAlign w:val="center"/>
          </w:tcPr>
          <w:p>
            <w:pPr>
              <w:jc w:val="center"/>
              <w:textAlignment w:val="center"/>
              <w:rPr>
                <w:rFonts w:eastAsia="宋体"/>
                <w:color w:val="auto"/>
              </w:rPr>
            </w:pPr>
            <w:r>
              <w:rPr>
                <w:rFonts w:hint="eastAsia"/>
                <w:sz w:val="21"/>
                <w:szCs w:val="21"/>
                <w:lang w:val="en-US" w:eastAsia="zh-CN" w:bidi="ar"/>
              </w:rPr>
              <w:t>0.02</w:t>
            </w:r>
            <w:r>
              <w:rPr>
                <w:rFonts w:hint="eastAsia"/>
                <w:sz w:val="21"/>
                <w:szCs w:val="21"/>
                <w:lang w:bidi="ar"/>
              </w:rPr>
              <w:t>14</w:t>
            </w:r>
          </w:p>
        </w:tc>
        <w:tc>
          <w:tcPr>
            <w:tcW w:w="1161" w:type="pct"/>
            <w:vAlign w:val="center"/>
          </w:tcPr>
          <w:p>
            <w:pPr>
              <w:adjustRightInd w:val="0"/>
              <w:snapToGrid w:val="0"/>
              <w:spacing w:line="360" w:lineRule="exact"/>
              <w:jc w:val="center"/>
              <w:rPr>
                <w:color w:val="auto"/>
                <w:sz w:val="21"/>
                <w:szCs w:val="21"/>
              </w:rPr>
            </w:pPr>
            <w:r>
              <w:rPr>
                <w:rFonts w:hint="eastAsia"/>
                <w:color w:val="auto"/>
                <w:sz w:val="21"/>
                <w:szCs w:val="21"/>
              </w:rPr>
              <w:t>500</w:t>
            </w:r>
          </w:p>
        </w:tc>
        <w:tc>
          <w:tcPr>
            <w:tcW w:w="1118" w:type="pct"/>
            <w:vAlign w:val="center"/>
          </w:tcPr>
          <w:p>
            <w:pPr>
              <w:adjustRightInd w:val="0"/>
              <w:snapToGrid w:val="0"/>
              <w:spacing w:line="360" w:lineRule="exact"/>
              <w:jc w:val="center"/>
              <w:rPr>
                <w:rFonts w:hint="default" w:eastAsia="宋体"/>
                <w:color w:val="auto"/>
                <w:sz w:val="21"/>
                <w:szCs w:val="21"/>
                <w:lang w:val="en-US" w:eastAsia="zh-CN"/>
              </w:rPr>
            </w:pPr>
            <w:r>
              <w:rPr>
                <w:rFonts w:hint="eastAsia"/>
                <w:color w:val="auto"/>
                <w:sz w:val="21"/>
                <w:szCs w:val="21"/>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92" w:type="pct"/>
            <w:vMerge w:val="continue"/>
            <w:vAlign w:val="center"/>
          </w:tcPr>
          <w:p>
            <w:pPr>
              <w:pStyle w:val="362"/>
              <w:spacing w:before="0" w:beforeLines="0" w:line="360" w:lineRule="exact"/>
              <w:rPr>
                <w:rFonts w:eastAsia="宋体"/>
                <w:sz w:val="21"/>
                <w:szCs w:val="21"/>
              </w:rPr>
            </w:pPr>
          </w:p>
        </w:tc>
        <w:tc>
          <w:tcPr>
            <w:tcW w:w="958" w:type="pct"/>
            <w:vAlign w:val="center"/>
          </w:tcPr>
          <w:p>
            <w:pPr>
              <w:pStyle w:val="362"/>
              <w:spacing w:before="0" w:beforeLines="0" w:line="360" w:lineRule="exact"/>
              <w:rPr>
                <w:rFonts w:eastAsia="宋体"/>
                <w:color w:val="auto"/>
                <w:sz w:val="21"/>
                <w:szCs w:val="21"/>
              </w:rPr>
            </w:pPr>
            <w:r>
              <w:rPr>
                <w:rFonts w:eastAsia="宋体"/>
                <w:color w:val="auto"/>
                <w:sz w:val="21"/>
                <w:szCs w:val="21"/>
              </w:rPr>
              <w:t>中度侵蚀</w:t>
            </w:r>
          </w:p>
        </w:tc>
        <w:tc>
          <w:tcPr>
            <w:tcW w:w="1960" w:type="dxa"/>
            <w:vAlign w:val="center"/>
          </w:tcPr>
          <w:p>
            <w:pPr>
              <w:jc w:val="center"/>
              <w:textAlignment w:val="center"/>
              <w:rPr>
                <w:rFonts w:hint="default" w:eastAsia="宋体"/>
                <w:color w:val="auto"/>
                <w:lang w:val="en-US" w:eastAsia="zh-CN"/>
              </w:rPr>
            </w:pPr>
            <w:r>
              <w:rPr>
                <w:rFonts w:hint="eastAsia"/>
                <w:sz w:val="21"/>
                <w:szCs w:val="21"/>
                <w:lang w:val="en-US" w:eastAsia="zh-CN" w:bidi="ar"/>
              </w:rPr>
              <w:t>0.</w:t>
            </w:r>
            <w:r>
              <w:rPr>
                <w:rFonts w:hint="eastAsia"/>
                <w:sz w:val="21"/>
                <w:szCs w:val="21"/>
                <w:lang w:bidi="ar"/>
              </w:rPr>
              <w:t>2</w:t>
            </w:r>
            <w:r>
              <w:rPr>
                <w:rFonts w:hint="eastAsia"/>
                <w:sz w:val="21"/>
                <w:szCs w:val="21"/>
                <w:lang w:val="en-US" w:eastAsia="zh-CN" w:bidi="ar"/>
              </w:rPr>
              <w:t>363</w:t>
            </w:r>
          </w:p>
        </w:tc>
        <w:tc>
          <w:tcPr>
            <w:tcW w:w="1161" w:type="pct"/>
            <w:vAlign w:val="center"/>
          </w:tcPr>
          <w:p>
            <w:pPr>
              <w:adjustRightInd w:val="0"/>
              <w:snapToGrid w:val="0"/>
              <w:spacing w:line="360" w:lineRule="exact"/>
              <w:jc w:val="center"/>
              <w:rPr>
                <w:color w:val="auto"/>
                <w:sz w:val="21"/>
                <w:szCs w:val="21"/>
              </w:rPr>
            </w:pPr>
            <w:r>
              <w:rPr>
                <w:rFonts w:hint="eastAsia"/>
                <w:color w:val="auto"/>
                <w:sz w:val="21"/>
                <w:szCs w:val="21"/>
              </w:rPr>
              <w:t>3500</w:t>
            </w:r>
          </w:p>
        </w:tc>
        <w:tc>
          <w:tcPr>
            <w:tcW w:w="1118" w:type="pct"/>
            <w:vAlign w:val="center"/>
          </w:tcPr>
          <w:p>
            <w:pPr>
              <w:adjustRightInd w:val="0"/>
              <w:snapToGrid w:val="0"/>
              <w:spacing w:line="360" w:lineRule="exact"/>
              <w:jc w:val="center"/>
              <w:rPr>
                <w:rFonts w:hint="default" w:eastAsia="宋体"/>
                <w:color w:val="auto"/>
                <w:sz w:val="21"/>
                <w:szCs w:val="21"/>
                <w:lang w:val="en-US" w:eastAsia="zh-CN"/>
              </w:rPr>
            </w:pPr>
            <w:r>
              <w:rPr>
                <w:rFonts w:hint="eastAsia"/>
                <w:color w:val="auto"/>
                <w:sz w:val="21"/>
                <w:szCs w:val="21"/>
                <w:lang w:val="en-US" w:eastAsia="zh-CN"/>
              </w:rPr>
              <w:t>827.05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92" w:type="pct"/>
            <w:vMerge w:val="continue"/>
            <w:vAlign w:val="center"/>
          </w:tcPr>
          <w:p>
            <w:pPr>
              <w:pStyle w:val="362"/>
              <w:spacing w:before="0" w:beforeLines="0" w:line="360" w:lineRule="exact"/>
              <w:rPr>
                <w:rFonts w:eastAsia="宋体"/>
                <w:sz w:val="21"/>
                <w:szCs w:val="21"/>
              </w:rPr>
            </w:pPr>
          </w:p>
        </w:tc>
        <w:tc>
          <w:tcPr>
            <w:tcW w:w="958" w:type="pct"/>
            <w:vAlign w:val="center"/>
          </w:tcPr>
          <w:p>
            <w:pPr>
              <w:pStyle w:val="362"/>
              <w:spacing w:before="0" w:beforeLines="0" w:line="360" w:lineRule="exact"/>
              <w:rPr>
                <w:rFonts w:eastAsia="宋体"/>
                <w:color w:val="auto"/>
                <w:sz w:val="21"/>
                <w:szCs w:val="21"/>
              </w:rPr>
            </w:pPr>
            <w:r>
              <w:rPr>
                <w:rFonts w:eastAsia="宋体"/>
                <w:color w:val="auto"/>
                <w:sz w:val="21"/>
                <w:szCs w:val="21"/>
              </w:rPr>
              <w:t>强烈侵蚀</w:t>
            </w:r>
          </w:p>
        </w:tc>
        <w:tc>
          <w:tcPr>
            <w:tcW w:w="1960" w:type="dxa"/>
            <w:vAlign w:val="center"/>
          </w:tcPr>
          <w:p>
            <w:pPr>
              <w:jc w:val="center"/>
              <w:textAlignment w:val="center"/>
              <w:rPr>
                <w:rFonts w:hint="default" w:eastAsia="宋体"/>
                <w:color w:val="auto"/>
                <w:lang w:val="en-US"/>
              </w:rPr>
            </w:pPr>
            <w:r>
              <w:rPr>
                <w:rFonts w:hint="eastAsia"/>
                <w:sz w:val="21"/>
                <w:szCs w:val="21"/>
                <w:lang w:val="en-US" w:eastAsia="zh-CN" w:bidi="ar"/>
              </w:rPr>
              <w:t>0.1044</w:t>
            </w:r>
          </w:p>
        </w:tc>
        <w:tc>
          <w:tcPr>
            <w:tcW w:w="1161" w:type="pct"/>
            <w:vAlign w:val="center"/>
          </w:tcPr>
          <w:p>
            <w:pPr>
              <w:adjustRightInd w:val="0"/>
              <w:snapToGrid w:val="0"/>
              <w:spacing w:line="360" w:lineRule="exact"/>
              <w:jc w:val="center"/>
              <w:rPr>
                <w:color w:val="auto"/>
                <w:sz w:val="21"/>
                <w:szCs w:val="21"/>
              </w:rPr>
            </w:pPr>
            <w:r>
              <w:rPr>
                <w:rFonts w:hint="eastAsia"/>
                <w:color w:val="auto"/>
                <w:sz w:val="21"/>
                <w:szCs w:val="21"/>
              </w:rPr>
              <w:t>6500</w:t>
            </w:r>
          </w:p>
        </w:tc>
        <w:tc>
          <w:tcPr>
            <w:tcW w:w="1118" w:type="pct"/>
            <w:vAlign w:val="center"/>
          </w:tcPr>
          <w:p>
            <w:pPr>
              <w:adjustRightInd w:val="0"/>
              <w:snapToGrid w:val="0"/>
              <w:spacing w:line="360" w:lineRule="exact"/>
              <w:jc w:val="center"/>
              <w:rPr>
                <w:rFonts w:hint="default" w:eastAsia="宋体"/>
                <w:color w:val="auto"/>
                <w:sz w:val="21"/>
                <w:szCs w:val="21"/>
                <w:lang w:val="en-US" w:eastAsia="zh-CN"/>
              </w:rPr>
            </w:pPr>
            <w:r>
              <w:rPr>
                <w:rFonts w:hint="eastAsia"/>
                <w:color w:val="auto"/>
                <w:sz w:val="21"/>
                <w:szCs w:val="21"/>
                <w:lang w:val="en-US" w:eastAsia="zh-CN"/>
              </w:rPr>
              <w:t>678.6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92" w:type="pct"/>
            <w:vMerge w:val="continue"/>
            <w:vAlign w:val="center"/>
          </w:tcPr>
          <w:p>
            <w:pPr>
              <w:pStyle w:val="362"/>
              <w:spacing w:before="0" w:beforeLines="0" w:line="360" w:lineRule="exact"/>
              <w:rPr>
                <w:rFonts w:eastAsia="宋体"/>
                <w:sz w:val="21"/>
                <w:szCs w:val="21"/>
              </w:rPr>
            </w:pPr>
          </w:p>
        </w:tc>
        <w:tc>
          <w:tcPr>
            <w:tcW w:w="958" w:type="pct"/>
            <w:vAlign w:val="center"/>
          </w:tcPr>
          <w:p>
            <w:pPr>
              <w:pStyle w:val="362"/>
              <w:spacing w:before="0" w:beforeLines="0" w:line="360" w:lineRule="exact"/>
              <w:rPr>
                <w:rFonts w:eastAsia="宋体"/>
                <w:color w:val="auto"/>
                <w:sz w:val="21"/>
                <w:szCs w:val="21"/>
              </w:rPr>
            </w:pPr>
            <w:r>
              <w:rPr>
                <w:rFonts w:hint="eastAsia" w:eastAsia="宋体"/>
                <w:color w:val="auto"/>
                <w:sz w:val="21"/>
                <w:szCs w:val="21"/>
              </w:rPr>
              <w:t>合计</w:t>
            </w:r>
          </w:p>
        </w:tc>
        <w:tc>
          <w:tcPr>
            <w:tcW w:w="1960" w:type="dxa"/>
            <w:vAlign w:val="center"/>
          </w:tcPr>
          <w:p>
            <w:pPr>
              <w:widowControl w:val="0"/>
              <w:adjustRightInd w:val="0"/>
              <w:snapToGrid w:val="0"/>
              <w:jc w:val="center"/>
              <w:rPr>
                <w:rFonts w:eastAsia="宋体"/>
                <w:color w:val="auto"/>
              </w:rPr>
            </w:pPr>
            <w:r>
              <w:rPr>
                <w:rFonts w:hint="eastAsia"/>
                <w:kern w:val="2"/>
                <w:sz w:val="21"/>
                <w:szCs w:val="21"/>
                <w:lang w:val="en-US" w:eastAsia="zh-CN"/>
              </w:rPr>
              <w:t>0.</w:t>
            </w:r>
            <w:r>
              <w:rPr>
                <w:rFonts w:hint="eastAsia"/>
                <w:kern w:val="2"/>
                <w:sz w:val="21"/>
                <w:szCs w:val="21"/>
              </w:rPr>
              <w:t>3621</w:t>
            </w:r>
          </w:p>
        </w:tc>
        <w:tc>
          <w:tcPr>
            <w:tcW w:w="1161" w:type="pct"/>
            <w:vAlign w:val="center"/>
          </w:tcPr>
          <w:p>
            <w:pPr>
              <w:pStyle w:val="363"/>
              <w:spacing w:line="360" w:lineRule="exact"/>
              <w:rPr>
                <w:rFonts w:hint="default" w:eastAsia="宋体"/>
                <w:color w:val="auto"/>
                <w:lang w:val="en-US" w:eastAsia="zh-CN"/>
              </w:rPr>
            </w:pPr>
            <w:r>
              <w:rPr>
                <w:rFonts w:hint="eastAsia" w:eastAsia="宋体"/>
                <w:color w:val="auto"/>
                <w:lang w:val="en-US" w:eastAsia="zh-CN"/>
              </w:rPr>
              <w:t>4187.7</w:t>
            </w:r>
          </w:p>
        </w:tc>
        <w:tc>
          <w:tcPr>
            <w:tcW w:w="1118" w:type="pct"/>
            <w:vAlign w:val="center"/>
          </w:tcPr>
          <w:p>
            <w:pPr>
              <w:pStyle w:val="363"/>
              <w:spacing w:line="360" w:lineRule="exact"/>
              <w:rPr>
                <w:rFonts w:hint="default" w:eastAsia="宋体"/>
                <w:color w:val="auto"/>
                <w:lang w:val="en-US" w:eastAsia="zh-CN"/>
              </w:rPr>
            </w:pPr>
            <w:r>
              <w:rPr>
                <w:rFonts w:hint="eastAsia" w:eastAsia="宋体"/>
                <w:color w:val="auto"/>
                <w:lang w:val="en-US" w:eastAsia="zh-CN"/>
              </w:rPr>
              <w:t>1516.35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92" w:type="pct"/>
            <w:vMerge w:val="restart"/>
            <w:vAlign w:val="center"/>
          </w:tcPr>
          <w:p>
            <w:pPr>
              <w:pStyle w:val="362"/>
              <w:spacing w:before="0" w:beforeLines="0" w:line="360" w:lineRule="exact"/>
              <w:rPr>
                <w:rFonts w:eastAsia="宋体"/>
                <w:sz w:val="21"/>
                <w:szCs w:val="21"/>
              </w:rPr>
            </w:pPr>
            <w:r>
              <w:rPr>
                <w:rFonts w:hint="eastAsia" w:eastAsia="宋体"/>
                <w:sz w:val="21"/>
                <w:szCs w:val="21"/>
              </w:rPr>
              <w:t>项目占地</w:t>
            </w:r>
          </w:p>
        </w:tc>
        <w:tc>
          <w:tcPr>
            <w:tcW w:w="1779" w:type="dxa"/>
            <w:vAlign w:val="center"/>
          </w:tcPr>
          <w:p>
            <w:pPr>
              <w:pStyle w:val="362"/>
              <w:spacing w:before="0" w:beforeLines="0" w:line="360" w:lineRule="exact"/>
              <w:ind w:firstLine="0" w:firstLineChars="0"/>
              <w:rPr>
                <w:color w:val="auto"/>
                <w:sz w:val="21"/>
                <w:szCs w:val="21"/>
              </w:rPr>
            </w:pPr>
            <w:r>
              <w:rPr>
                <w:rFonts w:hint="eastAsia" w:eastAsia="宋体"/>
                <w:color w:val="auto"/>
                <w:sz w:val="21"/>
                <w:szCs w:val="21"/>
              </w:rPr>
              <w:t>微</w:t>
            </w:r>
            <w:r>
              <w:rPr>
                <w:rFonts w:eastAsia="宋体"/>
                <w:color w:val="auto"/>
                <w:sz w:val="21"/>
                <w:szCs w:val="21"/>
              </w:rPr>
              <w:t>度侵蚀</w:t>
            </w:r>
          </w:p>
        </w:tc>
        <w:tc>
          <w:tcPr>
            <w:tcW w:w="1984" w:type="dxa"/>
            <w:vAlign w:val="center"/>
          </w:tcPr>
          <w:p>
            <w:pPr>
              <w:spacing w:line="360" w:lineRule="exact"/>
              <w:jc w:val="center"/>
              <w:textAlignment w:val="center"/>
              <w:rPr>
                <w:color w:val="auto"/>
              </w:rPr>
            </w:pPr>
            <w:r>
              <w:rPr>
                <w:rFonts w:hint="eastAsia"/>
                <w:sz w:val="21"/>
                <w:szCs w:val="21"/>
                <w:lang w:val="en-US" w:eastAsia="zh-CN" w:bidi="ar"/>
              </w:rPr>
              <w:t>0.0009</w:t>
            </w:r>
          </w:p>
        </w:tc>
        <w:tc>
          <w:tcPr>
            <w:tcW w:w="2156" w:type="dxa"/>
            <w:vAlign w:val="center"/>
          </w:tcPr>
          <w:p>
            <w:pPr>
              <w:adjustRightInd w:val="0"/>
              <w:snapToGrid w:val="0"/>
              <w:spacing w:line="360" w:lineRule="exact"/>
              <w:jc w:val="center"/>
              <w:rPr>
                <w:color w:val="auto"/>
                <w:sz w:val="21"/>
                <w:szCs w:val="20"/>
              </w:rPr>
            </w:pPr>
            <w:r>
              <w:rPr>
                <w:color w:val="auto"/>
                <w:sz w:val="21"/>
                <w:szCs w:val="21"/>
              </w:rPr>
              <w:t>500</w:t>
            </w:r>
          </w:p>
        </w:tc>
        <w:tc>
          <w:tcPr>
            <w:tcW w:w="2079" w:type="dxa"/>
            <w:vAlign w:val="center"/>
          </w:tcPr>
          <w:p>
            <w:pPr>
              <w:adjustRightInd w:val="0"/>
              <w:snapToGrid w:val="0"/>
              <w:spacing w:line="360" w:lineRule="exact"/>
              <w:jc w:val="center"/>
              <w:rPr>
                <w:rFonts w:hint="default" w:eastAsia="宋体"/>
                <w:color w:val="auto"/>
                <w:sz w:val="21"/>
                <w:szCs w:val="20"/>
                <w:lang w:val="en-US" w:eastAsia="zh-CN"/>
              </w:rPr>
            </w:pPr>
            <w:r>
              <w:rPr>
                <w:rFonts w:hint="eastAsia"/>
                <w:color w:val="auto"/>
                <w:sz w:val="21"/>
                <w:szCs w:val="20"/>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92" w:type="pct"/>
            <w:vMerge w:val="continue"/>
            <w:vAlign w:val="center"/>
          </w:tcPr>
          <w:p>
            <w:pPr>
              <w:pStyle w:val="362"/>
              <w:spacing w:before="0" w:beforeLines="0" w:line="360" w:lineRule="exact"/>
              <w:rPr>
                <w:rFonts w:hint="eastAsia" w:eastAsia="宋体"/>
                <w:sz w:val="21"/>
                <w:szCs w:val="21"/>
              </w:rPr>
            </w:pPr>
          </w:p>
        </w:tc>
        <w:tc>
          <w:tcPr>
            <w:tcW w:w="1779" w:type="dxa"/>
            <w:vAlign w:val="center"/>
          </w:tcPr>
          <w:p>
            <w:pPr>
              <w:pStyle w:val="362"/>
              <w:spacing w:before="0" w:beforeLines="0" w:line="360" w:lineRule="exact"/>
              <w:ind w:firstLine="0" w:firstLineChars="0"/>
              <w:rPr>
                <w:color w:val="auto"/>
                <w:sz w:val="21"/>
                <w:szCs w:val="21"/>
              </w:rPr>
            </w:pPr>
            <w:r>
              <w:rPr>
                <w:rFonts w:eastAsia="宋体"/>
                <w:color w:val="auto"/>
                <w:sz w:val="21"/>
                <w:szCs w:val="21"/>
              </w:rPr>
              <w:t>中度侵蚀</w:t>
            </w:r>
          </w:p>
        </w:tc>
        <w:tc>
          <w:tcPr>
            <w:tcW w:w="1984" w:type="dxa"/>
            <w:vAlign w:val="center"/>
          </w:tcPr>
          <w:p>
            <w:pPr>
              <w:spacing w:line="360" w:lineRule="exact"/>
              <w:jc w:val="center"/>
              <w:textAlignment w:val="center"/>
              <w:rPr>
                <w:rFonts w:hint="default" w:eastAsia="宋体"/>
                <w:color w:val="auto"/>
                <w:sz w:val="22"/>
                <w:szCs w:val="22"/>
                <w:lang w:val="en-US" w:eastAsia="zh-CN" w:bidi="ar"/>
              </w:rPr>
            </w:pPr>
            <w:r>
              <w:rPr>
                <w:rFonts w:hint="eastAsia"/>
                <w:sz w:val="21"/>
                <w:szCs w:val="21"/>
                <w:lang w:val="en-US" w:eastAsia="zh-CN" w:bidi="ar"/>
              </w:rPr>
              <w:t>0.0106</w:t>
            </w:r>
          </w:p>
        </w:tc>
        <w:tc>
          <w:tcPr>
            <w:tcW w:w="2156" w:type="dxa"/>
            <w:vAlign w:val="center"/>
          </w:tcPr>
          <w:p>
            <w:pPr>
              <w:adjustRightInd w:val="0"/>
              <w:snapToGrid w:val="0"/>
              <w:spacing w:line="360" w:lineRule="exact"/>
              <w:jc w:val="center"/>
              <w:rPr>
                <w:rFonts w:hint="default" w:eastAsia="宋体"/>
                <w:color w:val="auto"/>
                <w:sz w:val="21"/>
                <w:szCs w:val="21"/>
                <w:lang w:val="en-US" w:eastAsia="zh-CN"/>
              </w:rPr>
            </w:pPr>
            <w:r>
              <w:rPr>
                <w:rFonts w:hint="eastAsia"/>
                <w:color w:val="auto"/>
                <w:sz w:val="21"/>
                <w:szCs w:val="21"/>
                <w:lang w:val="en-US" w:eastAsia="zh-CN"/>
              </w:rPr>
              <w:t>3500</w:t>
            </w:r>
          </w:p>
        </w:tc>
        <w:tc>
          <w:tcPr>
            <w:tcW w:w="2079" w:type="dxa"/>
            <w:vAlign w:val="center"/>
          </w:tcPr>
          <w:p>
            <w:pPr>
              <w:adjustRightInd w:val="0"/>
              <w:snapToGrid w:val="0"/>
              <w:spacing w:line="360" w:lineRule="exact"/>
              <w:jc w:val="center"/>
              <w:rPr>
                <w:rFonts w:hint="default" w:eastAsia="宋体"/>
                <w:color w:val="auto"/>
                <w:sz w:val="21"/>
                <w:szCs w:val="20"/>
                <w:lang w:val="en-US" w:eastAsia="zh-CN"/>
              </w:rPr>
            </w:pPr>
            <w:r>
              <w:rPr>
                <w:rFonts w:hint="eastAsia"/>
                <w:color w:val="auto"/>
                <w:sz w:val="21"/>
                <w:szCs w:val="20"/>
                <w:lang w:val="en-US" w:eastAsia="zh-CN"/>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92" w:type="pct"/>
            <w:vMerge w:val="continue"/>
            <w:vAlign w:val="center"/>
          </w:tcPr>
          <w:p>
            <w:pPr>
              <w:pStyle w:val="362"/>
              <w:spacing w:before="0" w:beforeLines="0" w:line="360" w:lineRule="exact"/>
              <w:rPr>
                <w:rFonts w:eastAsia="宋体"/>
                <w:sz w:val="21"/>
                <w:szCs w:val="21"/>
              </w:rPr>
            </w:pPr>
          </w:p>
        </w:tc>
        <w:tc>
          <w:tcPr>
            <w:tcW w:w="1779" w:type="dxa"/>
            <w:vAlign w:val="center"/>
          </w:tcPr>
          <w:p>
            <w:pPr>
              <w:adjustRightInd w:val="0"/>
              <w:snapToGrid w:val="0"/>
              <w:spacing w:line="360" w:lineRule="exact"/>
              <w:jc w:val="center"/>
              <w:rPr>
                <w:color w:val="auto"/>
                <w:sz w:val="21"/>
                <w:szCs w:val="21"/>
              </w:rPr>
            </w:pPr>
            <w:r>
              <w:rPr>
                <w:color w:val="auto"/>
                <w:sz w:val="21"/>
                <w:szCs w:val="21"/>
              </w:rPr>
              <w:t>强烈侵蚀</w:t>
            </w:r>
          </w:p>
        </w:tc>
        <w:tc>
          <w:tcPr>
            <w:tcW w:w="1984" w:type="dxa"/>
            <w:vAlign w:val="center"/>
          </w:tcPr>
          <w:p>
            <w:pPr>
              <w:spacing w:line="360" w:lineRule="exact"/>
              <w:jc w:val="center"/>
              <w:textAlignment w:val="center"/>
              <w:rPr>
                <w:rFonts w:hint="default" w:eastAsia="宋体"/>
                <w:color w:val="auto"/>
                <w:lang w:val="en-US" w:eastAsia="zh-CN"/>
              </w:rPr>
            </w:pPr>
            <w:r>
              <w:rPr>
                <w:rFonts w:hint="eastAsia"/>
                <w:sz w:val="21"/>
                <w:szCs w:val="21"/>
                <w:lang w:val="en-US" w:eastAsia="zh-CN" w:bidi="ar"/>
              </w:rPr>
              <w:t>0.0405</w:t>
            </w:r>
          </w:p>
        </w:tc>
        <w:tc>
          <w:tcPr>
            <w:tcW w:w="2156" w:type="dxa"/>
            <w:vAlign w:val="center"/>
          </w:tcPr>
          <w:p>
            <w:pPr>
              <w:adjustRightInd w:val="0"/>
              <w:snapToGrid w:val="0"/>
              <w:spacing w:line="360" w:lineRule="exact"/>
              <w:jc w:val="center"/>
              <w:rPr>
                <w:color w:val="auto"/>
                <w:sz w:val="21"/>
                <w:szCs w:val="20"/>
              </w:rPr>
            </w:pPr>
            <w:r>
              <w:rPr>
                <w:color w:val="auto"/>
                <w:sz w:val="21"/>
                <w:szCs w:val="21"/>
              </w:rPr>
              <w:t>6500</w:t>
            </w:r>
          </w:p>
        </w:tc>
        <w:tc>
          <w:tcPr>
            <w:tcW w:w="2079" w:type="dxa"/>
            <w:vAlign w:val="center"/>
          </w:tcPr>
          <w:p>
            <w:pPr>
              <w:adjustRightInd w:val="0"/>
              <w:snapToGrid w:val="0"/>
              <w:spacing w:line="360" w:lineRule="exact"/>
              <w:jc w:val="center"/>
              <w:rPr>
                <w:rFonts w:hint="default" w:eastAsia="宋体"/>
                <w:color w:val="auto"/>
                <w:sz w:val="21"/>
                <w:szCs w:val="20"/>
                <w:lang w:val="en-US" w:eastAsia="zh-CN"/>
              </w:rPr>
            </w:pPr>
            <w:r>
              <w:rPr>
                <w:rFonts w:hint="eastAsia"/>
                <w:color w:val="auto"/>
                <w:sz w:val="21"/>
                <w:szCs w:val="20"/>
                <w:lang w:val="en-US" w:eastAsia="zh-CN"/>
              </w:rPr>
              <w:t>263.25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92" w:type="pct"/>
            <w:vMerge w:val="continue"/>
            <w:vAlign w:val="center"/>
          </w:tcPr>
          <w:p>
            <w:pPr>
              <w:pStyle w:val="362"/>
              <w:spacing w:before="0" w:beforeLines="0" w:line="360" w:lineRule="exact"/>
              <w:rPr>
                <w:rFonts w:eastAsia="宋体"/>
                <w:sz w:val="21"/>
                <w:szCs w:val="21"/>
              </w:rPr>
            </w:pPr>
          </w:p>
        </w:tc>
        <w:tc>
          <w:tcPr>
            <w:tcW w:w="1779" w:type="dxa"/>
            <w:vAlign w:val="center"/>
          </w:tcPr>
          <w:p>
            <w:pPr>
              <w:adjustRightInd w:val="0"/>
              <w:snapToGrid w:val="0"/>
              <w:spacing w:line="360" w:lineRule="exact"/>
              <w:jc w:val="center"/>
              <w:rPr>
                <w:color w:val="auto"/>
                <w:sz w:val="21"/>
                <w:szCs w:val="21"/>
              </w:rPr>
            </w:pPr>
            <w:r>
              <w:rPr>
                <w:color w:val="auto"/>
                <w:sz w:val="21"/>
                <w:szCs w:val="21"/>
              </w:rPr>
              <w:t>合计</w:t>
            </w:r>
          </w:p>
        </w:tc>
        <w:tc>
          <w:tcPr>
            <w:tcW w:w="1984" w:type="dxa"/>
            <w:vAlign w:val="center"/>
          </w:tcPr>
          <w:p>
            <w:pPr>
              <w:widowControl w:val="0"/>
              <w:adjustRightInd w:val="0"/>
              <w:snapToGrid w:val="0"/>
              <w:spacing w:line="360" w:lineRule="exact"/>
              <w:jc w:val="center"/>
              <w:rPr>
                <w:color w:val="auto"/>
              </w:rPr>
            </w:pPr>
            <w:r>
              <w:rPr>
                <w:rFonts w:hint="eastAsia"/>
                <w:kern w:val="2"/>
                <w:sz w:val="21"/>
                <w:szCs w:val="21"/>
                <w:lang w:val="en-US" w:eastAsia="zh-CN"/>
              </w:rPr>
              <w:t>0.052</w:t>
            </w:r>
          </w:p>
        </w:tc>
        <w:tc>
          <w:tcPr>
            <w:tcW w:w="2156" w:type="dxa"/>
            <w:vAlign w:val="center"/>
          </w:tcPr>
          <w:p>
            <w:pPr>
              <w:adjustRightInd w:val="0"/>
              <w:snapToGrid w:val="0"/>
              <w:spacing w:line="360" w:lineRule="exact"/>
              <w:jc w:val="center"/>
              <w:rPr>
                <w:rFonts w:hint="default" w:eastAsia="宋体"/>
                <w:color w:val="auto"/>
                <w:sz w:val="21"/>
                <w:szCs w:val="20"/>
                <w:lang w:val="en-US" w:eastAsia="zh-CN"/>
              </w:rPr>
            </w:pPr>
            <w:r>
              <w:rPr>
                <w:rFonts w:hint="eastAsia"/>
                <w:color w:val="auto"/>
                <w:sz w:val="21"/>
                <w:szCs w:val="20"/>
                <w:lang w:val="en-US" w:eastAsia="zh-CN"/>
              </w:rPr>
              <w:t>5784.6</w:t>
            </w:r>
          </w:p>
        </w:tc>
        <w:tc>
          <w:tcPr>
            <w:tcW w:w="2079" w:type="dxa"/>
            <w:vAlign w:val="center"/>
          </w:tcPr>
          <w:p>
            <w:pPr>
              <w:adjustRightInd w:val="0"/>
              <w:snapToGrid w:val="0"/>
              <w:spacing w:line="360" w:lineRule="exact"/>
              <w:jc w:val="center"/>
              <w:rPr>
                <w:rFonts w:hint="default" w:eastAsia="宋体"/>
                <w:color w:val="auto"/>
                <w:sz w:val="21"/>
                <w:szCs w:val="20"/>
                <w:lang w:val="en-US" w:eastAsia="zh-CN"/>
              </w:rPr>
            </w:pPr>
            <w:r>
              <w:rPr>
                <w:rFonts w:hint="eastAsia"/>
                <w:color w:val="auto"/>
                <w:sz w:val="21"/>
                <w:szCs w:val="20"/>
                <w:lang w:val="en-US" w:eastAsia="zh-CN"/>
              </w:rPr>
              <w:t>300.8</w:t>
            </w:r>
          </w:p>
        </w:tc>
      </w:tr>
    </w:tbl>
    <w:p>
      <w:pPr>
        <w:adjustRightInd w:val="0"/>
        <w:snapToGrid w:val="0"/>
        <w:spacing w:line="440" w:lineRule="exact"/>
        <w:ind w:firstLine="480" w:firstLineChars="200"/>
        <w:jc w:val="both"/>
      </w:pPr>
      <w:r>
        <w:rPr>
          <w:rFonts w:hint="eastAsia"/>
        </w:rPr>
        <w:t>经过计算，影响后评价范围内土壤侵蚀量</w:t>
      </w:r>
      <w:r>
        <w:t>为</w:t>
      </w:r>
      <w:r>
        <w:rPr>
          <w:rFonts w:hint="eastAsia"/>
          <w:lang w:val="en-US" w:eastAsia="zh-CN"/>
        </w:rPr>
        <w:t>1516.35</w:t>
      </w:r>
      <w:r>
        <w:t>t/a</w:t>
      </w:r>
      <w:r>
        <w:rPr>
          <w:rFonts w:hint="eastAsia"/>
        </w:rPr>
        <w:t>，</w:t>
      </w:r>
      <w:r>
        <w:t>侵蚀模数</w:t>
      </w:r>
      <w:r>
        <w:rPr>
          <w:rFonts w:hint="eastAsia"/>
        </w:rPr>
        <w:t>为</w:t>
      </w:r>
      <w:r>
        <w:rPr>
          <w:rFonts w:hint="eastAsia"/>
          <w:lang w:val="en-US" w:eastAsia="zh-CN"/>
        </w:rPr>
        <w:t>4187.7</w:t>
      </w:r>
      <w:r>
        <w:t>t/</w:t>
      </w:r>
      <w:r>
        <w:rPr>
          <w:rFonts w:hint="eastAsia"/>
        </w:rPr>
        <w:t>（</w:t>
      </w:r>
      <w:r>
        <w:t>km</w:t>
      </w:r>
      <w:r>
        <w:rPr>
          <w:vertAlign w:val="superscript"/>
        </w:rPr>
        <w:t>2</w:t>
      </w:r>
      <w:r>
        <w:t>.a</w:t>
      </w:r>
      <w:r>
        <w:rPr>
          <w:rFonts w:hint="eastAsia"/>
        </w:rPr>
        <w:t>），相比影响前，土壤侵蚀量增加</w:t>
      </w:r>
      <w:r>
        <w:rPr>
          <w:rFonts w:hint="eastAsia"/>
          <w:lang w:val="en-US" w:eastAsia="zh-CN"/>
        </w:rPr>
        <w:t>35.7</w:t>
      </w:r>
      <w:r>
        <w:t>t/a</w:t>
      </w:r>
      <w:r>
        <w:rPr>
          <w:rFonts w:hint="eastAsia"/>
        </w:rPr>
        <w:t>，侵蚀模数增加约</w:t>
      </w:r>
      <w:r>
        <w:rPr>
          <w:rFonts w:hint="eastAsia"/>
          <w:lang w:val="en-US" w:eastAsia="zh-CN"/>
        </w:rPr>
        <w:t>98.6</w:t>
      </w:r>
      <w:r>
        <w:t>t/</w:t>
      </w:r>
      <w:r>
        <w:rPr>
          <w:rFonts w:hint="eastAsia"/>
        </w:rPr>
        <w:t>（</w:t>
      </w:r>
      <w:r>
        <w:t>km</w:t>
      </w:r>
      <w:r>
        <w:rPr>
          <w:vertAlign w:val="superscript"/>
        </w:rPr>
        <w:t>2</w:t>
      </w:r>
      <w:r>
        <w:t>.a</w:t>
      </w:r>
      <w:r>
        <w:rPr>
          <w:rFonts w:hint="eastAsia"/>
        </w:rPr>
        <w:t>）；影响后项目占地范围内土壤侵蚀量为3</w:t>
      </w:r>
      <w:r>
        <w:rPr>
          <w:rFonts w:hint="eastAsia"/>
          <w:lang w:val="en-US" w:eastAsia="zh-CN"/>
        </w:rPr>
        <w:t>00.8</w:t>
      </w:r>
      <w:r>
        <w:t>t/a</w:t>
      </w:r>
      <w:r>
        <w:rPr>
          <w:rFonts w:hint="eastAsia"/>
        </w:rPr>
        <w:t>，</w:t>
      </w:r>
      <w:r>
        <w:t>侵蚀模数</w:t>
      </w:r>
      <w:r>
        <w:rPr>
          <w:rFonts w:hint="eastAsia"/>
        </w:rPr>
        <w:t>为6092.2</w:t>
      </w:r>
      <w:r>
        <w:t>t/</w:t>
      </w:r>
      <w:r>
        <w:rPr>
          <w:rFonts w:hint="eastAsia"/>
        </w:rPr>
        <w:t>（</w:t>
      </w:r>
      <w:r>
        <w:t>km</w:t>
      </w:r>
      <w:r>
        <w:rPr>
          <w:vertAlign w:val="superscript"/>
        </w:rPr>
        <w:t>2</w:t>
      </w:r>
      <w:r>
        <w:t>.a</w:t>
      </w:r>
      <w:r>
        <w:rPr>
          <w:rFonts w:hint="eastAsia"/>
        </w:rPr>
        <w:t>），相比影响前，土壤侵蚀量增加</w:t>
      </w:r>
      <w:r>
        <w:rPr>
          <w:rFonts w:hint="eastAsia"/>
          <w:lang w:val="en-US" w:eastAsia="zh-CN"/>
        </w:rPr>
        <w:t>35.7</w:t>
      </w:r>
      <w:r>
        <w:t>t/a</w:t>
      </w:r>
      <w:r>
        <w:rPr>
          <w:rFonts w:hint="eastAsia"/>
        </w:rPr>
        <w:t>，侵蚀模数增加约</w:t>
      </w:r>
      <w:r>
        <w:rPr>
          <w:rFonts w:hint="eastAsia"/>
          <w:lang w:val="en-US" w:eastAsia="zh-CN"/>
        </w:rPr>
        <w:t>686.5</w:t>
      </w:r>
      <w:r>
        <w:t>t/</w:t>
      </w:r>
      <w:r>
        <w:rPr>
          <w:rFonts w:hint="eastAsia"/>
        </w:rPr>
        <w:t>（</w:t>
      </w:r>
      <w:r>
        <w:t>km</w:t>
      </w:r>
      <w:r>
        <w:rPr>
          <w:vertAlign w:val="superscript"/>
        </w:rPr>
        <w:t>2</w:t>
      </w:r>
      <w:r>
        <w:t>.a</w:t>
      </w:r>
      <w:r>
        <w:rPr>
          <w:rFonts w:hint="eastAsia"/>
        </w:rPr>
        <w:t>）。</w:t>
      </w:r>
    </w:p>
    <w:p>
      <w:pPr>
        <w:adjustRightInd w:val="0"/>
        <w:snapToGrid w:val="0"/>
        <w:spacing w:line="440" w:lineRule="exact"/>
        <w:ind w:firstLine="480" w:firstLineChars="200"/>
        <w:jc w:val="both"/>
        <w:rPr>
          <w:snapToGrid w:val="0"/>
          <w:shd w:val="clear" w:color="auto" w:fill="FFFFFF"/>
        </w:rPr>
      </w:pPr>
      <w:r>
        <w:t>将本区强烈侵蚀模数</w:t>
      </w:r>
      <w:r>
        <w:rPr>
          <w:rFonts w:hint="eastAsia"/>
        </w:rPr>
        <w:t>6</w:t>
      </w:r>
      <w:r>
        <w:t>500t/</w:t>
      </w:r>
      <w:r>
        <w:rPr>
          <w:rFonts w:hint="eastAsia"/>
        </w:rPr>
        <w:t>(</w:t>
      </w:r>
      <w:r>
        <w:t>km</w:t>
      </w:r>
      <w:r>
        <w:rPr>
          <w:vertAlign w:val="superscript"/>
        </w:rPr>
        <w:t>2</w:t>
      </w:r>
      <w:r>
        <w:t>·a</w:t>
      </w:r>
      <w:r>
        <w:rPr>
          <w:rFonts w:hint="eastAsia"/>
        </w:rPr>
        <w:t>)</w:t>
      </w:r>
      <w:r>
        <w:t>作为标定侵蚀模数</w:t>
      </w:r>
      <w:r>
        <w:rPr>
          <w:rFonts w:hint="eastAsia"/>
        </w:rPr>
        <w:t>，</w:t>
      </w:r>
      <w:r>
        <w:t>根据公式：Pb=(Bbo-Bb)/Bbo得出</w:t>
      </w:r>
      <w:r>
        <w:rPr>
          <w:rFonts w:hint="eastAsia"/>
        </w:rPr>
        <w:t>，</w:t>
      </w:r>
      <w:r>
        <w:t>本项目</w:t>
      </w:r>
      <w:r>
        <w:rPr>
          <w:rFonts w:hint="eastAsia"/>
        </w:rPr>
        <w:t>评价范围内</w:t>
      </w:r>
      <w:r>
        <w:t>水土流失</w:t>
      </w:r>
      <w:r>
        <w:rPr>
          <w:rFonts w:hint="eastAsia"/>
        </w:rPr>
        <w:t>预测</w:t>
      </w:r>
      <w:r>
        <w:t>值为0.</w:t>
      </w:r>
      <w:r>
        <w:rPr>
          <w:rFonts w:hint="eastAsia"/>
          <w:lang w:val="en-US" w:eastAsia="zh-CN"/>
        </w:rPr>
        <w:t>35</w:t>
      </w:r>
      <w:r>
        <w:rPr>
          <w:rFonts w:hint="eastAsia"/>
        </w:rPr>
        <w:t>6，项目占地范围内水土流失预测值为0.</w:t>
      </w:r>
      <w:r>
        <w:rPr>
          <w:rFonts w:hint="eastAsia"/>
          <w:lang w:val="en-US" w:eastAsia="zh-CN"/>
        </w:rPr>
        <w:t>11</w:t>
      </w:r>
      <w:r>
        <w:rPr>
          <w:rFonts w:hint="eastAsia"/>
        </w:rPr>
        <w:t>。</w:t>
      </w:r>
    </w:p>
    <w:p>
      <w:pPr>
        <w:widowControl w:val="0"/>
        <w:spacing w:line="440" w:lineRule="exact"/>
        <w:ind w:firstLine="480" w:firstLineChars="200"/>
        <w:jc w:val="both"/>
        <w:rPr>
          <w:kern w:val="2"/>
        </w:rPr>
      </w:pPr>
      <w:r>
        <w:rPr>
          <w:rFonts w:hint="eastAsia"/>
          <w:kern w:val="2"/>
        </w:rPr>
        <w:t>（4）评价区生态环境预测综合值</w:t>
      </w:r>
    </w:p>
    <w:p>
      <w:pPr>
        <w:pStyle w:val="361"/>
        <w:rPr>
          <w:rFonts w:eastAsia="宋体"/>
        </w:rPr>
      </w:pPr>
      <w:r>
        <w:rPr>
          <w:rFonts w:eastAsia="宋体"/>
        </w:rPr>
        <w:t>综合上述计算结果</w:t>
      </w:r>
      <w:r>
        <w:rPr>
          <w:rFonts w:hint="eastAsia" w:eastAsia="宋体"/>
        </w:rPr>
        <w:t>，</w:t>
      </w:r>
      <w:r>
        <w:rPr>
          <w:rFonts w:eastAsia="宋体"/>
        </w:rPr>
        <w:t>本项目评价区所有评价因子预测综合值见表5</w:t>
      </w:r>
      <w:r>
        <w:rPr>
          <w:rFonts w:hint="eastAsia" w:eastAsia="宋体"/>
        </w:rPr>
        <w:t>.</w:t>
      </w:r>
      <w:r>
        <w:rPr>
          <w:rFonts w:eastAsia="宋体"/>
        </w:rPr>
        <w:t>5-</w:t>
      </w:r>
      <w:r>
        <w:rPr>
          <w:rFonts w:hint="eastAsia" w:eastAsia="宋体"/>
        </w:rPr>
        <w:t>4。</w:t>
      </w:r>
    </w:p>
    <w:p>
      <w:pPr>
        <w:pStyle w:val="362"/>
        <w:spacing w:before="156"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5.5-4</w:t>
      </w:r>
      <w:r>
        <w:rPr>
          <w:rFonts w:hint="eastAsia" w:ascii="黑体" w:hAnsi="黑体" w:eastAsia="黑体" w:cs="黑体"/>
          <w:sz w:val="21"/>
          <w:szCs w:val="21"/>
        </w:rPr>
        <w:t xml:space="preserve">  评价区生态因子预测综合值</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1900"/>
        <w:gridCol w:w="1955"/>
        <w:gridCol w:w="3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vAlign w:val="center"/>
          </w:tcPr>
          <w:p>
            <w:pPr>
              <w:pStyle w:val="363"/>
              <w:spacing w:line="360" w:lineRule="exact"/>
              <w:rPr>
                <w:rFonts w:eastAsia="宋体"/>
              </w:rPr>
            </w:pPr>
            <w:bookmarkStart w:id="296" w:name="_Hlk522196677"/>
            <w:r>
              <w:rPr>
                <w:rFonts w:hint="eastAsia" w:eastAsia="宋体"/>
              </w:rPr>
              <w:t>场地</w:t>
            </w:r>
          </w:p>
        </w:tc>
        <w:tc>
          <w:tcPr>
            <w:tcW w:w="1036" w:type="pct"/>
            <w:vAlign w:val="center"/>
          </w:tcPr>
          <w:p>
            <w:pPr>
              <w:pStyle w:val="363"/>
              <w:spacing w:line="360" w:lineRule="exact"/>
              <w:rPr>
                <w:rFonts w:eastAsia="宋体"/>
              </w:rPr>
            </w:pPr>
            <w:r>
              <w:rPr>
                <w:rFonts w:eastAsia="宋体"/>
              </w:rPr>
              <w:t>因子</w:t>
            </w:r>
          </w:p>
        </w:tc>
        <w:tc>
          <w:tcPr>
            <w:tcW w:w="1066" w:type="pct"/>
            <w:vAlign w:val="center"/>
          </w:tcPr>
          <w:p>
            <w:pPr>
              <w:pStyle w:val="363"/>
              <w:spacing w:line="360" w:lineRule="exact"/>
              <w:rPr>
                <w:rFonts w:eastAsia="宋体"/>
              </w:rPr>
            </w:pPr>
            <w:r>
              <w:rPr>
                <w:rFonts w:hint="eastAsia" w:eastAsia="宋体"/>
              </w:rPr>
              <w:t>预测</w:t>
            </w:r>
            <w:r>
              <w:rPr>
                <w:rFonts w:eastAsia="宋体"/>
              </w:rPr>
              <w:t>值</w:t>
            </w:r>
          </w:p>
        </w:tc>
        <w:tc>
          <w:tcPr>
            <w:tcW w:w="1829" w:type="pct"/>
            <w:vAlign w:val="center"/>
          </w:tcPr>
          <w:p>
            <w:pPr>
              <w:pStyle w:val="363"/>
              <w:spacing w:line="360" w:lineRule="exact"/>
              <w:rPr>
                <w:rFonts w:eastAsia="宋体"/>
              </w:rPr>
            </w:pPr>
            <w:r>
              <w:rPr>
                <w:rFonts w:hint="eastAsia" w:eastAsia="宋体"/>
              </w:rPr>
              <w:t>预测</w:t>
            </w:r>
            <w:r>
              <w:rPr>
                <w:rFonts w:eastAsia="宋体"/>
              </w:rPr>
              <w:t>综合值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vMerge w:val="restart"/>
            <w:vAlign w:val="center"/>
          </w:tcPr>
          <w:p>
            <w:pPr>
              <w:pStyle w:val="363"/>
              <w:spacing w:line="360" w:lineRule="exact"/>
              <w:rPr>
                <w:rFonts w:eastAsia="宋体"/>
              </w:rPr>
            </w:pPr>
            <w:r>
              <w:rPr>
                <w:rFonts w:hint="eastAsia" w:eastAsia="宋体"/>
              </w:rPr>
              <w:t>评价范围</w:t>
            </w:r>
          </w:p>
        </w:tc>
        <w:tc>
          <w:tcPr>
            <w:tcW w:w="1036" w:type="pct"/>
            <w:vAlign w:val="center"/>
          </w:tcPr>
          <w:p>
            <w:pPr>
              <w:pStyle w:val="363"/>
              <w:spacing w:line="360" w:lineRule="exact"/>
              <w:rPr>
                <w:rFonts w:eastAsia="宋体"/>
              </w:rPr>
            </w:pPr>
            <w:r>
              <w:rPr>
                <w:rFonts w:eastAsia="宋体"/>
              </w:rPr>
              <w:t>土地利用</w:t>
            </w:r>
          </w:p>
        </w:tc>
        <w:tc>
          <w:tcPr>
            <w:tcW w:w="1066" w:type="pct"/>
            <w:vAlign w:val="center"/>
          </w:tcPr>
          <w:p>
            <w:pPr>
              <w:pStyle w:val="363"/>
              <w:spacing w:line="360" w:lineRule="exact"/>
              <w:rPr>
                <w:rFonts w:hint="default" w:eastAsia="宋体"/>
                <w:lang w:val="en-US" w:eastAsia="zh-CN"/>
              </w:rPr>
            </w:pPr>
            <w:r>
              <w:rPr>
                <w:rFonts w:hint="eastAsia" w:eastAsia="宋体"/>
              </w:rPr>
              <w:t>0.</w:t>
            </w:r>
            <w:r>
              <w:rPr>
                <w:rFonts w:hint="eastAsia" w:eastAsia="宋体"/>
                <w:lang w:val="en-US" w:eastAsia="zh-CN"/>
              </w:rPr>
              <w:t>653</w:t>
            </w:r>
          </w:p>
        </w:tc>
        <w:tc>
          <w:tcPr>
            <w:tcW w:w="1829" w:type="pct"/>
            <w:vMerge w:val="restart"/>
            <w:vAlign w:val="center"/>
          </w:tcPr>
          <w:p>
            <w:pPr>
              <w:pStyle w:val="363"/>
              <w:spacing w:line="360" w:lineRule="exact"/>
              <w:rPr>
                <w:rFonts w:hint="default" w:eastAsia="宋体"/>
                <w:lang w:val="en-US" w:eastAsia="zh-CN"/>
              </w:rPr>
            </w:pPr>
            <w:r>
              <w:rPr>
                <w:rFonts w:hint="eastAsia" w:eastAsia="宋体"/>
                <w:lang w:val="en-US" w:eastAsia="zh-CN"/>
              </w:rPr>
              <w:t>1.662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vMerge w:val="continue"/>
            <w:vAlign w:val="center"/>
          </w:tcPr>
          <w:p>
            <w:pPr>
              <w:pStyle w:val="363"/>
              <w:spacing w:line="360" w:lineRule="exact"/>
              <w:rPr>
                <w:rFonts w:eastAsia="宋体"/>
              </w:rPr>
            </w:pPr>
          </w:p>
        </w:tc>
        <w:tc>
          <w:tcPr>
            <w:tcW w:w="1036" w:type="pct"/>
            <w:vAlign w:val="center"/>
          </w:tcPr>
          <w:p>
            <w:pPr>
              <w:pStyle w:val="363"/>
              <w:spacing w:line="360" w:lineRule="exact"/>
              <w:rPr>
                <w:rFonts w:eastAsia="宋体"/>
              </w:rPr>
            </w:pPr>
            <w:r>
              <w:rPr>
                <w:rFonts w:eastAsia="宋体"/>
              </w:rPr>
              <w:t>植被覆盖</w:t>
            </w:r>
          </w:p>
        </w:tc>
        <w:tc>
          <w:tcPr>
            <w:tcW w:w="1066" w:type="pct"/>
            <w:vAlign w:val="center"/>
          </w:tcPr>
          <w:p>
            <w:pPr>
              <w:pStyle w:val="363"/>
              <w:spacing w:line="360" w:lineRule="exact"/>
              <w:rPr>
                <w:rFonts w:hint="default" w:eastAsia="宋体"/>
                <w:lang w:val="en-US" w:eastAsia="zh-CN"/>
              </w:rPr>
            </w:pPr>
            <w:r>
              <w:rPr>
                <w:rFonts w:hint="eastAsia" w:eastAsia="宋体"/>
                <w:lang w:val="en-US" w:eastAsia="zh-CN"/>
              </w:rPr>
              <w:t>0.653</w:t>
            </w:r>
          </w:p>
        </w:tc>
        <w:tc>
          <w:tcPr>
            <w:tcW w:w="1829" w:type="pct"/>
            <w:vMerge w:val="continue"/>
            <w:vAlign w:val="center"/>
          </w:tcPr>
          <w:p>
            <w:pPr>
              <w:pStyle w:val="363"/>
              <w:spacing w:line="360" w:lineRule="exact"/>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vMerge w:val="continue"/>
            <w:vAlign w:val="center"/>
          </w:tcPr>
          <w:p>
            <w:pPr>
              <w:pStyle w:val="363"/>
              <w:spacing w:line="360" w:lineRule="exact"/>
              <w:rPr>
                <w:rFonts w:eastAsia="宋体"/>
              </w:rPr>
            </w:pPr>
          </w:p>
        </w:tc>
        <w:tc>
          <w:tcPr>
            <w:tcW w:w="1036" w:type="pct"/>
            <w:vAlign w:val="center"/>
          </w:tcPr>
          <w:p>
            <w:pPr>
              <w:pStyle w:val="363"/>
              <w:spacing w:line="360" w:lineRule="exact"/>
              <w:rPr>
                <w:rFonts w:eastAsia="宋体"/>
              </w:rPr>
            </w:pPr>
            <w:r>
              <w:rPr>
                <w:rFonts w:eastAsia="宋体"/>
              </w:rPr>
              <w:t>水土流失</w:t>
            </w:r>
          </w:p>
        </w:tc>
        <w:tc>
          <w:tcPr>
            <w:tcW w:w="1066" w:type="pct"/>
            <w:vAlign w:val="center"/>
          </w:tcPr>
          <w:p>
            <w:pPr>
              <w:pStyle w:val="363"/>
              <w:spacing w:line="360" w:lineRule="exact"/>
              <w:rPr>
                <w:rFonts w:eastAsia="宋体"/>
              </w:rPr>
            </w:pPr>
            <w:r>
              <w:rPr>
                <w:rFonts w:hint="eastAsia" w:eastAsia="宋体"/>
              </w:rPr>
              <w:t>0.</w:t>
            </w:r>
            <w:r>
              <w:rPr>
                <w:rFonts w:hint="eastAsia" w:eastAsia="宋体"/>
                <w:lang w:val="en-US" w:eastAsia="zh-CN"/>
              </w:rPr>
              <w:t>35</w:t>
            </w:r>
            <w:r>
              <w:rPr>
                <w:rFonts w:hint="eastAsia" w:eastAsia="宋体"/>
              </w:rPr>
              <w:t>6</w:t>
            </w:r>
          </w:p>
        </w:tc>
        <w:tc>
          <w:tcPr>
            <w:tcW w:w="1829" w:type="pct"/>
            <w:vMerge w:val="continue"/>
            <w:vAlign w:val="center"/>
          </w:tcPr>
          <w:p>
            <w:pPr>
              <w:pStyle w:val="363"/>
              <w:spacing w:line="360" w:lineRule="exact"/>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vMerge w:val="restart"/>
            <w:vAlign w:val="center"/>
          </w:tcPr>
          <w:p>
            <w:pPr>
              <w:pStyle w:val="363"/>
              <w:spacing w:line="360" w:lineRule="exact"/>
              <w:rPr>
                <w:rFonts w:eastAsia="宋体"/>
              </w:rPr>
            </w:pPr>
            <w:r>
              <w:rPr>
                <w:rFonts w:hint="eastAsia" w:eastAsia="宋体"/>
              </w:rPr>
              <w:t>项目占地</w:t>
            </w:r>
          </w:p>
        </w:tc>
        <w:tc>
          <w:tcPr>
            <w:tcW w:w="1036" w:type="pct"/>
            <w:vAlign w:val="center"/>
          </w:tcPr>
          <w:p>
            <w:pPr>
              <w:pStyle w:val="363"/>
              <w:spacing w:line="360" w:lineRule="exact"/>
              <w:rPr>
                <w:rFonts w:eastAsia="宋体"/>
              </w:rPr>
            </w:pPr>
            <w:r>
              <w:rPr>
                <w:rFonts w:eastAsia="宋体"/>
              </w:rPr>
              <w:t>土地利用</w:t>
            </w:r>
          </w:p>
        </w:tc>
        <w:tc>
          <w:tcPr>
            <w:tcW w:w="1066" w:type="pct"/>
            <w:vAlign w:val="center"/>
          </w:tcPr>
          <w:p>
            <w:pPr>
              <w:pStyle w:val="363"/>
              <w:spacing w:line="360" w:lineRule="exact"/>
              <w:rPr>
                <w:rFonts w:hint="default" w:eastAsia="宋体"/>
                <w:lang w:val="en-US" w:eastAsia="zh-CN"/>
              </w:rPr>
            </w:pPr>
            <w:r>
              <w:rPr>
                <w:rFonts w:hint="eastAsia" w:eastAsia="宋体"/>
              </w:rPr>
              <w:t>0.</w:t>
            </w:r>
            <w:r>
              <w:rPr>
                <w:rFonts w:hint="eastAsia" w:eastAsia="宋体"/>
                <w:lang w:val="en-US" w:eastAsia="zh-CN"/>
              </w:rPr>
              <w:t>204</w:t>
            </w:r>
          </w:p>
        </w:tc>
        <w:tc>
          <w:tcPr>
            <w:tcW w:w="1829" w:type="pct"/>
            <w:vMerge w:val="restart"/>
            <w:vAlign w:val="center"/>
          </w:tcPr>
          <w:p>
            <w:pPr>
              <w:pStyle w:val="363"/>
              <w:spacing w:line="360" w:lineRule="exact"/>
              <w:rPr>
                <w:rFonts w:hint="default" w:eastAsia="宋体"/>
                <w:lang w:val="en-US" w:eastAsia="zh-CN"/>
              </w:rPr>
            </w:pPr>
            <w:r>
              <w:rPr>
                <w:rFonts w:hint="eastAsia" w:eastAsia="宋体"/>
                <w:lang w:val="en-US" w:eastAsia="zh-CN"/>
              </w:rPr>
              <w:t>0.518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vMerge w:val="continue"/>
            <w:vAlign w:val="center"/>
          </w:tcPr>
          <w:p>
            <w:pPr>
              <w:pStyle w:val="363"/>
              <w:spacing w:line="360" w:lineRule="exact"/>
              <w:rPr>
                <w:rFonts w:eastAsia="宋体"/>
              </w:rPr>
            </w:pPr>
          </w:p>
        </w:tc>
        <w:tc>
          <w:tcPr>
            <w:tcW w:w="1036" w:type="pct"/>
            <w:vAlign w:val="center"/>
          </w:tcPr>
          <w:p>
            <w:pPr>
              <w:pStyle w:val="363"/>
              <w:spacing w:line="360" w:lineRule="exact"/>
              <w:rPr>
                <w:rFonts w:eastAsia="宋体"/>
              </w:rPr>
            </w:pPr>
            <w:r>
              <w:rPr>
                <w:rFonts w:eastAsia="宋体"/>
              </w:rPr>
              <w:t>植被覆盖</w:t>
            </w:r>
          </w:p>
        </w:tc>
        <w:tc>
          <w:tcPr>
            <w:tcW w:w="1066" w:type="pct"/>
            <w:vAlign w:val="center"/>
          </w:tcPr>
          <w:p>
            <w:pPr>
              <w:pStyle w:val="363"/>
              <w:spacing w:line="360" w:lineRule="exact"/>
              <w:rPr>
                <w:rFonts w:hint="default" w:eastAsia="宋体"/>
                <w:lang w:val="en-US" w:eastAsia="zh-CN"/>
              </w:rPr>
            </w:pPr>
            <w:r>
              <w:rPr>
                <w:rFonts w:hint="eastAsia" w:eastAsia="宋体"/>
                <w:lang w:val="en-US" w:eastAsia="zh-CN"/>
              </w:rPr>
              <w:t>0.204</w:t>
            </w:r>
          </w:p>
        </w:tc>
        <w:tc>
          <w:tcPr>
            <w:tcW w:w="1829" w:type="pct"/>
            <w:vMerge w:val="continue"/>
            <w:vAlign w:val="center"/>
          </w:tcPr>
          <w:p>
            <w:pPr>
              <w:pStyle w:val="363"/>
              <w:spacing w:line="360" w:lineRule="exact"/>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vMerge w:val="continue"/>
            <w:vAlign w:val="center"/>
          </w:tcPr>
          <w:p>
            <w:pPr>
              <w:pStyle w:val="363"/>
              <w:spacing w:line="360" w:lineRule="exact"/>
              <w:rPr>
                <w:rFonts w:eastAsia="宋体"/>
              </w:rPr>
            </w:pPr>
          </w:p>
        </w:tc>
        <w:tc>
          <w:tcPr>
            <w:tcW w:w="1036" w:type="pct"/>
            <w:vAlign w:val="center"/>
          </w:tcPr>
          <w:p>
            <w:pPr>
              <w:pStyle w:val="363"/>
              <w:spacing w:line="360" w:lineRule="exact"/>
              <w:rPr>
                <w:rFonts w:eastAsia="宋体"/>
              </w:rPr>
            </w:pPr>
            <w:r>
              <w:rPr>
                <w:rFonts w:eastAsia="宋体"/>
              </w:rPr>
              <w:t>水土流失</w:t>
            </w:r>
          </w:p>
        </w:tc>
        <w:tc>
          <w:tcPr>
            <w:tcW w:w="1066" w:type="pct"/>
            <w:vAlign w:val="center"/>
          </w:tcPr>
          <w:p>
            <w:pPr>
              <w:pStyle w:val="363"/>
              <w:spacing w:line="360" w:lineRule="exact"/>
              <w:rPr>
                <w:rFonts w:hint="default" w:eastAsia="宋体"/>
                <w:lang w:val="en-US" w:eastAsia="zh-CN"/>
              </w:rPr>
            </w:pPr>
            <w:r>
              <w:rPr>
                <w:rFonts w:hint="eastAsia" w:eastAsia="宋体"/>
              </w:rPr>
              <w:t>0.</w:t>
            </w:r>
            <w:r>
              <w:rPr>
                <w:rFonts w:hint="eastAsia" w:eastAsia="宋体"/>
                <w:lang w:val="en-US" w:eastAsia="zh-CN"/>
              </w:rPr>
              <w:t>11</w:t>
            </w:r>
          </w:p>
        </w:tc>
        <w:tc>
          <w:tcPr>
            <w:tcW w:w="1829" w:type="pct"/>
            <w:vMerge w:val="continue"/>
            <w:vAlign w:val="center"/>
          </w:tcPr>
          <w:p>
            <w:pPr>
              <w:pStyle w:val="363"/>
              <w:spacing w:line="360" w:lineRule="exact"/>
              <w:rPr>
                <w:rFonts w:eastAsia="宋体"/>
              </w:rPr>
            </w:pPr>
          </w:p>
        </w:tc>
      </w:tr>
      <w:bookmarkEnd w:id="296"/>
    </w:tbl>
    <w:p>
      <w:pPr>
        <w:pStyle w:val="6"/>
        <w:adjustRightInd w:val="0"/>
        <w:snapToGrid w:val="0"/>
        <w:spacing w:before="156" w:beforeLines="50" w:line="360" w:lineRule="auto"/>
        <w:rPr>
          <w:rFonts w:eastAsia="宋体"/>
          <w:bCs w:val="0"/>
          <w:i w:val="0"/>
          <w:color w:val="auto"/>
          <w:sz w:val="24"/>
          <w:szCs w:val="24"/>
        </w:rPr>
      </w:pPr>
      <w:r>
        <w:rPr>
          <w:rFonts w:eastAsia="宋体"/>
          <w:bCs w:val="0"/>
          <w:i w:val="0"/>
          <w:color w:val="auto"/>
          <w:sz w:val="24"/>
          <w:szCs w:val="24"/>
        </w:rPr>
        <w:t>5.5.</w:t>
      </w:r>
      <w:r>
        <w:rPr>
          <w:rFonts w:hint="eastAsia" w:eastAsia="宋体"/>
          <w:bCs w:val="0"/>
          <w:i w:val="0"/>
          <w:color w:val="auto"/>
          <w:sz w:val="24"/>
          <w:szCs w:val="24"/>
        </w:rPr>
        <w:t>4</w:t>
      </w:r>
      <w:r>
        <w:rPr>
          <w:rFonts w:eastAsia="宋体"/>
          <w:bCs w:val="0"/>
          <w:i w:val="0"/>
          <w:color w:val="auto"/>
          <w:sz w:val="24"/>
          <w:szCs w:val="24"/>
        </w:rPr>
        <w:t>生态</w:t>
      </w:r>
      <w:r>
        <w:rPr>
          <w:rFonts w:hint="eastAsia" w:eastAsia="宋体"/>
          <w:bCs w:val="0"/>
          <w:i w:val="0"/>
          <w:color w:val="auto"/>
          <w:sz w:val="24"/>
          <w:szCs w:val="24"/>
        </w:rPr>
        <w:t>环境的防治与恢复</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矿区开发必然会导致矿区原有的生态系统向局部城镇化的生态特征转化，这一过程既有有利影响，也有不利影响，主要的不利影响表现为植被遭到破坏、水土流失加剧、土地占用、资源减少、农业条件恶化以及环境污染对动植物造成危害等。根据现状调查、工程特点分析和生态环境影响预测可知，采矿建设与运营将对评价区生态环境产生一定的不利影响，重点影响集中在项目占地范围内。</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因此，根据《土地复垦规定》、《中华人民共和国水土保持法》等有关规定，必须设计相应的完善的水土保持和土地复垦、生态恢复措施，并且加强工程施工运营管理，保证措施到位，才能使本工程对生态环境的不利影响降低到最小程度。</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1、防治与恢复总体要求</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（1）生态保护与恢复原则</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根据露天开采建设及运行的特点，确定项目生态保护与恢复的原则为：</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①</w:t>
      </w:r>
      <w:r>
        <w:rPr>
          <w:rFonts w:hint="eastAsia" w:ascii="Times New Roman" w:eastAsiaTheme="minorEastAsia"/>
          <w:sz w:val="24"/>
          <w:szCs w:val="24"/>
        </w:rPr>
        <w:t>自然资源的补偿原则</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项目区的植被资源、土壤资源等，会因项目施工和运行受到不同程度的破坏，而这两种资源都属于再生期长、恢复速度较慢的资源，它们除自身存在市场价值外，还具有巨大的生态服务功能，如害虫控制、昆虫传粉、气候调节、土壤保持、洪水减缓、土壤形成、物质分解、制造氧气、稳定空气等生态系统服务。因而必须执行自然资源损失的补偿原则。</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②</w:t>
      </w:r>
      <w:r>
        <w:rPr>
          <w:rFonts w:hint="eastAsia" w:ascii="Times New Roman" w:eastAsiaTheme="minorEastAsia"/>
          <w:sz w:val="24"/>
          <w:szCs w:val="24"/>
        </w:rPr>
        <w:t>受损区域的恢复原则</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在项目施工和运行过程中，项目区由采矿前自然景观，会沦为占用景观和开挖景观等，用地格局的改革影响了原有自然体系的功能，如物种移动，因此应进行生态学设计，尽量减少这种功能的损失。</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③人</w:t>
      </w:r>
      <w:r>
        <w:rPr>
          <w:rFonts w:hint="eastAsia" w:ascii="Times New Roman" w:eastAsiaTheme="minorEastAsia"/>
          <w:sz w:val="24"/>
          <w:szCs w:val="24"/>
        </w:rPr>
        <w:t>类需求与生态完整性维护相协调的原则</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项目建设和运行是人类利用自然资源满足需求的行为，这种行为往往与生态完整性的维护发生矛盾，生态保护措施就在于尽力减缓这种矛盾，在自然体系可以承受的范围内开发利用资源，为社会经济的进步服务。</w:t>
      </w:r>
    </w:p>
    <w:p>
      <w:pPr>
        <w:pStyle w:val="52"/>
        <w:spacing w:before="0"/>
        <w:ind w:firstLine="480" w:firstLineChars="200"/>
        <w:rPr>
          <w:rFonts w:ascii="Times New Roman" w:eastAsiaTheme="minorEastAsia"/>
          <w:sz w:val="24"/>
          <w:szCs w:val="24"/>
        </w:rPr>
      </w:pPr>
      <w:r>
        <w:rPr>
          <w:rFonts w:hint="eastAsia" w:ascii="宋体" w:hAnsi="宋体" w:eastAsia="宋体" w:cs="宋体"/>
          <w:sz w:val="24"/>
          <w:szCs w:val="24"/>
        </w:rPr>
        <w:t>④</w:t>
      </w:r>
      <w:r>
        <w:rPr>
          <w:rFonts w:hint="eastAsia" w:ascii="Times New Roman" w:eastAsiaTheme="minorEastAsia"/>
          <w:sz w:val="24"/>
          <w:szCs w:val="24"/>
        </w:rPr>
        <w:t>突出重点，分区治理的原则</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按照扰动后对土地的损坏情况和生态环境的影响不同，把整个矿区划分为不同的区域，针对不同的破坏形式，采取不同的生态重建的措施。各区的生态重建的重点各不相同，如采矿区、排土场侧重土地复垦与生态恢复，而其他区域的影响是不可逆的，因此重点是做好生态保护与生态重建。</w:t>
      </w:r>
    </w:p>
    <w:p>
      <w:pPr>
        <w:pStyle w:val="52"/>
        <w:spacing w:before="0"/>
        <w:ind w:firstLine="480" w:firstLineChars="200"/>
        <w:rPr>
          <w:rFonts w:ascii="Times New Roman" w:eastAsiaTheme="minorEastAsia"/>
          <w:sz w:val="24"/>
          <w:szCs w:val="24"/>
        </w:rPr>
      </w:pPr>
      <w:r>
        <w:rPr>
          <w:rFonts w:hint="eastAsia" w:ascii="宋体" w:hAnsi="宋体" w:eastAsia="宋体" w:cs="宋体"/>
          <w:sz w:val="24"/>
          <w:szCs w:val="24"/>
        </w:rPr>
        <w:t>⑤</w:t>
      </w:r>
      <w:r>
        <w:rPr>
          <w:rFonts w:hint="eastAsia" w:ascii="Times New Roman" w:eastAsiaTheme="minorEastAsia"/>
          <w:sz w:val="24"/>
          <w:szCs w:val="24"/>
        </w:rPr>
        <w:t>坚持经济可行的原则</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从矿区实际情况出发，在恢复重建矿区生态环境、有效防治新增水土流失的同时，要充分考虑经济合理，以较少的投入获得最大的生态效益和社会效益。</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（2）目标和要求</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通过矿区生态环境综合整治，使矿山开发工程引起的生态环境破坏得到有效控制，工程破坏的植被得到有效恢复，区域整体生态环境没有恶化。达到矿山开发与矿区生态环境建设同步，矿区生态环境良性循环，实现资源的持续利用与社会经济的可持续发展，总的目标如下：</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①</w:t>
      </w:r>
      <w:r>
        <w:rPr>
          <w:rFonts w:hint="eastAsia" w:ascii="Times New Roman" w:eastAsiaTheme="minorEastAsia"/>
          <w:sz w:val="24"/>
          <w:szCs w:val="24"/>
        </w:rPr>
        <w:t>保证采矿区的稳定，防止崩塌、滑坡、泥石流等地质灾害发生，保证矿山安全生产和重建生态系统的稳定。</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②</w:t>
      </w:r>
      <w:r>
        <w:rPr>
          <w:rFonts w:hint="eastAsia" w:ascii="Times New Roman" w:eastAsiaTheme="minorEastAsia"/>
          <w:sz w:val="24"/>
          <w:szCs w:val="24"/>
        </w:rPr>
        <w:t>土地复垦中主要选用适生性较好的乡土植物和抗逆变性强的作物，维持物种的多样性。同时应做到乔灌草结合、农林牧结合，提高复垦的生态效益和经济效益。</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③</w:t>
      </w:r>
      <w:r>
        <w:rPr>
          <w:rFonts w:hint="eastAsia" w:ascii="Times New Roman" w:eastAsiaTheme="minorEastAsia"/>
          <w:sz w:val="24"/>
          <w:szCs w:val="24"/>
        </w:rPr>
        <w:t>复垦规划中的工艺要经济合理，矿山能够承受复垦费用，并在复垦工程完成过程中逐渐取得一定的经济效益、生态效益、社会效益，并要求三种效益协调、统一。</w:t>
      </w:r>
    </w:p>
    <w:p>
      <w:pPr>
        <w:pStyle w:val="52"/>
        <w:spacing w:before="0"/>
        <w:ind w:firstLine="480" w:firstLineChars="200"/>
        <w:rPr>
          <w:rFonts w:ascii="Times New Roman" w:eastAsiaTheme="minorEastAsia"/>
          <w:sz w:val="24"/>
          <w:szCs w:val="24"/>
        </w:rPr>
      </w:pPr>
      <w:r>
        <w:rPr>
          <w:rFonts w:hint="eastAsia" w:ascii="宋体" w:hAnsi="宋体" w:eastAsia="宋体" w:cs="宋体"/>
          <w:sz w:val="24"/>
          <w:szCs w:val="24"/>
        </w:rPr>
        <w:t>④</w:t>
      </w:r>
      <w:r>
        <w:rPr>
          <w:rFonts w:hint="eastAsia" w:ascii="Times New Roman" w:eastAsiaTheme="minorEastAsia"/>
          <w:sz w:val="24"/>
          <w:szCs w:val="24"/>
        </w:rPr>
        <w:t>保护矿区内工程建设未扰动的自然植被区域及矿区周边地区，维持该地区原有的生态系统结构，保持生态系统的自然性。在矿区内运输道路建设过程中，尽量减少对地表植被的破坏；对已破坏的区域，及时采取植被恢复措施，防治水土流失。</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2、生态环境防护措施</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①</w:t>
      </w:r>
      <w:r>
        <w:rPr>
          <w:rFonts w:hint="eastAsia" w:ascii="Times New Roman" w:eastAsiaTheme="minorEastAsia"/>
          <w:sz w:val="24"/>
          <w:szCs w:val="24"/>
        </w:rPr>
        <w:t>减少对土地的损毁面积</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占用土地面积的大小直接关系到土地损毁的多少，因此尽量缩小作业范围，可以减少土地的损毁面积和对地表植被、土壤的损毁。</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②</w:t>
      </w:r>
      <w:r>
        <w:rPr>
          <w:rFonts w:hint="eastAsia" w:ascii="Times New Roman" w:eastAsiaTheme="minorEastAsia"/>
          <w:sz w:val="24"/>
          <w:szCs w:val="24"/>
        </w:rPr>
        <w:t>降低对土壤植被的损毁程度</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在开采过程中，提倡规范化施工，减少不必要的人为损毁。在满足项目开采要求的基础上，尽量采取对土地损毁程度小的施工方法，同时在施工过程要不断创新技术，从而降低对土地损毁的程度。</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③</w:t>
      </w:r>
      <w:r>
        <w:rPr>
          <w:rFonts w:hint="eastAsia" w:ascii="Times New Roman" w:eastAsiaTheme="minorEastAsia"/>
          <w:sz w:val="24"/>
          <w:szCs w:val="24"/>
        </w:rPr>
        <w:t>加强矿区排水及防洪设施建设</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建设边坡排水沟渠，实施导水，防止漫流水蚀。</w:t>
      </w:r>
    </w:p>
    <w:p>
      <w:pPr>
        <w:pStyle w:val="52"/>
        <w:spacing w:before="0"/>
        <w:ind w:firstLine="480" w:firstLineChars="200"/>
        <w:rPr>
          <w:rFonts w:ascii="Times New Roman" w:eastAsiaTheme="minorEastAsia"/>
          <w:sz w:val="24"/>
          <w:szCs w:val="24"/>
        </w:rPr>
      </w:pPr>
      <w:r>
        <w:rPr>
          <w:rFonts w:hint="eastAsia" w:ascii="宋体" w:hAnsi="宋体" w:eastAsia="宋体" w:cs="宋体"/>
          <w:sz w:val="24"/>
          <w:szCs w:val="24"/>
        </w:rPr>
        <w:t>④</w:t>
      </w:r>
      <w:r>
        <w:rPr>
          <w:rFonts w:hint="eastAsia" w:ascii="Times New Roman" w:eastAsiaTheme="minorEastAsia"/>
          <w:sz w:val="24"/>
          <w:szCs w:val="24"/>
        </w:rPr>
        <w:t>边坡防护</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对开采形成的边坡及时进行防护，加强开采过程临时防护，有效控制水土流失。</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3、生态环境恢复措施</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根据《山西省繁峙县东胜砖瓦厂砖瓦用粘土矿矿山矿产资源开发利用、地质环境保护与治理恢复、土地复垦方案》及其评审意见，确定本项目矿山生态环境恢复措施如下：</w:t>
      </w:r>
    </w:p>
    <w:p>
      <w:pPr>
        <w:pStyle w:val="52"/>
        <w:spacing w:before="0"/>
        <w:ind w:firstLine="480" w:firstLineChars="200"/>
        <w:rPr>
          <w:rFonts w:ascii="Times New Roman" w:eastAsiaTheme="minorEastAsia"/>
          <w:sz w:val="24"/>
          <w:szCs w:val="24"/>
        </w:rPr>
      </w:pPr>
      <w:r>
        <w:rPr>
          <w:rFonts w:hint="eastAsia" w:ascii="宋体" w:hAnsi="宋体" w:eastAsia="宋体" w:cs="宋体"/>
          <w:sz w:val="24"/>
          <w:szCs w:val="24"/>
        </w:rPr>
        <w:t>（1）</w:t>
      </w:r>
      <w:r>
        <w:rPr>
          <w:rFonts w:hint="eastAsia" w:ascii="Times New Roman" w:eastAsiaTheme="minorEastAsia"/>
          <w:sz w:val="24"/>
          <w:szCs w:val="24"/>
        </w:rPr>
        <w:t>生态环境恢复与治理分区</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根据矿山地质环境现状分析、矿山地质环境影响评估结果，充分考虑矿山地质环境问题对人居环境、工农业生产、区域经济发展影响前提下，将矿山地质环境保护与治理恢复区域划分为重点防治区（Ⅰ）、次重点防治区（Ⅱ）、一般防治区（Ⅲ）。</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①重点防治区：评估区露天采场，预测采矿诱发的地质灾害可能性中等，地质灾害影响程度为严重，对地形地貌景观影响较严重，对土地资源影响程度严重，对地下水资源影响较轻。危害对象为工作人员、开采设备等。危害程度较严重，受到破坏后治理与恢复难度较大、费用较高。</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防治措施：在露天采场边坡设置监测点，消除不稳定边坡带来的隐患，对开采边坡进行合理修整，待开采结束后对采场各台阶进行翻耕绿化；在附属建筑所在地定期进行监测，特别是雨期加密监测，及时清理沟谷松散堆积物，最大程度的减少对地形地貌景观及土地资源的破坏，待矿山开采结束后用推土机平整场地，恢复植被。</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②次重点防治区：评估区排土场、办公生活区和道路，预测采矿诱发的地质灾害可能性中等，地质灾害影响程度为较严重，对地形地貌景观影响较严重，对土地资源影响程度较严重，对地下水资源影响较轻。危害对象为工作人员、开采设备等。危害程度较严重，受到破坏后治理与恢复难度较大、费用较高。</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防治措施：在露天采场边坡设置监测点，消除不稳定边坡带来的隐患，对开采边坡进行合理修整，待开采结束后对采场各台阶进行翻耕绿化；在附属建筑所地定期进行监测，特别是雨期加密监测，及时清理沟谷松散堆积物，最大程度的减少对地形地貌景观及土地资源的破坏，待矿山开采结束后用推土机平整场地，恢复植被。</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③一般防治区：次重点防治区以外的区域，该区无采矿活动，预测地质灾害不发育，仅有一般的修路等活动，对地形地貌景观、土地资源影响较轻，受到破坏后治理与恢复难度较小、费用较低。</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防治措施为：恢复生态环境，只需一般的绿化工程。注重环境工程，减轻生产建设期间粉尘、噪声和生活废水污染等问题。</w:t>
      </w:r>
    </w:p>
    <w:p>
      <w:pPr>
        <w:pStyle w:val="52"/>
        <w:spacing w:before="0"/>
        <w:ind w:firstLine="480" w:firstLineChars="200"/>
        <w:rPr>
          <w:rFonts w:ascii="Times New Roman" w:eastAsiaTheme="minorEastAsia"/>
          <w:sz w:val="24"/>
          <w:szCs w:val="24"/>
        </w:rPr>
      </w:pPr>
      <w:r>
        <w:rPr>
          <w:rFonts w:hint="eastAsia" w:ascii="宋体" w:hAnsi="宋体" w:eastAsia="宋体" w:cs="宋体"/>
          <w:sz w:val="24"/>
          <w:szCs w:val="24"/>
        </w:rPr>
        <w:t>（2）</w:t>
      </w:r>
      <w:r>
        <w:rPr>
          <w:rFonts w:hint="eastAsia" w:ascii="Times New Roman" w:eastAsiaTheme="minorEastAsia"/>
          <w:sz w:val="24"/>
          <w:szCs w:val="24"/>
        </w:rPr>
        <w:t>生态恢复与治理主要任务</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根据矿山地质环境保护与治理恢复总目标确定矿山地质环境保护与治理恢复任务如下：</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①</w:t>
      </w:r>
      <w:r>
        <w:rPr>
          <w:rFonts w:hint="eastAsia" w:ascii="Times New Roman" w:eastAsiaTheme="minorEastAsia"/>
          <w:sz w:val="24"/>
          <w:szCs w:val="24"/>
        </w:rPr>
        <w:t>建立健全的组织管理体系，以主要领导为首的矿山环境保护与治理恢复领导小组，全面负责本项目的实施；设立项目专项资金帐户，制订专款专用的财务制度；</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②</w:t>
      </w:r>
      <w:r>
        <w:rPr>
          <w:rFonts w:hint="eastAsia" w:ascii="Times New Roman" w:eastAsiaTheme="minorEastAsia"/>
          <w:sz w:val="24"/>
          <w:szCs w:val="24"/>
        </w:rPr>
        <w:t>建立和完善矿山地质环境监测系统，对边坡治理、地表变形等进行定期监测，对地质灾害及时预防和治理。</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③</w:t>
      </w:r>
      <w:r>
        <w:rPr>
          <w:rFonts w:hint="eastAsia" w:ascii="Times New Roman" w:eastAsiaTheme="minorEastAsia"/>
          <w:sz w:val="24"/>
          <w:szCs w:val="24"/>
        </w:rPr>
        <w:t>对区内废石堆放合理规划堆放，尽量减少</w:t>
      </w:r>
      <w:r>
        <w:rPr>
          <w:rFonts w:hint="eastAsia" w:ascii="Times New Roman" w:eastAsiaTheme="minorEastAsia"/>
          <w:sz w:val="24"/>
          <w:szCs w:val="24"/>
          <w:lang w:eastAsia="zh-CN"/>
        </w:rPr>
        <w:t>弃土</w:t>
      </w:r>
      <w:r>
        <w:rPr>
          <w:rFonts w:hint="eastAsia" w:ascii="Times New Roman" w:eastAsiaTheme="minorEastAsia"/>
          <w:sz w:val="24"/>
          <w:szCs w:val="24"/>
        </w:rPr>
        <w:t>堆放对地质环境的影响；闭坑前无</w:t>
      </w:r>
      <w:r>
        <w:rPr>
          <w:rFonts w:hint="eastAsia" w:ascii="Times New Roman" w:eastAsiaTheme="minorEastAsia"/>
          <w:sz w:val="24"/>
          <w:szCs w:val="24"/>
          <w:lang w:eastAsia="zh-CN"/>
        </w:rPr>
        <w:t>弃土</w:t>
      </w:r>
      <w:r>
        <w:rPr>
          <w:rFonts w:hint="eastAsia" w:ascii="Times New Roman" w:eastAsiaTheme="minorEastAsia"/>
          <w:sz w:val="24"/>
          <w:szCs w:val="24"/>
        </w:rPr>
        <w:t>残留，土地进行绿化，恢复其使用功能。</w:t>
      </w:r>
    </w:p>
    <w:p>
      <w:pPr>
        <w:pStyle w:val="52"/>
        <w:spacing w:before="0"/>
        <w:ind w:firstLine="480" w:firstLineChars="200"/>
        <w:rPr>
          <w:rFonts w:ascii="Times New Roman" w:eastAsiaTheme="minorEastAsia"/>
          <w:sz w:val="24"/>
          <w:szCs w:val="24"/>
        </w:rPr>
      </w:pPr>
      <w:r>
        <w:rPr>
          <w:rFonts w:ascii="Times New Roman" w:eastAsia="宋体"/>
          <w:sz w:val="24"/>
          <w:szCs w:val="24"/>
        </w:rPr>
        <w:t>④</w:t>
      </w:r>
      <w:r>
        <w:rPr>
          <w:rFonts w:hint="eastAsia" w:ascii="Times New Roman" w:eastAsiaTheme="minorEastAsia"/>
          <w:sz w:val="24"/>
          <w:szCs w:val="24"/>
        </w:rPr>
        <w:t>对采矿活动中形成的地形地貌景观进行整理，尽可能恢复原有地貌景观，使矿区地形地貌景观与周边环境和谐协调，对终了开采平台、工业场地及附属建筑等区域所受到影响或被破坏的的地形地貌景观和植被进行恢复治理。</w:t>
      </w:r>
    </w:p>
    <w:p>
      <w:pPr>
        <w:pStyle w:val="52"/>
        <w:spacing w:before="0"/>
        <w:ind w:firstLine="480" w:firstLineChars="200"/>
        <w:rPr>
          <w:rFonts w:ascii="Times New Roman" w:eastAsiaTheme="minorEastAsia"/>
          <w:sz w:val="24"/>
          <w:szCs w:val="24"/>
        </w:rPr>
      </w:pPr>
      <w:r>
        <w:rPr>
          <w:rFonts w:hint="eastAsia" w:ascii="Times New Roman" w:eastAsia="宋体"/>
          <w:sz w:val="24"/>
          <w:szCs w:val="24"/>
        </w:rPr>
        <w:t>⑤</w:t>
      </w:r>
      <w:r>
        <w:rPr>
          <w:rFonts w:hint="eastAsia" w:ascii="Times New Roman" w:eastAsiaTheme="minorEastAsia"/>
          <w:sz w:val="24"/>
          <w:szCs w:val="24"/>
        </w:rPr>
        <w:t>对采矿活动中破坏的土地资源分阶段进行治理与恢复。</w:t>
      </w:r>
    </w:p>
    <w:p>
      <w:pPr>
        <w:pStyle w:val="52"/>
        <w:spacing w:before="0"/>
        <w:ind w:firstLine="480" w:firstLineChars="200"/>
        <w:rPr>
          <w:rFonts w:ascii="Times New Roman" w:eastAsiaTheme="minorEastAsia"/>
          <w:sz w:val="24"/>
          <w:szCs w:val="24"/>
        </w:rPr>
      </w:pPr>
      <w:r>
        <w:rPr>
          <w:rFonts w:hint="eastAsia" w:ascii="Times New Roman" w:eastAsia="宋体"/>
          <w:sz w:val="24"/>
          <w:szCs w:val="24"/>
        </w:rPr>
        <w:t>⑥</w:t>
      </w:r>
      <w:r>
        <w:rPr>
          <w:rFonts w:hint="eastAsia" w:ascii="Times New Roman" w:eastAsiaTheme="minorEastAsia"/>
          <w:sz w:val="24"/>
          <w:szCs w:val="24"/>
        </w:rPr>
        <w:t>对采场周围影响区域进行治理，恢复矿山的生态环境。</w:t>
      </w:r>
    </w:p>
    <w:p>
      <w:pPr>
        <w:pStyle w:val="52"/>
        <w:spacing w:before="0"/>
        <w:ind w:firstLine="480" w:firstLineChars="200"/>
        <w:rPr>
          <w:rFonts w:ascii="Times New Roman" w:eastAsiaTheme="minorEastAsia"/>
          <w:sz w:val="24"/>
          <w:szCs w:val="24"/>
        </w:rPr>
      </w:pPr>
      <w:r>
        <w:rPr>
          <w:rFonts w:ascii="Times New Roman" w:eastAsia="宋体"/>
          <w:sz w:val="24"/>
          <w:szCs w:val="24"/>
        </w:rPr>
        <w:t>⑦</w:t>
      </w:r>
      <w:r>
        <w:rPr>
          <w:rFonts w:hint="eastAsia" w:ascii="Times New Roman" w:eastAsiaTheme="minorEastAsia"/>
          <w:sz w:val="24"/>
          <w:szCs w:val="24"/>
        </w:rPr>
        <w:t>采矿结束后，对已形成的露天采场进行综合治理，清理危岩土体，对有隐患的边坡地段进行重点处理。对区内边坡处设立警示标志（树立警示牌）。</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（3）生态恢复措施</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①</w:t>
      </w:r>
      <w:r>
        <w:rPr>
          <w:rFonts w:hint="eastAsia" w:ascii="Times New Roman" w:eastAsiaTheme="minorEastAsia"/>
          <w:sz w:val="24"/>
          <w:szCs w:val="24"/>
        </w:rPr>
        <w:t>开采挖损区</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本项目开采挖损区破坏的土地类型为耕地，破坏面积预计1.</w:t>
      </w:r>
      <w:r>
        <w:rPr>
          <w:rFonts w:hint="eastAsia" w:ascii="Times New Roman" w:eastAsiaTheme="minorEastAsia"/>
          <w:sz w:val="24"/>
          <w:szCs w:val="24"/>
          <w:lang w:val="en-US" w:eastAsia="zh-CN"/>
        </w:rPr>
        <w:t>19</w:t>
      </w:r>
      <w:r>
        <w:rPr>
          <w:rFonts w:hint="eastAsia" w:ascii="Times New Roman" w:eastAsiaTheme="minorEastAsia"/>
          <w:sz w:val="24"/>
          <w:szCs w:val="24"/>
        </w:rPr>
        <w:t>hm</w:t>
      </w:r>
      <w:r>
        <w:rPr>
          <w:rFonts w:hint="eastAsia" w:ascii="Times New Roman" w:eastAsiaTheme="minorEastAsia"/>
          <w:sz w:val="24"/>
          <w:szCs w:val="24"/>
          <w:vertAlign w:val="superscript"/>
        </w:rPr>
        <w:t>2</w:t>
      </w:r>
      <w:r>
        <w:rPr>
          <w:rFonts w:hint="eastAsia" w:ascii="Times New Roman" w:eastAsiaTheme="minorEastAsia"/>
          <w:sz w:val="24"/>
          <w:szCs w:val="24"/>
        </w:rPr>
        <w:t>，按照生态适宜性分析结果，其生态恢复方向为耕地。</w:t>
      </w:r>
    </w:p>
    <w:p>
      <w:pPr>
        <w:pStyle w:val="52"/>
        <w:spacing w:before="0"/>
        <w:ind w:firstLine="480" w:firstLineChars="200"/>
        <w:rPr>
          <w:rFonts w:ascii="Times New Roman" w:eastAsiaTheme="minorEastAsia"/>
          <w:sz w:val="24"/>
          <w:szCs w:val="24"/>
        </w:rPr>
      </w:pPr>
      <w:r>
        <w:rPr>
          <w:rFonts w:ascii="Times New Roman" w:eastAsiaTheme="minorEastAsia"/>
          <w:sz w:val="24"/>
          <w:szCs w:val="24"/>
        </w:rPr>
        <w:t>②</w:t>
      </w:r>
      <w:r>
        <w:rPr>
          <w:rFonts w:hint="eastAsia" w:ascii="Times New Roman" w:eastAsiaTheme="minorEastAsia"/>
          <w:sz w:val="24"/>
          <w:szCs w:val="24"/>
        </w:rPr>
        <w:t>排土场、工业广场、办公生活区和运输道路等设施压占区</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本项目排土场、工业广场、办公生活区和运输道路等设施压占区现状为工矿仓储用地，占地面积总计2.8</w:t>
      </w:r>
      <w:r>
        <w:rPr>
          <w:rFonts w:hint="eastAsia" w:ascii="Times New Roman" w:eastAsiaTheme="minorEastAsia"/>
          <w:sz w:val="24"/>
          <w:szCs w:val="24"/>
          <w:lang w:val="en-US" w:eastAsia="zh-CN"/>
        </w:rPr>
        <w:t>6</w:t>
      </w:r>
      <w:r>
        <w:rPr>
          <w:rFonts w:hint="eastAsia" w:ascii="Times New Roman" w:eastAsiaTheme="minorEastAsia"/>
          <w:sz w:val="24"/>
          <w:szCs w:val="24"/>
        </w:rPr>
        <w:t>hm</w:t>
      </w:r>
      <w:r>
        <w:rPr>
          <w:rFonts w:hint="eastAsia" w:ascii="Times New Roman" w:eastAsiaTheme="minorEastAsia"/>
          <w:sz w:val="24"/>
          <w:szCs w:val="24"/>
          <w:vertAlign w:val="superscript"/>
        </w:rPr>
        <w:t>2</w:t>
      </w:r>
      <w:r>
        <w:rPr>
          <w:rFonts w:hint="eastAsia" w:ascii="Times New Roman" w:eastAsiaTheme="minorEastAsia"/>
          <w:sz w:val="24"/>
          <w:szCs w:val="24"/>
          <w:lang w:eastAsia="zh-CN"/>
        </w:rPr>
        <w:t>，按照</w:t>
      </w:r>
      <w:r>
        <w:rPr>
          <w:rFonts w:hint="eastAsia" w:ascii="Times New Roman" w:eastAsiaTheme="minorEastAsia"/>
          <w:sz w:val="24"/>
          <w:szCs w:val="24"/>
        </w:rPr>
        <w:t>生态适宜性分析结果</w:t>
      </w:r>
      <w:r>
        <w:rPr>
          <w:rFonts w:hint="eastAsia" w:ascii="Times New Roman" w:eastAsiaTheme="minorEastAsia"/>
          <w:sz w:val="24"/>
          <w:szCs w:val="24"/>
          <w:lang w:eastAsia="zh-CN"/>
        </w:rPr>
        <w:t>，</w:t>
      </w:r>
      <w:r>
        <w:rPr>
          <w:rFonts w:hint="eastAsia" w:ascii="Times New Roman" w:eastAsiaTheme="minorEastAsia"/>
          <w:sz w:val="24"/>
          <w:szCs w:val="24"/>
        </w:rPr>
        <w:t>其生态恢复方向为</w:t>
      </w:r>
      <w:r>
        <w:rPr>
          <w:rFonts w:hint="eastAsia" w:ascii="Times New Roman" w:eastAsiaTheme="minorEastAsia"/>
          <w:sz w:val="24"/>
          <w:szCs w:val="24"/>
          <w:lang w:eastAsia="zh-CN"/>
        </w:rPr>
        <w:t>耕</w:t>
      </w:r>
      <w:r>
        <w:rPr>
          <w:rFonts w:hint="eastAsia" w:ascii="Times New Roman" w:eastAsiaTheme="minorEastAsia"/>
          <w:sz w:val="24"/>
          <w:szCs w:val="24"/>
        </w:rPr>
        <w:t>地。</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根据中华人民共和国国务院《土地复垦</w:t>
      </w:r>
      <w:r>
        <w:rPr>
          <w:rFonts w:hint="eastAsia" w:ascii="Times New Roman" w:eastAsiaTheme="minorEastAsia"/>
          <w:sz w:val="24"/>
          <w:szCs w:val="24"/>
          <w:lang w:eastAsia="zh-CN"/>
        </w:rPr>
        <w:t>条例</w:t>
      </w:r>
      <w:r>
        <w:rPr>
          <w:rFonts w:hint="eastAsia" w:ascii="Times New Roman" w:eastAsiaTheme="minorEastAsia"/>
          <w:sz w:val="24"/>
          <w:szCs w:val="24"/>
        </w:rPr>
        <w:t>》（2011），中华人民共和国行业标准《土地复垦技术标准》（1995），破坏土地复垦为耕地时，地面覆土0.5米以上，采用坑栽时，坑内放少量客土或人工土。耕地复垦，以水土保持为主，也可改变环境条件，符合《农、林、牧生产用地污染控制标准》。</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本项目不设取土场，</w:t>
      </w:r>
      <w:r>
        <w:rPr>
          <w:rFonts w:hint="eastAsia" w:ascii="Times New Roman" w:eastAsiaTheme="minorEastAsia"/>
          <w:sz w:val="24"/>
          <w:szCs w:val="24"/>
          <w:lang w:eastAsia="zh-CN"/>
        </w:rPr>
        <w:t>矿区内设有排土场，</w:t>
      </w:r>
      <w:r>
        <w:rPr>
          <w:rFonts w:hint="eastAsia" w:ascii="Times New Roman" w:eastAsiaTheme="minorEastAsia"/>
          <w:sz w:val="24"/>
          <w:szCs w:val="24"/>
        </w:rPr>
        <w:t>排土场内部单独设置</w:t>
      </w:r>
      <w:r>
        <w:rPr>
          <w:rFonts w:hint="eastAsia" w:ascii="Times New Roman" w:eastAsiaTheme="minorEastAsia"/>
          <w:sz w:val="24"/>
          <w:szCs w:val="24"/>
          <w:lang w:eastAsia="zh-CN"/>
        </w:rPr>
        <w:t>有</w:t>
      </w:r>
      <w:r>
        <w:rPr>
          <w:rFonts w:hint="eastAsia" w:ascii="Times New Roman" w:eastAsiaTheme="minorEastAsia"/>
          <w:sz w:val="24"/>
          <w:szCs w:val="24"/>
        </w:rPr>
        <w:t>表土堆存区，开采剥离土可用于</w:t>
      </w:r>
      <w:r>
        <w:rPr>
          <w:rFonts w:hint="eastAsia" w:ascii="Times New Roman" w:eastAsiaTheme="minorEastAsia"/>
          <w:sz w:val="24"/>
          <w:szCs w:val="24"/>
          <w:lang w:eastAsia="zh-CN"/>
        </w:rPr>
        <w:t>后期</w:t>
      </w:r>
      <w:r>
        <w:rPr>
          <w:rFonts w:hint="eastAsia" w:ascii="Times New Roman" w:eastAsiaTheme="minorEastAsia"/>
          <w:sz w:val="24"/>
          <w:szCs w:val="24"/>
        </w:rPr>
        <w:t>土地复垦和生态恢复。</w:t>
      </w:r>
    </w:p>
    <w:p>
      <w:pPr>
        <w:pStyle w:val="52"/>
        <w:spacing w:before="0"/>
        <w:ind w:firstLine="480" w:firstLineChars="200"/>
        <w:rPr>
          <w:rFonts w:ascii="Times New Roman" w:eastAsiaTheme="minorEastAsia"/>
          <w:sz w:val="24"/>
          <w:szCs w:val="24"/>
        </w:rPr>
      </w:pPr>
      <w:r>
        <w:rPr>
          <w:rFonts w:hint="eastAsia" w:ascii="Times New Roman" w:eastAsiaTheme="minorEastAsia"/>
          <w:sz w:val="24"/>
          <w:szCs w:val="24"/>
        </w:rPr>
        <w:t>4、评价区生态因子恢复综合值</w:t>
      </w:r>
    </w:p>
    <w:p>
      <w:pPr>
        <w:spacing w:line="440" w:lineRule="exact"/>
        <w:ind w:firstLine="480" w:firstLineChars="200"/>
        <w:jc w:val="both"/>
      </w:pPr>
      <w:r>
        <w:t>通过制定和实施生态影响的防护和恢复措施</w:t>
      </w:r>
      <w:r>
        <w:rPr>
          <w:rFonts w:hint="eastAsia"/>
        </w:rPr>
        <w:t>，</w:t>
      </w:r>
      <w:r>
        <w:t>可使本项目评价区的生态环境在开采的过程中逐渐好转</w:t>
      </w:r>
      <w:r>
        <w:rPr>
          <w:rFonts w:hint="eastAsia"/>
        </w:rPr>
        <w:t>。</w:t>
      </w:r>
    </w:p>
    <w:p>
      <w:pPr>
        <w:spacing w:line="440" w:lineRule="exact"/>
        <w:ind w:firstLine="480" w:firstLineChars="200"/>
        <w:jc w:val="both"/>
      </w:pPr>
      <w:r>
        <w:rPr>
          <w:rFonts w:hint="eastAsia"/>
        </w:rPr>
        <w:t>（1）土地利用恢复值</w:t>
      </w:r>
    </w:p>
    <w:p>
      <w:pPr>
        <w:spacing w:line="440" w:lineRule="exact"/>
        <w:ind w:firstLine="480" w:firstLineChars="200"/>
        <w:jc w:val="both"/>
      </w:pPr>
      <w:r>
        <w:rPr>
          <w:rFonts w:hint="eastAsia"/>
        </w:rPr>
        <w:t>项目服务期满后，露天开采挖损区域</w:t>
      </w:r>
      <w:r>
        <w:rPr>
          <w:rFonts w:hint="eastAsia"/>
          <w:lang w:eastAsia="zh-CN"/>
        </w:rPr>
        <w:t>、</w:t>
      </w:r>
      <w:r>
        <w:rPr>
          <w:rFonts w:hint="eastAsia" w:ascii="Times New Roman" w:eastAsiaTheme="minorEastAsia"/>
          <w:sz w:val="24"/>
          <w:szCs w:val="24"/>
        </w:rPr>
        <w:t>排土场、工业广场、办公生活区和运输道路等设施压占区</w:t>
      </w:r>
      <w:r>
        <w:rPr>
          <w:rFonts w:hint="eastAsia"/>
          <w:lang w:eastAsia="zh-CN"/>
        </w:rPr>
        <w:t>全部</w:t>
      </w:r>
      <w:r>
        <w:rPr>
          <w:rFonts w:hint="eastAsia"/>
        </w:rPr>
        <w:t>复垦为耕地。</w:t>
      </w:r>
    </w:p>
    <w:p>
      <w:pPr>
        <w:spacing w:line="440" w:lineRule="exact"/>
        <w:ind w:firstLine="480" w:firstLineChars="200"/>
        <w:jc w:val="both"/>
      </w:pPr>
      <w:r>
        <w:rPr>
          <w:rFonts w:hint="eastAsia"/>
        </w:rPr>
        <w:t>恢复后评价区土地利用情况见表5.5-6。</w:t>
      </w:r>
    </w:p>
    <w:p>
      <w:pPr>
        <w:widowControl w:val="0"/>
        <w:spacing w:before="156" w:beforeLines="50"/>
        <w:jc w:val="center"/>
        <w:rPr>
          <w:rFonts w:eastAsia="黑体" w:cs="宋体"/>
          <w:bCs/>
          <w:kern w:val="2"/>
          <w:sz w:val="21"/>
        </w:rPr>
      </w:pPr>
      <w:r>
        <w:rPr>
          <w:rFonts w:eastAsia="黑体" w:cs="宋体"/>
          <w:bCs/>
          <w:kern w:val="2"/>
          <w:sz w:val="21"/>
        </w:rPr>
        <w:t>表</w:t>
      </w:r>
      <w:r>
        <w:rPr>
          <w:rFonts w:hint="eastAsia" w:eastAsia="黑体" w:cs="宋体"/>
          <w:bCs/>
          <w:kern w:val="2"/>
          <w:sz w:val="21"/>
        </w:rPr>
        <w:t>5.5-6   恢复后评价区土地利用情况</w:t>
      </w:r>
    </w:p>
    <w:tbl>
      <w:tblPr>
        <w:tblStyle w:val="8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2507"/>
        <w:gridCol w:w="2876"/>
        <w:gridCol w:w="2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Align w:val="center"/>
          </w:tcPr>
          <w:p>
            <w:pPr>
              <w:widowControl w:val="0"/>
              <w:adjustRightInd w:val="0"/>
              <w:snapToGrid w:val="0"/>
              <w:spacing w:line="300" w:lineRule="exact"/>
              <w:jc w:val="center"/>
              <w:rPr>
                <w:kern w:val="2"/>
                <w:sz w:val="21"/>
                <w:szCs w:val="20"/>
              </w:rPr>
            </w:pPr>
            <w:r>
              <w:rPr>
                <w:kern w:val="2"/>
                <w:sz w:val="21"/>
                <w:szCs w:val="20"/>
              </w:rPr>
              <w:t>场地</w:t>
            </w:r>
          </w:p>
        </w:tc>
        <w:tc>
          <w:tcPr>
            <w:tcW w:w="1367" w:type="pct"/>
            <w:vAlign w:val="center"/>
          </w:tcPr>
          <w:p>
            <w:pPr>
              <w:widowControl w:val="0"/>
              <w:adjustRightInd w:val="0"/>
              <w:snapToGrid w:val="0"/>
              <w:spacing w:line="300" w:lineRule="exact"/>
              <w:jc w:val="center"/>
              <w:rPr>
                <w:kern w:val="2"/>
                <w:sz w:val="21"/>
                <w:szCs w:val="20"/>
              </w:rPr>
            </w:pPr>
            <w:r>
              <w:rPr>
                <w:kern w:val="2"/>
                <w:sz w:val="21"/>
                <w:szCs w:val="20"/>
              </w:rPr>
              <w:t>土地</w:t>
            </w:r>
            <w:r>
              <w:rPr>
                <w:rFonts w:hint="eastAsia"/>
                <w:kern w:val="2"/>
                <w:sz w:val="21"/>
                <w:szCs w:val="20"/>
              </w:rPr>
              <w:t>利用</w:t>
            </w:r>
            <w:r>
              <w:rPr>
                <w:kern w:val="2"/>
                <w:sz w:val="21"/>
                <w:szCs w:val="20"/>
              </w:rPr>
              <w:t>类型</w:t>
            </w:r>
          </w:p>
        </w:tc>
        <w:tc>
          <w:tcPr>
            <w:tcW w:w="1568" w:type="pct"/>
            <w:vAlign w:val="center"/>
          </w:tcPr>
          <w:p>
            <w:pPr>
              <w:widowControl w:val="0"/>
              <w:adjustRightInd w:val="0"/>
              <w:snapToGrid w:val="0"/>
              <w:spacing w:line="300" w:lineRule="exact"/>
              <w:jc w:val="center"/>
              <w:rPr>
                <w:kern w:val="2"/>
                <w:sz w:val="21"/>
                <w:szCs w:val="20"/>
              </w:rPr>
            </w:pPr>
            <w:r>
              <w:rPr>
                <w:rFonts w:hint="eastAsia"/>
                <w:kern w:val="2"/>
                <w:sz w:val="21"/>
                <w:szCs w:val="20"/>
              </w:rPr>
              <w:t>恢复后</w:t>
            </w:r>
            <w:r>
              <w:rPr>
                <w:kern w:val="2"/>
                <w:sz w:val="21"/>
                <w:szCs w:val="20"/>
              </w:rPr>
              <w:t>面积(hm</w:t>
            </w:r>
            <w:r>
              <w:rPr>
                <w:kern w:val="2"/>
                <w:sz w:val="21"/>
                <w:szCs w:val="20"/>
                <w:vertAlign w:val="superscript"/>
              </w:rPr>
              <w:t>2</w:t>
            </w:r>
            <w:r>
              <w:rPr>
                <w:kern w:val="2"/>
                <w:sz w:val="21"/>
                <w:szCs w:val="20"/>
              </w:rPr>
              <w:t>)</w:t>
            </w:r>
          </w:p>
        </w:tc>
        <w:tc>
          <w:tcPr>
            <w:tcW w:w="1388" w:type="pct"/>
            <w:vAlign w:val="center"/>
          </w:tcPr>
          <w:p>
            <w:pPr>
              <w:widowControl w:val="0"/>
              <w:adjustRightInd w:val="0"/>
              <w:snapToGrid w:val="0"/>
              <w:spacing w:line="300" w:lineRule="exact"/>
              <w:jc w:val="center"/>
              <w:rPr>
                <w:kern w:val="2"/>
                <w:sz w:val="21"/>
                <w:szCs w:val="20"/>
              </w:rPr>
            </w:pPr>
            <w:r>
              <w:rPr>
                <w:rFonts w:hint="eastAsia"/>
                <w:kern w:val="2"/>
                <w:sz w:val="21"/>
                <w:szCs w:val="20"/>
              </w:rPr>
              <w:t>生物量</w:t>
            </w:r>
            <w:r>
              <w:rPr>
                <w:kern w:val="2"/>
                <w:sz w:val="21"/>
                <w:szCs w:val="20"/>
              </w:rPr>
              <w:t>t/(hm</w:t>
            </w:r>
            <w:r>
              <w:rPr>
                <w:kern w:val="2"/>
                <w:sz w:val="21"/>
                <w:szCs w:val="20"/>
                <w:vertAlign w:val="superscript"/>
              </w:rPr>
              <w:t>2</w:t>
            </w:r>
            <w:r>
              <w:rPr>
                <w:kern w:val="2"/>
                <w:sz w:val="21"/>
                <w:szCs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restart"/>
            <w:vAlign w:val="center"/>
          </w:tcPr>
          <w:p>
            <w:pPr>
              <w:widowControl w:val="0"/>
              <w:adjustRightInd w:val="0"/>
              <w:snapToGrid w:val="0"/>
              <w:spacing w:line="300" w:lineRule="exact"/>
              <w:jc w:val="center"/>
              <w:rPr>
                <w:kern w:val="2"/>
                <w:sz w:val="21"/>
                <w:szCs w:val="20"/>
              </w:rPr>
            </w:pPr>
            <w:r>
              <w:rPr>
                <w:rFonts w:hint="eastAsia"/>
                <w:kern w:val="2"/>
                <w:sz w:val="21"/>
                <w:szCs w:val="20"/>
              </w:rPr>
              <w:t>评价范围</w:t>
            </w:r>
          </w:p>
        </w:tc>
        <w:tc>
          <w:tcPr>
            <w:tcW w:w="1367" w:type="pct"/>
            <w:vAlign w:val="center"/>
          </w:tcPr>
          <w:p>
            <w:pPr>
              <w:adjustRightInd w:val="0"/>
              <w:snapToGrid w:val="0"/>
              <w:jc w:val="center"/>
              <w:rPr>
                <w:kern w:val="2"/>
                <w:sz w:val="21"/>
                <w:szCs w:val="20"/>
              </w:rPr>
            </w:pPr>
            <w:r>
              <w:rPr>
                <w:sz w:val="21"/>
                <w:szCs w:val="20"/>
              </w:rPr>
              <w:t>耕地</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27.68</w:t>
            </w:r>
          </w:p>
        </w:tc>
        <w:tc>
          <w:tcPr>
            <w:tcW w:w="1388" w:type="pct"/>
            <w:vAlign w:val="center"/>
          </w:tcPr>
          <w:p>
            <w:pPr>
              <w:widowControl w:val="0"/>
              <w:adjustRightInd w:val="0"/>
              <w:snapToGrid w:val="0"/>
              <w:spacing w:line="300" w:lineRule="exact"/>
              <w:jc w:val="center"/>
              <w:rPr>
                <w:kern w:val="2"/>
                <w:sz w:val="21"/>
                <w:szCs w:val="20"/>
              </w:rPr>
            </w:pPr>
            <w:r>
              <w:rPr>
                <w:rFonts w:hint="eastAsia"/>
                <w:kern w:val="2"/>
                <w:sz w:val="21"/>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continue"/>
            <w:vAlign w:val="center"/>
          </w:tcPr>
          <w:p>
            <w:pPr>
              <w:widowControl w:val="0"/>
              <w:adjustRightInd w:val="0"/>
              <w:snapToGrid w:val="0"/>
              <w:spacing w:line="300" w:lineRule="exact"/>
              <w:jc w:val="center"/>
              <w:rPr>
                <w:rFonts w:hint="eastAsia"/>
                <w:kern w:val="2"/>
                <w:sz w:val="21"/>
                <w:szCs w:val="20"/>
              </w:rPr>
            </w:pPr>
          </w:p>
        </w:tc>
        <w:tc>
          <w:tcPr>
            <w:tcW w:w="1367" w:type="pct"/>
            <w:vAlign w:val="center"/>
          </w:tcPr>
          <w:p>
            <w:pPr>
              <w:adjustRightInd w:val="0"/>
              <w:snapToGrid w:val="0"/>
              <w:jc w:val="center"/>
              <w:rPr>
                <w:rFonts w:hint="eastAsia" w:eastAsia="宋体"/>
                <w:sz w:val="21"/>
                <w:szCs w:val="20"/>
                <w:lang w:eastAsia="zh-CN"/>
              </w:rPr>
            </w:pPr>
            <w:r>
              <w:rPr>
                <w:rFonts w:hint="eastAsia"/>
                <w:sz w:val="21"/>
                <w:szCs w:val="20"/>
                <w:lang w:eastAsia="zh-CN"/>
              </w:rPr>
              <w:t>内陆滩涂</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1.52</w:t>
            </w:r>
          </w:p>
        </w:tc>
        <w:tc>
          <w:tcPr>
            <w:tcW w:w="1388" w:type="pct"/>
            <w:vAlign w:val="center"/>
          </w:tcPr>
          <w:p>
            <w:pPr>
              <w:widowControl w:val="0"/>
              <w:adjustRightInd w:val="0"/>
              <w:snapToGrid w:val="0"/>
              <w:spacing w:line="300" w:lineRule="exact"/>
              <w:jc w:val="center"/>
              <w:rPr>
                <w:rFonts w:hint="eastAsia" w:eastAsia="宋体"/>
                <w:kern w:val="2"/>
                <w:sz w:val="21"/>
                <w:szCs w:val="20"/>
                <w:lang w:val="en-US" w:eastAsia="zh-CN"/>
              </w:rPr>
            </w:pPr>
            <w:r>
              <w:rPr>
                <w:rFonts w:hint="eastAsia"/>
                <w:kern w:val="2"/>
                <w:sz w:val="21"/>
                <w:szCs w:val="2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continue"/>
            <w:vAlign w:val="center"/>
          </w:tcPr>
          <w:p>
            <w:pPr>
              <w:widowControl w:val="0"/>
              <w:adjustRightInd w:val="0"/>
              <w:snapToGrid w:val="0"/>
              <w:spacing w:line="300" w:lineRule="exact"/>
              <w:jc w:val="center"/>
              <w:rPr>
                <w:kern w:val="2"/>
                <w:sz w:val="21"/>
                <w:szCs w:val="20"/>
              </w:rPr>
            </w:pPr>
          </w:p>
        </w:tc>
        <w:tc>
          <w:tcPr>
            <w:tcW w:w="1367" w:type="pct"/>
            <w:vAlign w:val="center"/>
          </w:tcPr>
          <w:p>
            <w:pPr>
              <w:adjustRightInd w:val="0"/>
              <w:snapToGrid w:val="0"/>
              <w:jc w:val="center"/>
              <w:rPr>
                <w:sz w:val="21"/>
                <w:szCs w:val="20"/>
              </w:rPr>
            </w:pPr>
            <w:r>
              <w:rPr>
                <w:rFonts w:hint="eastAsia"/>
                <w:sz w:val="21"/>
                <w:szCs w:val="20"/>
              </w:rPr>
              <w:t>工</w:t>
            </w:r>
            <w:r>
              <w:rPr>
                <w:rFonts w:hint="eastAsia"/>
                <w:sz w:val="21"/>
                <w:szCs w:val="20"/>
                <w:lang w:eastAsia="zh-CN"/>
              </w:rPr>
              <w:t>矿</w:t>
            </w:r>
            <w:r>
              <w:rPr>
                <w:rFonts w:hint="eastAsia"/>
                <w:sz w:val="21"/>
                <w:szCs w:val="20"/>
              </w:rPr>
              <w:t>仓储用地</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6.39</w:t>
            </w:r>
          </w:p>
        </w:tc>
        <w:tc>
          <w:tcPr>
            <w:tcW w:w="1388" w:type="pct"/>
            <w:vAlign w:val="center"/>
          </w:tcPr>
          <w:p>
            <w:pPr>
              <w:widowControl w:val="0"/>
              <w:adjustRightInd w:val="0"/>
              <w:snapToGrid w:val="0"/>
              <w:spacing w:line="300" w:lineRule="exact"/>
              <w:jc w:val="center"/>
              <w:rPr>
                <w:kern w:val="2"/>
                <w:sz w:val="21"/>
                <w:szCs w:val="20"/>
              </w:rPr>
            </w:pPr>
            <w:r>
              <w:rPr>
                <w:rFonts w:hint="eastAsia"/>
                <w:kern w:val="2"/>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continue"/>
            <w:vAlign w:val="center"/>
          </w:tcPr>
          <w:p>
            <w:pPr>
              <w:widowControl w:val="0"/>
              <w:adjustRightInd w:val="0"/>
              <w:snapToGrid w:val="0"/>
              <w:spacing w:line="300" w:lineRule="exact"/>
              <w:jc w:val="center"/>
              <w:rPr>
                <w:kern w:val="2"/>
                <w:sz w:val="21"/>
                <w:szCs w:val="20"/>
              </w:rPr>
            </w:pPr>
          </w:p>
        </w:tc>
        <w:tc>
          <w:tcPr>
            <w:tcW w:w="1367" w:type="pct"/>
            <w:vAlign w:val="center"/>
          </w:tcPr>
          <w:p>
            <w:pPr>
              <w:adjustRightInd w:val="0"/>
              <w:snapToGrid w:val="0"/>
              <w:jc w:val="center"/>
              <w:rPr>
                <w:kern w:val="2"/>
                <w:sz w:val="21"/>
                <w:szCs w:val="20"/>
              </w:rPr>
            </w:pPr>
            <w:r>
              <w:rPr>
                <w:sz w:val="21"/>
                <w:szCs w:val="20"/>
              </w:rPr>
              <w:t>交通运输用地</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0.62</w:t>
            </w:r>
          </w:p>
        </w:tc>
        <w:tc>
          <w:tcPr>
            <w:tcW w:w="1388" w:type="pct"/>
            <w:vAlign w:val="center"/>
          </w:tcPr>
          <w:p>
            <w:pPr>
              <w:widowControl w:val="0"/>
              <w:adjustRightInd w:val="0"/>
              <w:snapToGrid w:val="0"/>
              <w:spacing w:line="300" w:lineRule="exact"/>
              <w:jc w:val="center"/>
              <w:rPr>
                <w:kern w:val="2"/>
                <w:sz w:val="21"/>
                <w:szCs w:val="20"/>
              </w:rPr>
            </w:pPr>
            <w:r>
              <w:rPr>
                <w:rFonts w:hint="eastAsia"/>
                <w:kern w:val="2"/>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continue"/>
            <w:vAlign w:val="center"/>
          </w:tcPr>
          <w:p>
            <w:pPr>
              <w:widowControl w:val="0"/>
              <w:adjustRightInd w:val="0"/>
              <w:snapToGrid w:val="0"/>
              <w:spacing w:line="300" w:lineRule="exact"/>
              <w:jc w:val="center"/>
              <w:rPr>
                <w:kern w:val="2"/>
                <w:sz w:val="21"/>
                <w:szCs w:val="20"/>
              </w:rPr>
            </w:pPr>
          </w:p>
        </w:tc>
        <w:tc>
          <w:tcPr>
            <w:tcW w:w="1367" w:type="pct"/>
            <w:vAlign w:val="center"/>
          </w:tcPr>
          <w:p>
            <w:pPr>
              <w:widowControl w:val="0"/>
              <w:adjustRightInd w:val="0"/>
              <w:snapToGrid w:val="0"/>
              <w:spacing w:line="300" w:lineRule="exact"/>
              <w:jc w:val="center"/>
              <w:rPr>
                <w:kern w:val="2"/>
                <w:sz w:val="21"/>
                <w:szCs w:val="20"/>
              </w:rPr>
            </w:pPr>
            <w:r>
              <w:rPr>
                <w:kern w:val="2"/>
                <w:sz w:val="21"/>
                <w:szCs w:val="20"/>
              </w:rPr>
              <w:t>总计</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36.21</w:t>
            </w:r>
          </w:p>
        </w:tc>
        <w:tc>
          <w:tcPr>
            <w:tcW w:w="138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restart"/>
            <w:vAlign w:val="center"/>
          </w:tcPr>
          <w:p>
            <w:pPr>
              <w:widowControl w:val="0"/>
              <w:adjustRightInd w:val="0"/>
              <w:snapToGrid w:val="0"/>
              <w:spacing w:line="300" w:lineRule="exact"/>
              <w:jc w:val="center"/>
              <w:rPr>
                <w:kern w:val="2"/>
                <w:sz w:val="21"/>
                <w:szCs w:val="20"/>
              </w:rPr>
            </w:pPr>
            <w:r>
              <w:rPr>
                <w:rFonts w:hint="eastAsia"/>
                <w:kern w:val="2"/>
                <w:sz w:val="21"/>
                <w:szCs w:val="20"/>
              </w:rPr>
              <w:t>项目占地</w:t>
            </w:r>
          </w:p>
        </w:tc>
        <w:tc>
          <w:tcPr>
            <w:tcW w:w="1367" w:type="pct"/>
            <w:vAlign w:val="center"/>
          </w:tcPr>
          <w:p>
            <w:pPr>
              <w:widowControl w:val="0"/>
              <w:adjustRightInd w:val="0"/>
              <w:snapToGrid w:val="0"/>
              <w:spacing w:line="300" w:lineRule="exact"/>
              <w:jc w:val="center"/>
              <w:rPr>
                <w:kern w:val="2"/>
                <w:sz w:val="21"/>
                <w:szCs w:val="20"/>
              </w:rPr>
            </w:pPr>
            <w:r>
              <w:rPr>
                <w:rFonts w:hint="eastAsia"/>
                <w:kern w:val="2"/>
                <w:sz w:val="21"/>
                <w:szCs w:val="20"/>
              </w:rPr>
              <w:t>耕地</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5.11</w:t>
            </w:r>
          </w:p>
        </w:tc>
        <w:tc>
          <w:tcPr>
            <w:tcW w:w="1388" w:type="pct"/>
            <w:vAlign w:val="center"/>
          </w:tcPr>
          <w:p>
            <w:pPr>
              <w:widowControl w:val="0"/>
              <w:adjustRightInd w:val="0"/>
              <w:snapToGrid w:val="0"/>
              <w:spacing w:line="300" w:lineRule="exact"/>
              <w:jc w:val="center"/>
              <w:rPr>
                <w:kern w:val="2"/>
                <w:sz w:val="21"/>
                <w:szCs w:val="20"/>
              </w:rPr>
            </w:pPr>
            <w:r>
              <w:rPr>
                <w:rFonts w:hint="eastAsia"/>
                <w:kern w:val="2"/>
                <w:sz w:val="21"/>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continue"/>
            <w:vAlign w:val="center"/>
          </w:tcPr>
          <w:p>
            <w:pPr>
              <w:widowControl w:val="0"/>
              <w:adjustRightInd w:val="0"/>
              <w:snapToGrid w:val="0"/>
              <w:spacing w:line="300" w:lineRule="exact"/>
              <w:jc w:val="center"/>
              <w:rPr>
                <w:kern w:val="2"/>
                <w:sz w:val="21"/>
                <w:szCs w:val="20"/>
              </w:rPr>
            </w:pPr>
          </w:p>
        </w:tc>
        <w:tc>
          <w:tcPr>
            <w:tcW w:w="1367" w:type="pct"/>
            <w:vAlign w:val="center"/>
          </w:tcPr>
          <w:p>
            <w:pPr>
              <w:widowControl w:val="0"/>
              <w:adjustRightInd w:val="0"/>
              <w:snapToGrid w:val="0"/>
              <w:spacing w:line="300" w:lineRule="exact"/>
              <w:jc w:val="center"/>
              <w:rPr>
                <w:kern w:val="2"/>
                <w:sz w:val="21"/>
                <w:szCs w:val="20"/>
              </w:rPr>
            </w:pPr>
            <w:r>
              <w:rPr>
                <w:rFonts w:hint="eastAsia"/>
                <w:kern w:val="2"/>
                <w:sz w:val="21"/>
                <w:szCs w:val="20"/>
              </w:rPr>
              <w:t>交通运输占地</w:t>
            </w:r>
          </w:p>
        </w:tc>
        <w:tc>
          <w:tcPr>
            <w:tcW w:w="1568" w:type="pct"/>
            <w:vAlign w:val="center"/>
          </w:tcPr>
          <w:p>
            <w:pPr>
              <w:widowControl w:val="0"/>
              <w:adjustRightInd w:val="0"/>
              <w:snapToGrid w:val="0"/>
              <w:spacing w:line="300" w:lineRule="exact"/>
              <w:jc w:val="center"/>
              <w:rPr>
                <w:rFonts w:hint="eastAsia" w:eastAsia="宋体"/>
                <w:kern w:val="2"/>
                <w:sz w:val="21"/>
                <w:szCs w:val="20"/>
                <w:lang w:val="en-US" w:eastAsia="zh-CN"/>
              </w:rPr>
            </w:pPr>
            <w:r>
              <w:rPr>
                <w:rFonts w:hint="eastAsia"/>
                <w:kern w:val="2"/>
                <w:sz w:val="21"/>
                <w:szCs w:val="20"/>
              </w:rPr>
              <w:t>0.0</w:t>
            </w:r>
            <w:r>
              <w:rPr>
                <w:rFonts w:hint="eastAsia"/>
                <w:kern w:val="2"/>
                <w:sz w:val="21"/>
                <w:szCs w:val="20"/>
                <w:lang w:val="en-US" w:eastAsia="zh-CN"/>
              </w:rPr>
              <w:t>9</w:t>
            </w:r>
          </w:p>
        </w:tc>
        <w:tc>
          <w:tcPr>
            <w:tcW w:w="1388" w:type="pct"/>
            <w:vAlign w:val="center"/>
          </w:tcPr>
          <w:p>
            <w:pPr>
              <w:widowControl w:val="0"/>
              <w:adjustRightInd w:val="0"/>
              <w:snapToGrid w:val="0"/>
              <w:spacing w:line="300" w:lineRule="exact"/>
              <w:jc w:val="center"/>
              <w:rPr>
                <w:kern w:val="2"/>
                <w:sz w:val="21"/>
                <w:szCs w:val="20"/>
              </w:rPr>
            </w:pPr>
            <w:r>
              <w:rPr>
                <w:rFonts w:hint="eastAsia"/>
                <w:kern w:val="2"/>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continue"/>
            <w:vAlign w:val="center"/>
          </w:tcPr>
          <w:p>
            <w:pPr>
              <w:widowControl w:val="0"/>
              <w:adjustRightInd w:val="0"/>
              <w:snapToGrid w:val="0"/>
              <w:spacing w:line="300" w:lineRule="exact"/>
              <w:jc w:val="center"/>
              <w:rPr>
                <w:kern w:val="2"/>
                <w:sz w:val="21"/>
                <w:szCs w:val="20"/>
              </w:rPr>
            </w:pPr>
          </w:p>
        </w:tc>
        <w:tc>
          <w:tcPr>
            <w:tcW w:w="1367" w:type="pct"/>
            <w:vAlign w:val="center"/>
          </w:tcPr>
          <w:p>
            <w:pPr>
              <w:widowControl w:val="0"/>
              <w:adjustRightInd w:val="0"/>
              <w:snapToGrid w:val="0"/>
              <w:spacing w:line="300" w:lineRule="exact"/>
              <w:jc w:val="center"/>
              <w:rPr>
                <w:kern w:val="2"/>
                <w:sz w:val="21"/>
                <w:szCs w:val="20"/>
              </w:rPr>
            </w:pPr>
            <w:r>
              <w:rPr>
                <w:rFonts w:hint="eastAsia"/>
                <w:kern w:val="2"/>
                <w:sz w:val="21"/>
                <w:szCs w:val="20"/>
              </w:rPr>
              <w:t>合计</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5.20</w:t>
            </w:r>
          </w:p>
        </w:tc>
        <w:tc>
          <w:tcPr>
            <w:tcW w:w="138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9.83</w:t>
            </w:r>
          </w:p>
        </w:tc>
      </w:tr>
    </w:tbl>
    <w:p>
      <w:pPr>
        <w:widowControl w:val="0"/>
        <w:spacing w:line="440" w:lineRule="exact"/>
        <w:ind w:firstLine="480" w:firstLineChars="200"/>
        <w:jc w:val="both"/>
      </w:pPr>
      <w:r>
        <w:rPr>
          <w:rFonts w:hint="eastAsia"/>
        </w:rPr>
        <w:t>经过计算，恢复后评价区土地生物量为</w:t>
      </w:r>
      <w:r>
        <w:rPr>
          <w:rFonts w:hint="eastAsia"/>
          <w:lang w:val="en-US" w:eastAsia="zh-CN"/>
        </w:rPr>
        <w:t>7.64</w:t>
      </w:r>
      <w:r>
        <w:t>t/</w:t>
      </w:r>
      <w:r>
        <w:rPr>
          <w:rFonts w:hint="eastAsia"/>
        </w:rPr>
        <w:t>(</w:t>
      </w:r>
      <w:r>
        <w:t>hm</w:t>
      </w:r>
      <w:r>
        <w:rPr>
          <w:vertAlign w:val="superscript"/>
        </w:rPr>
        <w:t>2</w:t>
      </w:r>
      <w:r>
        <w:t>.a</w:t>
      </w:r>
      <w:r>
        <w:rPr>
          <w:rFonts w:hint="eastAsia"/>
        </w:rPr>
        <w:t>)，</w:t>
      </w:r>
      <w:r>
        <w:rPr>
          <w:rFonts w:hint="eastAsia"/>
          <w:lang w:eastAsia="zh-CN"/>
        </w:rPr>
        <w:t>项目占地范围内</w:t>
      </w:r>
      <w:r>
        <w:rPr>
          <w:rFonts w:hint="eastAsia"/>
        </w:rPr>
        <w:t>土地生物量为</w:t>
      </w:r>
      <w:r>
        <w:rPr>
          <w:rFonts w:hint="eastAsia"/>
          <w:lang w:val="en-US" w:eastAsia="zh-CN"/>
        </w:rPr>
        <w:t>9.83</w:t>
      </w:r>
      <w:r>
        <w:t>t/</w:t>
      </w:r>
      <w:r>
        <w:rPr>
          <w:rFonts w:hint="eastAsia"/>
        </w:rPr>
        <w:t>(</w:t>
      </w:r>
      <w:r>
        <w:t>hm</w:t>
      </w:r>
      <w:r>
        <w:rPr>
          <w:vertAlign w:val="superscript"/>
        </w:rPr>
        <w:t>2</w:t>
      </w:r>
      <w:r>
        <w:t>.a</w:t>
      </w:r>
      <w:r>
        <w:rPr>
          <w:rFonts w:hint="eastAsia"/>
        </w:rPr>
        <w:t>)，</w:t>
      </w:r>
      <w:r>
        <w:t>将</w:t>
      </w:r>
      <w:r>
        <w:rPr>
          <w:rFonts w:hint="eastAsia"/>
          <w:lang w:eastAsia="zh-CN"/>
        </w:rPr>
        <w:t>耕地</w:t>
      </w:r>
      <w:r>
        <w:t>生物量确定为标定生物量</w:t>
      </w:r>
      <w:r>
        <w:rPr>
          <w:rFonts w:hint="eastAsia"/>
        </w:rPr>
        <w:t>（1</w:t>
      </w:r>
      <w:r>
        <w:rPr>
          <w:rFonts w:hint="eastAsia"/>
          <w:lang w:val="en-US" w:eastAsia="zh-CN"/>
        </w:rPr>
        <w:t>0</w:t>
      </w:r>
      <w:r>
        <w:rPr>
          <w:rFonts w:hint="eastAsia"/>
        </w:rPr>
        <w:t>）</w:t>
      </w:r>
      <w:r>
        <w:t>，根据公式：Pa=Ba/Bmo得出，评价</w:t>
      </w:r>
      <w:r>
        <w:rPr>
          <w:rFonts w:hint="eastAsia"/>
        </w:rPr>
        <w:t>区</w:t>
      </w:r>
      <w:r>
        <w:t>土地利用</w:t>
      </w:r>
      <w:r>
        <w:rPr>
          <w:rFonts w:hint="eastAsia"/>
        </w:rPr>
        <w:t>恢复</w:t>
      </w:r>
      <w:r>
        <w:t>值为</w:t>
      </w:r>
      <w:r>
        <w:rPr>
          <w:rFonts w:hint="eastAsia"/>
        </w:rPr>
        <w:t>0.</w:t>
      </w:r>
      <w:r>
        <w:rPr>
          <w:rFonts w:hint="eastAsia"/>
          <w:lang w:val="en-US" w:eastAsia="zh-CN"/>
        </w:rPr>
        <w:t>764</w:t>
      </w:r>
      <w:r>
        <w:rPr>
          <w:rFonts w:hint="eastAsia"/>
        </w:rPr>
        <w:t>，</w:t>
      </w:r>
      <w:r>
        <w:rPr>
          <w:rFonts w:hint="eastAsia"/>
          <w:lang w:eastAsia="zh-CN"/>
        </w:rPr>
        <w:t>项目占地范围内</w:t>
      </w:r>
      <w:r>
        <w:rPr>
          <w:rFonts w:hint="eastAsia"/>
        </w:rPr>
        <w:t>土地利用恢复值为0.</w:t>
      </w:r>
      <w:r>
        <w:rPr>
          <w:rFonts w:hint="eastAsia"/>
          <w:lang w:val="en-US" w:eastAsia="zh-CN"/>
        </w:rPr>
        <w:t>983</w:t>
      </w:r>
      <w:r>
        <w:t>。</w:t>
      </w:r>
    </w:p>
    <w:p>
      <w:pPr>
        <w:spacing w:line="440" w:lineRule="exact"/>
        <w:ind w:firstLine="480" w:firstLineChars="200"/>
        <w:jc w:val="both"/>
        <w:rPr>
          <w:rFonts w:hint="eastAsia" w:eastAsia="宋体"/>
          <w:lang w:val="en-US" w:eastAsia="zh-CN"/>
        </w:rPr>
      </w:pPr>
      <w:r>
        <w:rPr>
          <w:rFonts w:hint="eastAsia"/>
        </w:rPr>
        <w:t>（2）植被覆盖恢复值</w:t>
      </w:r>
      <w:r>
        <w:rPr>
          <w:rFonts w:hint="eastAsia"/>
          <w:lang w:val="en-US" w:eastAsia="zh-CN"/>
        </w:rPr>
        <w:t xml:space="preserve"> </w:t>
      </w:r>
    </w:p>
    <w:p>
      <w:pPr>
        <w:spacing w:line="440" w:lineRule="exact"/>
        <w:ind w:firstLine="480" w:firstLineChars="200"/>
        <w:jc w:val="both"/>
      </w:pPr>
      <w:r>
        <w:rPr>
          <w:rFonts w:hint="eastAsia"/>
        </w:rPr>
        <w:t>恢复后评价区植被覆盖情况见表5.5-6。</w:t>
      </w:r>
    </w:p>
    <w:p>
      <w:pPr>
        <w:widowControl w:val="0"/>
        <w:spacing w:before="156" w:beforeLines="50"/>
        <w:jc w:val="center"/>
        <w:rPr>
          <w:rFonts w:eastAsia="黑体" w:cs="宋体"/>
          <w:bCs/>
          <w:kern w:val="2"/>
          <w:sz w:val="21"/>
        </w:rPr>
      </w:pPr>
      <w:r>
        <w:rPr>
          <w:rFonts w:eastAsia="黑体" w:cs="宋体"/>
          <w:bCs/>
          <w:kern w:val="2"/>
          <w:sz w:val="21"/>
        </w:rPr>
        <w:t>表</w:t>
      </w:r>
      <w:r>
        <w:rPr>
          <w:rFonts w:hint="eastAsia" w:eastAsia="黑体" w:cs="宋体"/>
          <w:bCs/>
          <w:kern w:val="2"/>
          <w:sz w:val="21"/>
        </w:rPr>
        <w:t>5.5-6   恢复后评价区植被覆盖情况</w:t>
      </w:r>
    </w:p>
    <w:tbl>
      <w:tblPr>
        <w:tblStyle w:val="8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2507"/>
        <w:gridCol w:w="2876"/>
        <w:gridCol w:w="2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Align w:val="center"/>
          </w:tcPr>
          <w:p>
            <w:pPr>
              <w:widowControl w:val="0"/>
              <w:adjustRightInd w:val="0"/>
              <w:snapToGrid w:val="0"/>
              <w:spacing w:line="300" w:lineRule="exact"/>
              <w:jc w:val="center"/>
              <w:rPr>
                <w:kern w:val="2"/>
                <w:sz w:val="21"/>
                <w:szCs w:val="20"/>
              </w:rPr>
            </w:pPr>
            <w:r>
              <w:rPr>
                <w:kern w:val="2"/>
                <w:sz w:val="21"/>
                <w:szCs w:val="20"/>
              </w:rPr>
              <w:t>场地</w:t>
            </w:r>
          </w:p>
        </w:tc>
        <w:tc>
          <w:tcPr>
            <w:tcW w:w="1367" w:type="pct"/>
            <w:vAlign w:val="center"/>
          </w:tcPr>
          <w:p>
            <w:pPr>
              <w:widowControl w:val="0"/>
              <w:adjustRightInd w:val="0"/>
              <w:snapToGrid w:val="0"/>
              <w:spacing w:line="300" w:lineRule="exact"/>
              <w:jc w:val="center"/>
              <w:rPr>
                <w:kern w:val="2"/>
                <w:sz w:val="21"/>
                <w:szCs w:val="20"/>
              </w:rPr>
            </w:pPr>
            <w:r>
              <w:rPr>
                <w:kern w:val="2"/>
                <w:sz w:val="21"/>
                <w:szCs w:val="20"/>
              </w:rPr>
              <w:t>土地</w:t>
            </w:r>
            <w:r>
              <w:rPr>
                <w:rFonts w:hint="eastAsia"/>
                <w:kern w:val="2"/>
                <w:sz w:val="21"/>
                <w:szCs w:val="20"/>
              </w:rPr>
              <w:t>利用</w:t>
            </w:r>
            <w:r>
              <w:rPr>
                <w:kern w:val="2"/>
                <w:sz w:val="21"/>
                <w:szCs w:val="20"/>
              </w:rPr>
              <w:t>类型</w:t>
            </w:r>
          </w:p>
        </w:tc>
        <w:tc>
          <w:tcPr>
            <w:tcW w:w="1568" w:type="pct"/>
            <w:vAlign w:val="center"/>
          </w:tcPr>
          <w:p>
            <w:pPr>
              <w:widowControl w:val="0"/>
              <w:adjustRightInd w:val="0"/>
              <w:snapToGrid w:val="0"/>
              <w:spacing w:line="300" w:lineRule="exact"/>
              <w:jc w:val="center"/>
              <w:rPr>
                <w:kern w:val="2"/>
                <w:sz w:val="21"/>
                <w:szCs w:val="20"/>
              </w:rPr>
            </w:pPr>
            <w:r>
              <w:rPr>
                <w:rFonts w:hint="eastAsia"/>
                <w:kern w:val="2"/>
                <w:sz w:val="21"/>
                <w:szCs w:val="20"/>
              </w:rPr>
              <w:t>恢复后</w:t>
            </w:r>
            <w:r>
              <w:rPr>
                <w:kern w:val="2"/>
                <w:sz w:val="21"/>
                <w:szCs w:val="20"/>
              </w:rPr>
              <w:t>面积(hm</w:t>
            </w:r>
            <w:r>
              <w:rPr>
                <w:kern w:val="2"/>
                <w:sz w:val="21"/>
                <w:szCs w:val="20"/>
                <w:vertAlign w:val="superscript"/>
              </w:rPr>
              <w:t>2</w:t>
            </w:r>
            <w:r>
              <w:rPr>
                <w:kern w:val="2"/>
                <w:sz w:val="21"/>
                <w:szCs w:val="20"/>
              </w:rPr>
              <w:t>)</w:t>
            </w:r>
          </w:p>
        </w:tc>
        <w:tc>
          <w:tcPr>
            <w:tcW w:w="1388" w:type="pct"/>
            <w:vAlign w:val="center"/>
          </w:tcPr>
          <w:p>
            <w:pPr>
              <w:widowControl w:val="0"/>
              <w:adjustRightInd w:val="0"/>
              <w:snapToGrid w:val="0"/>
              <w:spacing w:line="300" w:lineRule="exact"/>
              <w:jc w:val="center"/>
              <w:rPr>
                <w:kern w:val="2"/>
                <w:sz w:val="21"/>
                <w:szCs w:val="20"/>
              </w:rPr>
            </w:pPr>
            <w:r>
              <w:rPr>
                <w:kern w:val="2"/>
                <w:sz w:val="21"/>
                <w:szCs w:val="20"/>
              </w:rPr>
              <w:t>植被覆盖率</w:t>
            </w:r>
            <w:r>
              <w:rPr>
                <w:rFonts w:hint="eastAsia"/>
                <w:kern w:val="2"/>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restart"/>
            <w:vAlign w:val="center"/>
          </w:tcPr>
          <w:p>
            <w:pPr>
              <w:widowControl w:val="0"/>
              <w:adjustRightInd w:val="0"/>
              <w:snapToGrid w:val="0"/>
              <w:spacing w:line="300" w:lineRule="exact"/>
              <w:jc w:val="center"/>
              <w:rPr>
                <w:kern w:val="2"/>
                <w:sz w:val="21"/>
                <w:szCs w:val="20"/>
              </w:rPr>
            </w:pPr>
            <w:r>
              <w:rPr>
                <w:rFonts w:hint="eastAsia"/>
                <w:kern w:val="2"/>
                <w:sz w:val="21"/>
                <w:szCs w:val="20"/>
              </w:rPr>
              <w:t>评价范围</w:t>
            </w:r>
          </w:p>
        </w:tc>
        <w:tc>
          <w:tcPr>
            <w:tcW w:w="1367" w:type="pct"/>
            <w:vAlign w:val="center"/>
          </w:tcPr>
          <w:p>
            <w:pPr>
              <w:adjustRightInd w:val="0"/>
              <w:snapToGrid w:val="0"/>
              <w:jc w:val="center"/>
              <w:rPr>
                <w:kern w:val="2"/>
                <w:sz w:val="21"/>
                <w:szCs w:val="20"/>
              </w:rPr>
            </w:pPr>
            <w:r>
              <w:rPr>
                <w:rFonts w:hint="eastAsia"/>
                <w:sz w:val="21"/>
                <w:szCs w:val="20"/>
              </w:rPr>
              <w:t>农田植被</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27.68</w:t>
            </w:r>
          </w:p>
        </w:tc>
        <w:tc>
          <w:tcPr>
            <w:tcW w:w="138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continue"/>
            <w:vAlign w:val="center"/>
          </w:tcPr>
          <w:p>
            <w:pPr>
              <w:widowControl w:val="0"/>
              <w:adjustRightInd w:val="0"/>
              <w:snapToGrid w:val="0"/>
              <w:spacing w:line="300" w:lineRule="exact"/>
              <w:jc w:val="center"/>
              <w:rPr>
                <w:kern w:val="2"/>
                <w:sz w:val="21"/>
                <w:szCs w:val="20"/>
              </w:rPr>
            </w:pPr>
          </w:p>
        </w:tc>
        <w:tc>
          <w:tcPr>
            <w:tcW w:w="1367" w:type="pct"/>
            <w:vAlign w:val="center"/>
          </w:tcPr>
          <w:p>
            <w:pPr>
              <w:adjustRightInd w:val="0"/>
              <w:snapToGrid w:val="0"/>
              <w:jc w:val="center"/>
              <w:rPr>
                <w:sz w:val="21"/>
                <w:szCs w:val="20"/>
              </w:rPr>
            </w:pPr>
            <w:r>
              <w:rPr>
                <w:rFonts w:hint="eastAsia"/>
                <w:sz w:val="21"/>
                <w:szCs w:val="20"/>
              </w:rPr>
              <w:t>无植被区域</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8.53</w:t>
            </w:r>
          </w:p>
        </w:tc>
        <w:tc>
          <w:tcPr>
            <w:tcW w:w="1388" w:type="pct"/>
            <w:vAlign w:val="center"/>
          </w:tcPr>
          <w:p>
            <w:pPr>
              <w:widowControl w:val="0"/>
              <w:adjustRightInd w:val="0"/>
              <w:snapToGrid w:val="0"/>
              <w:spacing w:line="300" w:lineRule="exact"/>
              <w:jc w:val="center"/>
              <w:rPr>
                <w:rFonts w:hint="eastAsia" w:eastAsia="宋体"/>
                <w:kern w:val="2"/>
                <w:sz w:val="21"/>
                <w:szCs w:val="20"/>
                <w:lang w:val="en-US" w:eastAsia="zh-CN"/>
              </w:rPr>
            </w:pPr>
            <w:r>
              <w:rPr>
                <w:rFonts w:hint="eastAsia"/>
                <w:kern w:val="2"/>
                <w:sz w:val="21"/>
                <w:szCs w:val="2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continue"/>
            <w:vAlign w:val="center"/>
          </w:tcPr>
          <w:p>
            <w:pPr>
              <w:widowControl w:val="0"/>
              <w:adjustRightInd w:val="0"/>
              <w:snapToGrid w:val="0"/>
              <w:spacing w:line="300" w:lineRule="exact"/>
              <w:jc w:val="center"/>
              <w:rPr>
                <w:kern w:val="2"/>
                <w:sz w:val="21"/>
                <w:szCs w:val="20"/>
              </w:rPr>
            </w:pPr>
          </w:p>
        </w:tc>
        <w:tc>
          <w:tcPr>
            <w:tcW w:w="1367" w:type="pct"/>
            <w:vAlign w:val="center"/>
          </w:tcPr>
          <w:p>
            <w:pPr>
              <w:widowControl w:val="0"/>
              <w:adjustRightInd w:val="0"/>
              <w:snapToGrid w:val="0"/>
              <w:spacing w:line="300" w:lineRule="exact"/>
              <w:jc w:val="center"/>
              <w:rPr>
                <w:kern w:val="2"/>
                <w:sz w:val="21"/>
                <w:szCs w:val="20"/>
              </w:rPr>
            </w:pPr>
            <w:r>
              <w:rPr>
                <w:kern w:val="2"/>
                <w:sz w:val="21"/>
                <w:szCs w:val="20"/>
              </w:rPr>
              <w:t>总计</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36.21</w:t>
            </w:r>
          </w:p>
        </w:tc>
        <w:tc>
          <w:tcPr>
            <w:tcW w:w="138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28.38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restart"/>
            <w:vAlign w:val="center"/>
          </w:tcPr>
          <w:p>
            <w:pPr>
              <w:widowControl w:val="0"/>
              <w:adjustRightInd w:val="0"/>
              <w:snapToGrid w:val="0"/>
              <w:spacing w:line="300" w:lineRule="exact"/>
              <w:jc w:val="center"/>
              <w:rPr>
                <w:kern w:val="2"/>
                <w:sz w:val="21"/>
                <w:szCs w:val="20"/>
              </w:rPr>
            </w:pPr>
            <w:r>
              <w:rPr>
                <w:rFonts w:hint="eastAsia"/>
                <w:kern w:val="2"/>
                <w:sz w:val="21"/>
                <w:szCs w:val="20"/>
              </w:rPr>
              <w:t>项目占地</w:t>
            </w:r>
          </w:p>
        </w:tc>
        <w:tc>
          <w:tcPr>
            <w:tcW w:w="1367" w:type="pct"/>
            <w:vAlign w:val="center"/>
          </w:tcPr>
          <w:p>
            <w:pPr>
              <w:adjustRightInd w:val="0"/>
              <w:snapToGrid w:val="0"/>
              <w:jc w:val="center"/>
              <w:rPr>
                <w:kern w:val="2"/>
                <w:sz w:val="21"/>
                <w:szCs w:val="20"/>
              </w:rPr>
            </w:pPr>
            <w:r>
              <w:rPr>
                <w:rFonts w:hint="eastAsia"/>
                <w:sz w:val="21"/>
                <w:szCs w:val="20"/>
              </w:rPr>
              <w:t>农田植被</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5.11</w:t>
            </w:r>
          </w:p>
        </w:tc>
        <w:tc>
          <w:tcPr>
            <w:tcW w:w="1388" w:type="pct"/>
            <w:vAlign w:val="center"/>
          </w:tcPr>
          <w:p>
            <w:pPr>
              <w:widowControl w:val="0"/>
              <w:adjustRightInd w:val="0"/>
              <w:snapToGrid w:val="0"/>
              <w:spacing w:line="300" w:lineRule="exact"/>
              <w:jc w:val="center"/>
              <w:rPr>
                <w:kern w:val="2"/>
                <w:sz w:val="21"/>
                <w:szCs w:val="20"/>
              </w:rPr>
            </w:pPr>
            <w:r>
              <w:rPr>
                <w:rFonts w:hint="eastAsia"/>
                <w:kern w:val="2"/>
                <w:sz w:val="21"/>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continue"/>
            <w:vAlign w:val="center"/>
          </w:tcPr>
          <w:p>
            <w:pPr>
              <w:widowControl w:val="0"/>
              <w:adjustRightInd w:val="0"/>
              <w:snapToGrid w:val="0"/>
              <w:spacing w:line="300" w:lineRule="exact"/>
              <w:jc w:val="center"/>
              <w:rPr>
                <w:kern w:val="2"/>
                <w:sz w:val="21"/>
                <w:szCs w:val="20"/>
              </w:rPr>
            </w:pPr>
          </w:p>
        </w:tc>
        <w:tc>
          <w:tcPr>
            <w:tcW w:w="1367" w:type="pct"/>
            <w:vAlign w:val="center"/>
          </w:tcPr>
          <w:p>
            <w:pPr>
              <w:adjustRightInd w:val="0"/>
              <w:snapToGrid w:val="0"/>
              <w:jc w:val="center"/>
              <w:rPr>
                <w:kern w:val="2"/>
                <w:sz w:val="21"/>
                <w:szCs w:val="20"/>
              </w:rPr>
            </w:pPr>
            <w:r>
              <w:rPr>
                <w:rFonts w:hint="eastAsia"/>
                <w:sz w:val="21"/>
                <w:szCs w:val="20"/>
              </w:rPr>
              <w:t>无植被区域</w:t>
            </w:r>
          </w:p>
        </w:tc>
        <w:tc>
          <w:tcPr>
            <w:tcW w:w="1568" w:type="pct"/>
            <w:vAlign w:val="center"/>
          </w:tcPr>
          <w:p>
            <w:pPr>
              <w:widowControl w:val="0"/>
              <w:adjustRightInd w:val="0"/>
              <w:snapToGrid w:val="0"/>
              <w:spacing w:line="300" w:lineRule="exact"/>
              <w:jc w:val="center"/>
              <w:rPr>
                <w:rFonts w:hint="eastAsia" w:eastAsia="宋体"/>
                <w:kern w:val="2"/>
                <w:sz w:val="21"/>
                <w:szCs w:val="20"/>
                <w:lang w:val="en-US" w:eastAsia="zh-CN"/>
              </w:rPr>
            </w:pPr>
            <w:r>
              <w:rPr>
                <w:rFonts w:hint="eastAsia"/>
                <w:kern w:val="2"/>
                <w:sz w:val="21"/>
                <w:szCs w:val="20"/>
              </w:rPr>
              <w:t>0.0</w:t>
            </w:r>
            <w:r>
              <w:rPr>
                <w:rFonts w:hint="eastAsia"/>
                <w:kern w:val="2"/>
                <w:sz w:val="21"/>
                <w:szCs w:val="20"/>
                <w:lang w:val="en-US" w:eastAsia="zh-CN"/>
              </w:rPr>
              <w:t>9</w:t>
            </w:r>
          </w:p>
        </w:tc>
        <w:tc>
          <w:tcPr>
            <w:tcW w:w="1388" w:type="pct"/>
            <w:vAlign w:val="center"/>
          </w:tcPr>
          <w:p>
            <w:pPr>
              <w:widowControl w:val="0"/>
              <w:adjustRightInd w:val="0"/>
              <w:snapToGrid w:val="0"/>
              <w:spacing w:line="300" w:lineRule="exact"/>
              <w:jc w:val="center"/>
              <w:rPr>
                <w:kern w:val="2"/>
                <w:sz w:val="21"/>
                <w:szCs w:val="20"/>
              </w:rPr>
            </w:pPr>
            <w:r>
              <w:rPr>
                <w:rFonts w:hint="eastAsia"/>
                <w:kern w:val="2"/>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pct"/>
            <w:vMerge w:val="continue"/>
            <w:vAlign w:val="center"/>
          </w:tcPr>
          <w:p>
            <w:pPr>
              <w:widowControl w:val="0"/>
              <w:adjustRightInd w:val="0"/>
              <w:snapToGrid w:val="0"/>
              <w:spacing w:line="300" w:lineRule="exact"/>
              <w:jc w:val="center"/>
              <w:rPr>
                <w:kern w:val="2"/>
                <w:sz w:val="21"/>
                <w:szCs w:val="20"/>
              </w:rPr>
            </w:pPr>
          </w:p>
        </w:tc>
        <w:tc>
          <w:tcPr>
            <w:tcW w:w="1367" w:type="pct"/>
            <w:vAlign w:val="center"/>
          </w:tcPr>
          <w:p>
            <w:pPr>
              <w:widowControl w:val="0"/>
              <w:adjustRightInd w:val="0"/>
              <w:snapToGrid w:val="0"/>
              <w:spacing w:line="300" w:lineRule="exact"/>
              <w:jc w:val="center"/>
              <w:rPr>
                <w:kern w:val="2"/>
                <w:sz w:val="21"/>
                <w:szCs w:val="20"/>
              </w:rPr>
            </w:pPr>
            <w:r>
              <w:rPr>
                <w:kern w:val="2"/>
                <w:sz w:val="21"/>
                <w:szCs w:val="20"/>
              </w:rPr>
              <w:t>总计</w:t>
            </w:r>
          </w:p>
        </w:tc>
        <w:tc>
          <w:tcPr>
            <w:tcW w:w="156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rPr>
              <w:t>5.</w:t>
            </w:r>
            <w:r>
              <w:rPr>
                <w:rFonts w:hint="eastAsia"/>
                <w:kern w:val="2"/>
                <w:sz w:val="21"/>
                <w:szCs w:val="20"/>
                <w:lang w:val="en-US" w:eastAsia="zh-CN"/>
              </w:rPr>
              <w:t>20</w:t>
            </w:r>
          </w:p>
        </w:tc>
        <w:tc>
          <w:tcPr>
            <w:tcW w:w="1388"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29.48</w:t>
            </w:r>
          </w:p>
        </w:tc>
      </w:tr>
    </w:tbl>
    <w:p>
      <w:pPr>
        <w:spacing w:line="440" w:lineRule="exact"/>
        <w:ind w:firstLine="480" w:firstLineChars="200"/>
        <w:jc w:val="both"/>
      </w:pPr>
      <w:r>
        <w:rPr>
          <w:rFonts w:hint="eastAsia"/>
        </w:rPr>
        <w:t>经过计算，恢复后评价区植被覆盖率为2</w:t>
      </w:r>
      <w:r>
        <w:rPr>
          <w:rFonts w:hint="eastAsia"/>
          <w:lang w:val="en-US" w:eastAsia="zh-CN"/>
        </w:rPr>
        <w:t>2.93</w:t>
      </w:r>
      <w:r>
        <w:rPr>
          <w:rFonts w:hint="eastAsia"/>
        </w:rPr>
        <w:t>%，</w:t>
      </w:r>
      <w:r>
        <w:rPr>
          <w:rFonts w:hint="eastAsia"/>
          <w:lang w:eastAsia="zh-CN"/>
        </w:rPr>
        <w:t>项目占地范围内</w:t>
      </w:r>
      <w:r>
        <w:rPr>
          <w:rFonts w:hint="eastAsia"/>
        </w:rPr>
        <w:t>植被覆盖率为</w:t>
      </w:r>
      <w:r>
        <w:rPr>
          <w:rFonts w:hint="eastAsia"/>
          <w:lang w:val="en-US" w:eastAsia="zh-CN"/>
        </w:rPr>
        <w:t>29.48</w:t>
      </w:r>
      <w:r>
        <w:rPr>
          <w:rFonts w:hint="eastAsia"/>
        </w:rPr>
        <w:t>%，设定</w:t>
      </w:r>
      <w:r>
        <w:rPr>
          <w:rFonts w:hint="eastAsia"/>
          <w:lang w:eastAsia="zh-CN"/>
        </w:rPr>
        <w:t>耕地</w:t>
      </w:r>
      <w:r>
        <w:rPr>
          <w:rFonts w:hint="eastAsia"/>
        </w:rPr>
        <w:t>植被覆盖率作为标定植被覆盖率（</w:t>
      </w:r>
      <w:r>
        <w:rPr>
          <w:rFonts w:hint="eastAsia"/>
          <w:lang w:val="en-US" w:eastAsia="zh-CN"/>
        </w:rPr>
        <w:t>30</w:t>
      </w:r>
      <w:r>
        <w:rPr>
          <w:rFonts w:hint="eastAsia"/>
        </w:rPr>
        <w:t>%），</w:t>
      </w:r>
      <w:r>
        <w:t>则</w:t>
      </w:r>
      <w:r>
        <w:rPr>
          <w:rFonts w:hint="eastAsia"/>
        </w:rPr>
        <w:t>评价区植被覆盖恢复值为0.</w:t>
      </w:r>
      <w:r>
        <w:rPr>
          <w:rFonts w:hint="eastAsia"/>
          <w:lang w:val="en-US" w:eastAsia="zh-CN"/>
        </w:rPr>
        <w:t>764</w:t>
      </w:r>
      <w:r>
        <w:rPr>
          <w:rFonts w:hint="eastAsia"/>
        </w:rPr>
        <w:t>，</w:t>
      </w:r>
      <w:r>
        <w:rPr>
          <w:rFonts w:hint="eastAsia"/>
          <w:lang w:eastAsia="zh-CN"/>
        </w:rPr>
        <w:t>项目占地范围内</w:t>
      </w:r>
      <w:r>
        <w:rPr>
          <w:rFonts w:hint="eastAsia"/>
        </w:rPr>
        <w:t>植被覆盖恢复值为0.</w:t>
      </w:r>
      <w:r>
        <w:rPr>
          <w:rFonts w:hint="eastAsia"/>
          <w:lang w:val="en-US" w:eastAsia="zh-CN"/>
        </w:rPr>
        <w:t>983</w:t>
      </w:r>
      <w:r>
        <w:rPr>
          <w:rFonts w:hint="eastAsia"/>
        </w:rPr>
        <w:t>。</w:t>
      </w:r>
    </w:p>
    <w:p>
      <w:pPr>
        <w:spacing w:line="440" w:lineRule="exact"/>
        <w:ind w:firstLine="480" w:firstLineChars="200"/>
        <w:jc w:val="both"/>
      </w:pPr>
      <w:r>
        <w:rPr>
          <w:rFonts w:hint="eastAsia"/>
        </w:rPr>
        <w:t>（3）水土流失恢复值</w:t>
      </w:r>
    </w:p>
    <w:p>
      <w:pPr>
        <w:spacing w:line="440" w:lineRule="exact"/>
        <w:ind w:firstLine="480" w:firstLineChars="200"/>
        <w:jc w:val="both"/>
        <w:rPr>
          <w:szCs w:val="21"/>
        </w:rPr>
      </w:pPr>
      <w:r>
        <w:rPr>
          <w:rFonts w:hint="eastAsia"/>
          <w:szCs w:val="21"/>
        </w:rPr>
        <w:t>恢复后评价区土壤侵蚀情况见表5.5-7</w:t>
      </w:r>
    </w:p>
    <w:p>
      <w:pPr>
        <w:widowControl w:val="0"/>
        <w:spacing w:before="156" w:beforeLines="50"/>
        <w:jc w:val="center"/>
        <w:rPr>
          <w:rFonts w:eastAsia="黑体" w:cs="宋体"/>
          <w:bCs/>
          <w:kern w:val="2"/>
          <w:sz w:val="21"/>
        </w:rPr>
      </w:pPr>
      <w:r>
        <w:rPr>
          <w:rFonts w:eastAsia="黑体" w:cs="宋体"/>
          <w:bCs/>
          <w:kern w:val="2"/>
          <w:sz w:val="21"/>
        </w:rPr>
        <w:t>表</w:t>
      </w:r>
      <w:r>
        <w:rPr>
          <w:rFonts w:hint="eastAsia" w:eastAsia="黑体" w:cs="宋体"/>
          <w:bCs/>
          <w:kern w:val="2"/>
          <w:sz w:val="21"/>
        </w:rPr>
        <w:t>5.5-7   恢复后评价区土壤侵蚀情况</w:t>
      </w:r>
    </w:p>
    <w:tbl>
      <w:tblPr>
        <w:tblStyle w:val="8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1662"/>
        <w:gridCol w:w="2251"/>
        <w:gridCol w:w="1992"/>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pct"/>
            <w:vAlign w:val="center"/>
          </w:tcPr>
          <w:p>
            <w:pPr>
              <w:widowControl w:val="0"/>
              <w:adjustRightInd w:val="0"/>
              <w:snapToGrid w:val="0"/>
              <w:spacing w:line="300" w:lineRule="exact"/>
              <w:jc w:val="center"/>
              <w:rPr>
                <w:kern w:val="2"/>
                <w:sz w:val="21"/>
                <w:szCs w:val="20"/>
              </w:rPr>
            </w:pPr>
            <w:r>
              <w:rPr>
                <w:kern w:val="2"/>
                <w:sz w:val="21"/>
                <w:szCs w:val="20"/>
              </w:rPr>
              <w:t>场地</w:t>
            </w:r>
          </w:p>
        </w:tc>
        <w:tc>
          <w:tcPr>
            <w:tcW w:w="906" w:type="pct"/>
            <w:vAlign w:val="center"/>
          </w:tcPr>
          <w:p>
            <w:pPr>
              <w:widowControl w:val="0"/>
              <w:adjustRightInd w:val="0"/>
              <w:snapToGrid w:val="0"/>
              <w:spacing w:line="300" w:lineRule="exact"/>
              <w:jc w:val="center"/>
              <w:rPr>
                <w:kern w:val="2"/>
                <w:sz w:val="21"/>
                <w:szCs w:val="20"/>
              </w:rPr>
            </w:pPr>
            <w:r>
              <w:rPr>
                <w:kern w:val="2"/>
                <w:sz w:val="21"/>
                <w:szCs w:val="20"/>
              </w:rPr>
              <w:t>土地</w:t>
            </w:r>
            <w:r>
              <w:rPr>
                <w:rFonts w:hint="eastAsia"/>
                <w:kern w:val="2"/>
                <w:sz w:val="21"/>
                <w:szCs w:val="20"/>
              </w:rPr>
              <w:t>利用</w:t>
            </w:r>
            <w:r>
              <w:rPr>
                <w:kern w:val="2"/>
                <w:sz w:val="21"/>
                <w:szCs w:val="20"/>
              </w:rPr>
              <w:t>类型</w:t>
            </w:r>
          </w:p>
        </w:tc>
        <w:tc>
          <w:tcPr>
            <w:tcW w:w="1227" w:type="pct"/>
            <w:vAlign w:val="center"/>
          </w:tcPr>
          <w:p>
            <w:pPr>
              <w:widowControl w:val="0"/>
              <w:adjustRightInd w:val="0"/>
              <w:snapToGrid w:val="0"/>
              <w:spacing w:line="300" w:lineRule="exact"/>
              <w:jc w:val="center"/>
              <w:rPr>
                <w:kern w:val="2"/>
                <w:sz w:val="21"/>
                <w:szCs w:val="20"/>
              </w:rPr>
            </w:pPr>
            <w:r>
              <w:rPr>
                <w:rFonts w:hint="eastAsia"/>
                <w:kern w:val="2"/>
                <w:sz w:val="21"/>
                <w:szCs w:val="20"/>
              </w:rPr>
              <w:t>恢复后</w:t>
            </w:r>
            <w:r>
              <w:rPr>
                <w:kern w:val="2"/>
                <w:sz w:val="21"/>
                <w:szCs w:val="20"/>
              </w:rPr>
              <w:t>面积(</w:t>
            </w:r>
            <w:r>
              <w:rPr>
                <w:rFonts w:hint="eastAsia"/>
                <w:kern w:val="2"/>
                <w:sz w:val="21"/>
                <w:szCs w:val="20"/>
              </w:rPr>
              <w:t>k</w:t>
            </w:r>
            <w:r>
              <w:rPr>
                <w:kern w:val="2"/>
                <w:sz w:val="21"/>
                <w:szCs w:val="20"/>
              </w:rPr>
              <w:t>m</w:t>
            </w:r>
            <w:r>
              <w:rPr>
                <w:kern w:val="2"/>
                <w:sz w:val="21"/>
                <w:szCs w:val="20"/>
                <w:vertAlign w:val="superscript"/>
              </w:rPr>
              <w:t>2</w:t>
            </w:r>
            <w:r>
              <w:rPr>
                <w:kern w:val="2"/>
                <w:sz w:val="21"/>
                <w:szCs w:val="20"/>
              </w:rPr>
              <w:t>)</w:t>
            </w:r>
          </w:p>
        </w:tc>
        <w:tc>
          <w:tcPr>
            <w:tcW w:w="1086" w:type="pct"/>
            <w:vAlign w:val="center"/>
          </w:tcPr>
          <w:p>
            <w:pPr>
              <w:widowControl w:val="0"/>
              <w:adjustRightInd w:val="0"/>
              <w:snapToGrid w:val="0"/>
              <w:spacing w:line="300" w:lineRule="exact"/>
              <w:jc w:val="center"/>
              <w:rPr>
                <w:kern w:val="2"/>
                <w:sz w:val="21"/>
                <w:szCs w:val="20"/>
              </w:rPr>
            </w:pPr>
            <w:r>
              <w:rPr>
                <w:rFonts w:hint="eastAsia"/>
                <w:kern w:val="2"/>
                <w:sz w:val="21"/>
                <w:szCs w:val="20"/>
              </w:rPr>
              <w:t>侵蚀模数（t/km</w:t>
            </w:r>
            <w:r>
              <w:rPr>
                <w:rFonts w:hint="eastAsia"/>
                <w:kern w:val="2"/>
                <w:sz w:val="21"/>
                <w:szCs w:val="20"/>
                <w:vertAlign w:val="superscript"/>
              </w:rPr>
              <w:t>2</w:t>
            </w:r>
            <w:r>
              <w:rPr>
                <w:rFonts w:hint="eastAsia"/>
                <w:kern w:val="2"/>
                <w:sz w:val="21"/>
                <w:szCs w:val="20"/>
              </w:rPr>
              <w:t>·a）</w:t>
            </w:r>
          </w:p>
        </w:tc>
        <w:tc>
          <w:tcPr>
            <w:tcW w:w="1087" w:type="pct"/>
            <w:vAlign w:val="center"/>
          </w:tcPr>
          <w:p>
            <w:pPr>
              <w:widowControl w:val="0"/>
              <w:adjustRightInd w:val="0"/>
              <w:snapToGrid w:val="0"/>
              <w:spacing w:line="300" w:lineRule="exact"/>
              <w:jc w:val="center"/>
              <w:rPr>
                <w:kern w:val="2"/>
                <w:sz w:val="21"/>
                <w:szCs w:val="20"/>
              </w:rPr>
            </w:pPr>
            <w:r>
              <w:rPr>
                <w:rFonts w:hint="eastAsia"/>
                <w:kern w:val="2"/>
                <w:sz w:val="21"/>
                <w:szCs w:val="20"/>
              </w:rPr>
              <w:t>侵蚀量（t/a）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pct"/>
            <w:vMerge w:val="restart"/>
            <w:vAlign w:val="center"/>
          </w:tcPr>
          <w:p>
            <w:pPr>
              <w:widowControl w:val="0"/>
              <w:adjustRightInd w:val="0"/>
              <w:snapToGrid w:val="0"/>
              <w:spacing w:line="300" w:lineRule="exact"/>
              <w:jc w:val="center"/>
              <w:rPr>
                <w:kern w:val="2"/>
                <w:sz w:val="21"/>
                <w:szCs w:val="20"/>
              </w:rPr>
            </w:pPr>
            <w:r>
              <w:rPr>
                <w:rFonts w:hint="eastAsia"/>
                <w:kern w:val="2"/>
                <w:sz w:val="21"/>
                <w:szCs w:val="20"/>
              </w:rPr>
              <w:t>评价范围</w:t>
            </w:r>
          </w:p>
        </w:tc>
        <w:tc>
          <w:tcPr>
            <w:tcW w:w="906" w:type="pct"/>
            <w:vAlign w:val="center"/>
          </w:tcPr>
          <w:p>
            <w:pPr>
              <w:pStyle w:val="362"/>
              <w:spacing w:before="0" w:beforeLines="0" w:line="240" w:lineRule="atLeast"/>
              <w:rPr>
                <w:rFonts w:hint="eastAsia" w:eastAsia="宋体"/>
                <w:kern w:val="2"/>
                <w:sz w:val="21"/>
                <w:szCs w:val="20"/>
                <w:lang w:val="en-US" w:eastAsia="zh-CN"/>
              </w:rPr>
            </w:pPr>
            <w:r>
              <w:rPr>
                <w:rFonts w:hint="eastAsia" w:eastAsia="宋体"/>
                <w:kern w:val="2"/>
                <w:sz w:val="21"/>
                <w:szCs w:val="20"/>
                <w:lang w:val="en-US" w:eastAsia="zh-CN"/>
              </w:rPr>
              <w:t>微度侵蚀</w:t>
            </w:r>
          </w:p>
        </w:tc>
        <w:tc>
          <w:tcPr>
            <w:tcW w:w="122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0.0214</w:t>
            </w:r>
          </w:p>
        </w:tc>
        <w:tc>
          <w:tcPr>
            <w:tcW w:w="1086" w:type="pct"/>
            <w:vAlign w:val="center"/>
          </w:tcPr>
          <w:p>
            <w:pPr>
              <w:widowControl w:val="0"/>
              <w:adjustRightInd w:val="0"/>
              <w:snapToGrid w:val="0"/>
              <w:spacing w:line="300" w:lineRule="exact"/>
              <w:jc w:val="center"/>
              <w:rPr>
                <w:kern w:val="2"/>
                <w:sz w:val="21"/>
                <w:szCs w:val="20"/>
              </w:rPr>
            </w:pPr>
            <w:r>
              <w:rPr>
                <w:rFonts w:hint="eastAsia"/>
                <w:kern w:val="2"/>
                <w:sz w:val="21"/>
                <w:szCs w:val="20"/>
              </w:rPr>
              <w:t>500</w:t>
            </w:r>
          </w:p>
        </w:tc>
        <w:tc>
          <w:tcPr>
            <w:tcW w:w="108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pct"/>
            <w:vMerge w:val="continue"/>
            <w:vAlign w:val="center"/>
          </w:tcPr>
          <w:p>
            <w:pPr>
              <w:widowControl w:val="0"/>
              <w:adjustRightInd w:val="0"/>
              <w:snapToGrid w:val="0"/>
              <w:spacing w:line="300" w:lineRule="exact"/>
              <w:jc w:val="center"/>
              <w:rPr>
                <w:kern w:val="2"/>
                <w:sz w:val="21"/>
                <w:szCs w:val="20"/>
              </w:rPr>
            </w:pPr>
          </w:p>
        </w:tc>
        <w:tc>
          <w:tcPr>
            <w:tcW w:w="906" w:type="pct"/>
            <w:vAlign w:val="center"/>
          </w:tcPr>
          <w:p>
            <w:pPr>
              <w:widowControl w:val="0"/>
              <w:adjustRightInd w:val="0"/>
              <w:snapToGrid w:val="0"/>
              <w:spacing w:line="300" w:lineRule="exact"/>
              <w:jc w:val="center"/>
              <w:rPr>
                <w:kern w:val="2"/>
                <w:sz w:val="21"/>
                <w:szCs w:val="20"/>
              </w:rPr>
            </w:pPr>
            <w:r>
              <w:rPr>
                <w:rFonts w:hint="eastAsia"/>
                <w:kern w:val="2"/>
                <w:sz w:val="21"/>
                <w:szCs w:val="20"/>
              </w:rPr>
              <w:t>中度侵蚀</w:t>
            </w:r>
          </w:p>
        </w:tc>
        <w:tc>
          <w:tcPr>
            <w:tcW w:w="122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0.2768</w:t>
            </w:r>
          </w:p>
        </w:tc>
        <w:tc>
          <w:tcPr>
            <w:tcW w:w="1086" w:type="pct"/>
            <w:vAlign w:val="center"/>
          </w:tcPr>
          <w:p>
            <w:pPr>
              <w:widowControl w:val="0"/>
              <w:adjustRightInd w:val="0"/>
              <w:snapToGrid w:val="0"/>
              <w:spacing w:line="300" w:lineRule="exact"/>
              <w:jc w:val="center"/>
              <w:rPr>
                <w:kern w:val="2"/>
                <w:sz w:val="21"/>
                <w:szCs w:val="20"/>
              </w:rPr>
            </w:pPr>
            <w:r>
              <w:rPr>
                <w:rFonts w:hint="eastAsia"/>
                <w:kern w:val="2"/>
                <w:sz w:val="21"/>
                <w:szCs w:val="20"/>
              </w:rPr>
              <w:t>3500</w:t>
            </w:r>
          </w:p>
        </w:tc>
        <w:tc>
          <w:tcPr>
            <w:tcW w:w="108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968.8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pct"/>
            <w:vMerge w:val="continue"/>
            <w:vAlign w:val="center"/>
          </w:tcPr>
          <w:p>
            <w:pPr>
              <w:widowControl w:val="0"/>
              <w:adjustRightInd w:val="0"/>
              <w:snapToGrid w:val="0"/>
              <w:spacing w:line="300" w:lineRule="exact"/>
              <w:jc w:val="center"/>
              <w:rPr>
                <w:kern w:val="2"/>
                <w:sz w:val="21"/>
                <w:szCs w:val="20"/>
              </w:rPr>
            </w:pPr>
          </w:p>
        </w:tc>
        <w:tc>
          <w:tcPr>
            <w:tcW w:w="906" w:type="pct"/>
            <w:vAlign w:val="center"/>
          </w:tcPr>
          <w:p>
            <w:pPr>
              <w:widowControl w:val="0"/>
              <w:adjustRightInd w:val="0"/>
              <w:snapToGrid w:val="0"/>
              <w:spacing w:line="300" w:lineRule="exact"/>
              <w:jc w:val="center"/>
              <w:rPr>
                <w:kern w:val="2"/>
                <w:sz w:val="21"/>
                <w:szCs w:val="20"/>
              </w:rPr>
            </w:pPr>
            <w:r>
              <w:rPr>
                <w:rFonts w:hint="eastAsia"/>
                <w:kern w:val="2"/>
                <w:sz w:val="21"/>
                <w:szCs w:val="20"/>
              </w:rPr>
              <w:t>强烈侵蚀</w:t>
            </w:r>
          </w:p>
        </w:tc>
        <w:tc>
          <w:tcPr>
            <w:tcW w:w="122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0.0639</w:t>
            </w:r>
          </w:p>
        </w:tc>
        <w:tc>
          <w:tcPr>
            <w:tcW w:w="1086" w:type="pct"/>
            <w:vAlign w:val="center"/>
          </w:tcPr>
          <w:p>
            <w:pPr>
              <w:widowControl w:val="0"/>
              <w:adjustRightInd w:val="0"/>
              <w:snapToGrid w:val="0"/>
              <w:spacing w:line="300" w:lineRule="exact"/>
              <w:jc w:val="center"/>
              <w:rPr>
                <w:kern w:val="2"/>
                <w:sz w:val="21"/>
                <w:szCs w:val="20"/>
              </w:rPr>
            </w:pPr>
            <w:r>
              <w:rPr>
                <w:rFonts w:hint="eastAsia"/>
                <w:kern w:val="2"/>
                <w:sz w:val="21"/>
                <w:szCs w:val="20"/>
              </w:rPr>
              <w:t>6500</w:t>
            </w:r>
          </w:p>
        </w:tc>
        <w:tc>
          <w:tcPr>
            <w:tcW w:w="108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415.35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pct"/>
            <w:vMerge w:val="continue"/>
            <w:vAlign w:val="center"/>
          </w:tcPr>
          <w:p>
            <w:pPr>
              <w:widowControl w:val="0"/>
              <w:adjustRightInd w:val="0"/>
              <w:snapToGrid w:val="0"/>
              <w:spacing w:line="300" w:lineRule="exact"/>
              <w:jc w:val="center"/>
              <w:rPr>
                <w:kern w:val="2"/>
                <w:sz w:val="21"/>
                <w:szCs w:val="20"/>
              </w:rPr>
            </w:pPr>
          </w:p>
        </w:tc>
        <w:tc>
          <w:tcPr>
            <w:tcW w:w="906" w:type="pct"/>
            <w:vAlign w:val="center"/>
          </w:tcPr>
          <w:p>
            <w:pPr>
              <w:widowControl w:val="0"/>
              <w:adjustRightInd w:val="0"/>
              <w:snapToGrid w:val="0"/>
              <w:spacing w:line="300" w:lineRule="exact"/>
              <w:jc w:val="center"/>
              <w:rPr>
                <w:kern w:val="2"/>
                <w:sz w:val="21"/>
                <w:szCs w:val="20"/>
              </w:rPr>
            </w:pPr>
            <w:r>
              <w:rPr>
                <w:rFonts w:hint="eastAsia"/>
                <w:kern w:val="2"/>
                <w:sz w:val="21"/>
                <w:szCs w:val="20"/>
              </w:rPr>
              <w:t>合计</w:t>
            </w:r>
          </w:p>
        </w:tc>
        <w:tc>
          <w:tcPr>
            <w:tcW w:w="122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0.3621</w:t>
            </w:r>
          </w:p>
        </w:tc>
        <w:tc>
          <w:tcPr>
            <w:tcW w:w="1086"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3852.11</w:t>
            </w:r>
          </w:p>
        </w:tc>
        <w:tc>
          <w:tcPr>
            <w:tcW w:w="108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1394.85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pct"/>
            <w:vMerge w:val="restart"/>
            <w:vAlign w:val="center"/>
          </w:tcPr>
          <w:p>
            <w:pPr>
              <w:widowControl w:val="0"/>
              <w:adjustRightInd w:val="0"/>
              <w:snapToGrid w:val="0"/>
              <w:spacing w:line="300" w:lineRule="exact"/>
              <w:jc w:val="center"/>
              <w:rPr>
                <w:kern w:val="2"/>
                <w:sz w:val="21"/>
                <w:szCs w:val="20"/>
              </w:rPr>
            </w:pPr>
            <w:r>
              <w:rPr>
                <w:rFonts w:hint="eastAsia"/>
                <w:kern w:val="2"/>
                <w:sz w:val="21"/>
                <w:szCs w:val="20"/>
              </w:rPr>
              <w:t>项目占地</w:t>
            </w:r>
          </w:p>
        </w:tc>
        <w:tc>
          <w:tcPr>
            <w:tcW w:w="906" w:type="pct"/>
            <w:vAlign w:val="center"/>
          </w:tcPr>
          <w:p>
            <w:pPr>
              <w:widowControl w:val="0"/>
              <w:adjustRightInd w:val="0"/>
              <w:snapToGrid w:val="0"/>
              <w:spacing w:line="300" w:lineRule="exact"/>
              <w:jc w:val="center"/>
              <w:rPr>
                <w:rFonts w:hint="eastAsia" w:eastAsia="宋体"/>
                <w:kern w:val="2"/>
                <w:sz w:val="21"/>
                <w:szCs w:val="20"/>
                <w:lang w:eastAsia="zh-CN"/>
              </w:rPr>
            </w:pPr>
            <w:r>
              <w:rPr>
                <w:rFonts w:hint="eastAsia"/>
                <w:kern w:val="2"/>
                <w:sz w:val="21"/>
                <w:szCs w:val="20"/>
                <w:lang w:eastAsia="zh-CN"/>
              </w:rPr>
              <w:t>微度侵蚀</w:t>
            </w:r>
          </w:p>
        </w:tc>
        <w:tc>
          <w:tcPr>
            <w:tcW w:w="122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0.0009</w:t>
            </w:r>
          </w:p>
        </w:tc>
        <w:tc>
          <w:tcPr>
            <w:tcW w:w="1086" w:type="pct"/>
            <w:vAlign w:val="center"/>
          </w:tcPr>
          <w:p>
            <w:pPr>
              <w:widowControl w:val="0"/>
              <w:adjustRightInd w:val="0"/>
              <w:snapToGrid w:val="0"/>
              <w:spacing w:line="300" w:lineRule="exact"/>
              <w:jc w:val="center"/>
              <w:rPr>
                <w:kern w:val="2"/>
                <w:sz w:val="21"/>
                <w:szCs w:val="20"/>
              </w:rPr>
            </w:pPr>
            <w:r>
              <w:rPr>
                <w:rFonts w:hint="eastAsia"/>
                <w:kern w:val="2"/>
                <w:sz w:val="21"/>
                <w:szCs w:val="20"/>
              </w:rPr>
              <w:t>500</w:t>
            </w:r>
          </w:p>
        </w:tc>
        <w:tc>
          <w:tcPr>
            <w:tcW w:w="108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pct"/>
            <w:vMerge w:val="continue"/>
            <w:vAlign w:val="center"/>
          </w:tcPr>
          <w:p>
            <w:pPr>
              <w:widowControl w:val="0"/>
              <w:adjustRightInd w:val="0"/>
              <w:snapToGrid w:val="0"/>
              <w:spacing w:line="300" w:lineRule="exact"/>
              <w:jc w:val="center"/>
              <w:rPr>
                <w:rFonts w:hint="eastAsia"/>
                <w:kern w:val="2"/>
                <w:sz w:val="21"/>
                <w:szCs w:val="20"/>
              </w:rPr>
            </w:pPr>
          </w:p>
        </w:tc>
        <w:tc>
          <w:tcPr>
            <w:tcW w:w="906" w:type="pct"/>
            <w:vAlign w:val="center"/>
          </w:tcPr>
          <w:p>
            <w:pPr>
              <w:widowControl w:val="0"/>
              <w:adjustRightInd w:val="0"/>
              <w:snapToGrid w:val="0"/>
              <w:spacing w:line="300" w:lineRule="exact"/>
              <w:jc w:val="center"/>
              <w:rPr>
                <w:rFonts w:hint="eastAsia" w:eastAsia="宋体"/>
                <w:kern w:val="2"/>
                <w:sz w:val="21"/>
                <w:szCs w:val="20"/>
                <w:lang w:eastAsia="zh-CN"/>
              </w:rPr>
            </w:pPr>
            <w:r>
              <w:rPr>
                <w:rFonts w:hint="eastAsia"/>
                <w:kern w:val="2"/>
                <w:sz w:val="21"/>
                <w:szCs w:val="20"/>
                <w:lang w:eastAsia="zh-CN"/>
              </w:rPr>
              <w:t>中度侵蚀</w:t>
            </w:r>
          </w:p>
        </w:tc>
        <w:tc>
          <w:tcPr>
            <w:tcW w:w="122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0.0511</w:t>
            </w:r>
          </w:p>
        </w:tc>
        <w:tc>
          <w:tcPr>
            <w:tcW w:w="1086"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3500</w:t>
            </w:r>
          </w:p>
        </w:tc>
        <w:tc>
          <w:tcPr>
            <w:tcW w:w="108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178.85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pct"/>
            <w:vMerge w:val="continue"/>
            <w:vAlign w:val="center"/>
          </w:tcPr>
          <w:p>
            <w:pPr>
              <w:widowControl w:val="0"/>
              <w:adjustRightInd w:val="0"/>
              <w:snapToGrid w:val="0"/>
              <w:spacing w:line="300" w:lineRule="exact"/>
              <w:jc w:val="center"/>
              <w:rPr>
                <w:kern w:val="2"/>
                <w:sz w:val="21"/>
                <w:szCs w:val="20"/>
              </w:rPr>
            </w:pPr>
          </w:p>
        </w:tc>
        <w:tc>
          <w:tcPr>
            <w:tcW w:w="906" w:type="pct"/>
            <w:vAlign w:val="center"/>
          </w:tcPr>
          <w:p>
            <w:pPr>
              <w:widowControl w:val="0"/>
              <w:adjustRightInd w:val="0"/>
              <w:snapToGrid w:val="0"/>
              <w:spacing w:line="300" w:lineRule="exact"/>
              <w:jc w:val="center"/>
              <w:rPr>
                <w:kern w:val="2"/>
                <w:sz w:val="21"/>
                <w:szCs w:val="20"/>
              </w:rPr>
            </w:pPr>
            <w:r>
              <w:rPr>
                <w:rFonts w:hint="eastAsia"/>
                <w:kern w:val="2"/>
                <w:sz w:val="21"/>
                <w:szCs w:val="20"/>
              </w:rPr>
              <w:t>合计</w:t>
            </w:r>
          </w:p>
        </w:tc>
        <w:tc>
          <w:tcPr>
            <w:tcW w:w="122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0.0</w:t>
            </w:r>
            <w:r>
              <w:rPr>
                <w:rFonts w:hint="eastAsia"/>
                <w:kern w:val="2"/>
                <w:sz w:val="21"/>
                <w:szCs w:val="20"/>
              </w:rPr>
              <w:t>5</w:t>
            </w:r>
            <w:r>
              <w:rPr>
                <w:rFonts w:hint="eastAsia"/>
                <w:kern w:val="2"/>
                <w:sz w:val="21"/>
                <w:szCs w:val="20"/>
                <w:lang w:val="en-US" w:eastAsia="zh-CN"/>
              </w:rPr>
              <w:t>2</w:t>
            </w:r>
          </w:p>
        </w:tc>
        <w:tc>
          <w:tcPr>
            <w:tcW w:w="1086"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3448.08</w:t>
            </w:r>
          </w:p>
        </w:tc>
        <w:tc>
          <w:tcPr>
            <w:tcW w:w="1087" w:type="pct"/>
            <w:vAlign w:val="center"/>
          </w:tcPr>
          <w:p>
            <w:pPr>
              <w:widowControl w:val="0"/>
              <w:adjustRightInd w:val="0"/>
              <w:snapToGrid w:val="0"/>
              <w:spacing w:line="300" w:lineRule="exact"/>
              <w:jc w:val="center"/>
              <w:rPr>
                <w:rFonts w:hint="default" w:eastAsia="宋体"/>
                <w:kern w:val="2"/>
                <w:sz w:val="21"/>
                <w:szCs w:val="20"/>
                <w:lang w:val="en-US" w:eastAsia="zh-CN"/>
              </w:rPr>
            </w:pPr>
            <w:r>
              <w:rPr>
                <w:rFonts w:hint="eastAsia"/>
                <w:kern w:val="2"/>
                <w:sz w:val="21"/>
                <w:szCs w:val="20"/>
                <w:lang w:val="en-US" w:eastAsia="zh-CN"/>
              </w:rPr>
              <w:t>179.3</w:t>
            </w:r>
          </w:p>
        </w:tc>
      </w:tr>
    </w:tbl>
    <w:p>
      <w:pPr>
        <w:widowControl w:val="0"/>
        <w:adjustRightInd w:val="0"/>
        <w:snapToGrid w:val="0"/>
        <w:spacing w:line="440" w:lineRule="exact"/>
        <w:ind w:firstLine="480" w:firstLineChars="200"/>
        <w:jc w:val="both"/>
        <w:rPr>
          <w:rFonts w:hint="eastAsia"/>
        </w:rPr>
      </w:pPr>
      <w:r>
        <w:rPr>
          <w:rFonts w:hint="eastAsia"/>
        </w:rPr>
        <w:t>经过计算，恢复后评价区土壤侵蚀量</w:t>
      </w:r>
      <w:r>
        <w:t>为</w:t>
      </w:r>
      <w:r>
        <w:rPr>
          <w:rFonts w:hint="eastAsia"/>
          <w:lang w:val="en-US" w:eastAsia="zh-CN"/>
        </w:rPr>
        <w:t>1394.85</w:t>
      </w:r>
      <w:r>
        <w:t>t/a</w:t>
      </w:r>
      <w:r>
        <w:rPr>
          <w:rFonts w:hint="eastAsia"/>
        </w:rPr>
        <w:t>，</w:t>
      </w:r>
      <w:r>
        <w:t>侵蚀模数</w:t>
      </w:r>
      <w:r>
        <w:rPr>
          <w:rFonts w:hint="eastAsia"/>
        </w:rPr>
        <w:t>为3</w:t>
      </w:r>
      <w:r>
        <w:rPr>
          <w:rFonts w:hint="eastAsia"/>
          <w:lang w:val="en-US" w:eastAsia="zh-CN"/>
        </w:rPr>
        <w:t>852.11</w:t>
      </w:r>
      <w:r>
        <w:t>t/</w:t>
      </w:r>
      <w:r>
        <w:rPr>
          <w:rFonts w:hint="eastAsia"/>
        </w:rPr>
        <w:t>（</w:t>
      </w:r>
      <w:r>
        <w:t>km</w:t>
      </w:r>
      <w:r>
        <w:rPr>
          <w:vertAlign w:val="superscript"/>
        </w:rPr>
        <w:t>2</w:t>
      </w:r>
      <w:r>
        <w:t>.a</w:t>
      </w:r>
      <w:r>
        <w:rPr>
          <w:rFonts w:hint="eastAsia"/>
        </w:rPr>
        <w:t>）</w:t>
      </w:r>
      <w:r>
        <w:rPr>
          <w:rFonts w:hint="eastAsia"/>
          <w:lang w:eastAsia="zh-CN"/>
        </w:rPr>
        <w:t>；项目占地范围内</w:t>
      </w:r>
      <w:r>
        <w:rPr>
          <w:rFonts w:hint="eastAsia"/>
        </w:rPr>
        <w:t>土壤侵蚀量为</w:t>
      </w:r>
      <w:r>
        <w:rPr>
          <w:rFonts w:hint="eastAsia"/>
          <w:lang w:val="en-US" w:eastAsia="zh-CN"/>
        </w:rPr>
        <w:t>179.3</w:t>
      </w:r>
      <w:r>
        <w:t>t/a</w:t>
      </w:r>
      <w:r>
        <w:rPr>
          <w:rFonts w:hint="eastAsia"/>
          <w:lang w:eastAsia="zh-CN"/>
        </w:rPr>
        <w:t>，</w:t>
      </w:r>
      <w:r>
        <w:t>侵蚀模数</w:t>
      </w:r>
      <w:r>
        <w:rPr>
          <w:rFonts w:hint="eastAsia"/>
        </w:rPr>
        <w:t>为</w:t>
      </w:r>
      <w:r>
        <w:rPr>
          <w:rFonts w:hint="eastAsia"/>
          <w:lang w:val="en-US" w:eastAsia="zh-CN"/>
        </w:rPr>
        <w:t>3448.08</w:t>
      </w:r>
      <w:r>
        <w:t>t/</w:t>
      </w:r>
      <w:r>
        <w:rPr>
          <w:rFonts w:hint="eastAsia"/>
        </w:rPr>
        <w:t>（</w:t>
      </w:r>
      <w:r>
        <w:t>km</w:t>
      </w:r>
      <w:r>
        <w:rPr>
          <w:vertAlign w:val="superscript"/>
        </w:rPr>
        <w:t>2</w:t>
      </w:r>
      <w:r>
        <w:t>.a</w:t>
      </w:r>
      <w:r>
        <w:rPr>
          <w:rFonts w:hint="eastAsia"/>
        </w:rPr>
        <w:t>）。</w:t>
      </w:r>
    </w:p>
    <w:p>
      <w:pPr>
        <w:widowControl w:val="0"/>
        <w:adjustRightInd w:val="0"/>
        <w:snapToGrid w:val="0"/>
        <w:spacing w:line="440" w:lineRule="exact"/>
        <w:ind w:firstLine="480" w:firstLineChars="200"/>
        <w:jc w:val="both"/>
        <w:rPr>
          <w:snapToGrid w:val="0"/>
          <w:shd w:val="clear" w:color="auto" w:fill="FFFFFF"/>
        </w:rPr>
      </w:pPr>
      <w:r>
        <w:t>将本区强烈侵蚀模数</w:t>
      </w:r>
      <w:r>
        <w:rPr>
          <w:rFonts w:hint="eastAsia"/>
        </w:rPr>
        <w:t>6</w:t>
      </w:r>
      <w:r>
        <w:t>500t/</w:t>
      </w:r>
      <w:r>
        <w:rPr>
          <w:rFonts w:hint="eastAsia"/>
        </w:rPr>
        <w:t>(</w:t>
      </w:r>
      <w:r>
        <w:t>km</w:t>
      </w:r>
      <w:r>
        <w:rPr>
          <w:vertAlign w:val="superscript"/>
        </w:rPr>
        <w:t>2</w:t>
      </w:r>
      <w:r>
        <w:t>·a</w:t>
      </w:r>
      <w:r>
        <w:rPr>
          <w:rFonts w:hint="eastAsia"/>
        </w:rPr>
        <w:t>)</w:t>
      </w:r>
      <w:r>
        <w:t>作为标定侵蚀模数</w:t>
      </w:r>
      <w:r>
        <w:rPr>
          <w:rFonts w:hint="eastAsia"/>
        </w:rPr>
        <w:t>，</w:t>
      </w:r>
      <w:r>
        <w:t>根据公式：Pb=(Bbo-Bb)/Bbo得出</w:t>
      </w:r>
      <w:r>
        <w:rPr>
          <w:rFonts w:hint="eastAsia"/>
        </w:rPr>
        <w:t>，恢复后评价区</w:t>
      </w:r>
      <w:r>
        <w:t>水土流失</w:t>
      </w:r>
      <w:r>
        <w:rPr>
          <w:rFonts w:hint="eastAsia"/>
        </w:rPr>
        <w:t>恢复</w:t>
      </w:r>
      <w:r>
        <w:t>值为0.</w:t>
      </w:r>
      <w:r>
        <w:rPr>
          <w:rFonts w:hint="eastAsia"/>
        </w:rPr>
        <w:t>4</w:t>
      </w:r>
      <w:r>
        <w:rPr>
          <w:rFonts w:hint="eastAsia"/>
          <w:lang w:val="en-US" w:eastAsia="zh-CN"/>
        </w:rPr>
        <w:t>07</w:t>
      </w:r>
      <w:r>
        <w:rPr>
          <w:rFonts w:hint="eastAsia"/>
        </w:rPr>
        <w:t>，</w:t>
      </w:r>
      <w:r>
        <w:rPr>
          <w:rFonts w:hint="eastAsia"/>
          <w:lang w:eastAsia="zh-CN"/>
        </w:rPr>
        <w:t>项目占地范围内</w:t>
      </w:r>
      <w:r>
        <w:rPr>
          <w:rFonts w:hint="eastAsia"/>
        </w:rPr>
        <w:t>水土流失恢复值为0.</w:t>
      </w:r>
      <w:r>
        <w:rPr>
          <w:rFonts w:hint="eastAsia"/>
          <w:lang w:val="en-US" w:eastAsia="zh-CN"/>
        </w:rPr>
        <w:t>470</w:t>
      </w:r>
      <w:r>
        <w:rPr>
          <w:rFonts w:hint="eastAsia"/>
        </w:rPr>
        <w:t>。</w:t>
      </w:r>
    </w:p>
    <w:p>
      <w:pPr>
        <w:spacing w:line="440" w:lineRule="exact"/>
        <w:ind w:firstLine="480" w:firstLineChars="200"/>
        <w:jc w:val="both"/>
      </w:pPr>
      <w:r>
        <w:rPr>
          <w:rFonts w:hint="eastAsia"/>
        </w:rPr>
        <w:t>（4）各评价因子恢复综合值</w:t>
      </w:r>
    </w:p>
    <w:p>
      <w:pPr>
        <w:spacing w:line="440" w:lineRule="exact"/>
        <w:ind w:firstLine="480" w:firstLineChars="200"/>
        <w:jc w:val="both"/>
      </w:pPr>
      <w:r>
        <w:t>综合上述计算结果</w:t>
      </w:r>
      <w:r>
        <w:rPr>
          <w:rFonts w:hint="eastAsia"/>
        </w:rPr>
        <w:t>，</w:t>
      </w:r>
      <w:r>
        <w:t>本项目评价区所有评价因子恢复综合值见表5</w:t>
      </w:r>
      <w:r>
        <w:rPr>
          <w:rFonts w:hint="eastAsia"/>
        </w:rPr>
        <w:t>.5-8。</w:t>
      </w:r>
    </w:p>
    <w:p>
      <w:pPr>
        <w:pStyle w:val="362"/>
        <w:spacing w:before="156"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5.5-8</w:t>
      </w:r>
      <w:r>
        <w:rPr>
          <w:rFonts w:hint="eastAsia" w:ascii="黑体" w:hAnsi="黑体" w:eastAsia="黑体" w:cs="黑体"/>
          <w:sz w:val="21"/>
          <w:szCs w:val="21"/>
        </w:rPr>
        <w:t xml:space="preserve">  评价区生态因子恢复综合值</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1831"/>
        <w:gridCol w:w="1886"/>
        <w:gridCol w:w="3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30" w:type="pct"/>
            <w:vAlign w:val="center"/>
          </w:tcPr>
          <w:p>
            <w:pPr>
              <w:pStyle w:val="363"/>
              <w:rPr>
                <w:rFonts w:eastAsia="宋体"/>
              </w:rPr>
            </w:pPr>
            <w:bookmarkStart w:id="297" w:name="_Hlk520376086"/>
            <w:r>
              <w:rPr>
                <w:rFonts w:hint="eastAsia" w:eastAsia="宋体"/>
              </w:rPr>
              <w:t>场地</w:t>
            </w:r>
          </w:p>
        </w:tc>
        <w:tc>
          <w:tcPr>
            <w:tcW w:w="998" w:type="pct"/>
            <w:vAlign w:val="center"/>
          </w:tcPr>
          <w:p>
            <w:pPr>
              <w:pStyle w:val="363"/>
              <w:rPr>
                <w:rFonts w:eastAsia="宋体"/>
              </w:rPr>
            </w:pPr>
            <w:r>
              <w:rPr>
                <w:rFonts w:eastAsia="宋体"/>
              </w:rPr>
              <w:t>因子</w:t>
            </w:r>
          </w:p>
        </w:tc>
        <w:tc>
          <w:tcPr>
            <w:tcW w:w="1028" w:type="pct"/>
            <w:vAlign w:val="center"/>
          </w:tcPr>
          <w:p>
            <w:pPr>
              <w:pStyle w:val="363"/>
              <w:rPr>
                <w:rFonts w:eastAsia="宋体"/>
              </w:rPr>
            </w:pPr>
            <w:r>
              <w:rPr>
                <w:rFonts w:hint="eastAsia" w:eastAsia="宋体"/>
              </w:rPr>
              <w:t>恢复</w:t>
            </w:r>
            <w:r>
              <w:rPr>
                <w:rFonts w:eastAsia="宋体"/>
              </w:rPr>
              <w:t>值</w:t>
            </w:r>
          </w:p>
        </w:tc>
        <w:tc>
          <w:tcPr>
            <w:tcW w:w="1942" w:type="pct"/>
            <w:vAlign w:val="center"/>
          </w:tcPr>
          <w:p>
            <w:pPr>
              <w:pStyle w:val="363"/>
              <w:rPr>
                <w:rFonts w:eastAsia="宋体"/>
              </w:rPr>
            </w:pPr>
            <w:r>
              <w:rPr>
                <w:rFonts w:eastAsia="宋体"/>
              </w:rPr>
              <w:t>综合值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30" w:type="pct"/>
            <w:vMerge w:val="restart"/>
            <w:vAlign w:val="center"/>
          </w:tcPr>
          <w:p>
            <w:pPr>
              <w:pStyle w:val="363"/>
              <w:rPr>
                <w:rFonts w:eastAsia="宋体"/>
              </w:rPr>
            </w:pPr>
            <w:r>
              <w:rPr>
                <w:rFonts w:hint="eastAsia" w:eastAsia="宋体"/>
              </w:rPr>
              <w:t>评价范围</w:t>
            </w:r>
          </w:p>
        </w:tc>
        <w:tc>
          <w:tcPr>
            <w:tcW w:w="998" w:type="pct"/>
            <w:vAlign w:val="center"/>
          </w:tcPr>
          <w:p>
            <w:pPr>
              <w:pStyle w:val="363"/>
              <w:rPr>
                <w:rFonts w:eastAsia="宋体"/>
              </w:rPr>
            </w:pPr>
            <w:r>
              <w:rPr>
                <w:rFonts w:eastAsia="宋体"/>
              </w:rPr>
              <w:t>土地利用</w:t>
            </w:r>
          </w:p>
        </w:tc>
        <w:tc>
          <w:tcPr>
            <w:tcW w:w="1028" w:type="pct"/>
            <w:vAlign w:val="center"/>
          </w:tcPr>
          <w:p>
            <w:pPr>
              <w:pStyle w:val="363"/>
              <w:rPr>
                <w:rFonts w:hint="default" w:eastAsia="宋体"/>
                <w:lang w:val="en-US" w:eastAsia="zh-CN"/>
              </w:rPr>
            </w:pPr>
            <w:r>
              <w:rPr>
                <w:rFonts w:hint="eastAsia" w:eastAsia="宋体"/>
                <w:lang w:val="en-US" w:eastAsia="zh-CN"/>
              </w:rPr>
              <w:t>0.764</w:t>
            </w:r>
          </w:p>
        </w:tc>
        <w:tc>
          <w:tcPr>
            <w:tcW w:w="1942" w:type="pct"/>
            <w:vMerge w:val="restart"/>
            <w:vAlign w:val="center"/>
          </w:tcPr>
          <w:p>
            <w:pPr>
              <w:pStyle w:val="363"/>
              <w:rPr>
                <w:rFonts w:hint="default" w:eastAsia="宋体"/>
                <w:lang w:val="en-US" w:eastAsia="zh-CN"/>
              </w:rPr>
            </w:pPr>
            <w:r>
              <w:rPr>
                <w:rFonts w:hint="eastAsia" w:eastAsia="宋体"/>
                <w:lang w:val="en-US" w:eastAsia="zh-CN"/>
              </w:rPr>
              <w:t>1.935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30" w:type="pct"/>
            <w:vMerge w:val="continue"/>
            <w:vAlign w:val="center"/>
          </w:tcPr>
          <w:p>
            <w:pPr>
              <w:pStyle w:val="363"/>
              <w:rPr>
                <w:rFonts w:eastAsia="宋体"/>
              </w:rPr>
            </w:pPr>
          </w:p>
        </w:tc>
        <w:tc>
          <w:tcPr>
            <w:tcW w:w="998" w:type="pct"/>
            <w:vAlign w:val="center"/>
          </w:tcPr>
          <w:p>
            <w:pPr>
              <w:pStyle w:val="363"/>
              <w:rPr>
                <w:rFonts w:eastAsia="宋体"/>
              </w:rPr>
            </w:pPr>
            <w:r>
              <w:rPr>
                <w:rFonts w:eastAsia="宋体"/>
              </w:rPr>
              <w:t>植被覆盖</w:t>
            </w:r>
          </w:p>
        </w:tc>
        <w:tc>
          <w:tcPr>
            <w:tcW w:w="1028" w:type="pct"/>
            <w:vAlign w:val="center"/>
          </w:tcPr>
          <w:p>
            <w:pPr>
              <w:pStyle w:val="363"/>
              <w:rPr>
                <w:rFonts w:hint="default" w:eastAsia="宋体"/>
                <w:lang w:val="en-US" w:eastAsia="zh-CN"/>
              </w:rPr>
            </w:pPr>
            <w:r>
              <w:rPr>
                <w:rFonts w:hint="eastAsia" w:eastAsia="宋体"/>
                <w:lang w:val="en-US" w:eastAsia="zh-CN"/>
              </w:rPr>
              <w:t>0.764</w:t>
            </w:r>
          </w:p>
        </w:tc>
        <w:tc>
          <w:tcPr>
            <w:tcW w:w="1942" w:type="pct"/>
            <w:vMerge w:val="continue"/>
            <w:vAlign w:val="center"/>
          </w:tcPr>
          <w:p>
            <w:pPr>
              <w:pStyle w:val="363"/>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30" w:type="pct"/>
            <w:vMerge w:val="continue"/>
            <w:vAlign w:val="center"/>
          </w:tcPr>
          <w:p>
            <w:pPr>
              <w:pStyle w:val="363"/>
              <w:rPr>
                <w:rFonts w:eastAsia="宋体"/>
              </w:rPr>
            </w:pPr>
          </w:p>
        </w:tc>
        <w:tc>
          <w:tcPr>
            <w:tcW w:w="998" w:type="pct"/>
            <w:vAlign w:val="center"/>
          </w:tcPr>
          <w:p>
            <w:pPr>
              <w:pStyle w:val="363"/>
              <w:rPr>
                <w:rFonts w:eastAsia="宋体"/>
              </w:rPr>
            </w:pPr>
            <w:r>
              <w:rPr>
                <w:rFonts w:eastAsia="宋体"/>
              </w:rPr>
              <w:t>水土流失</w:t>
            </w:r>
          </w:p>
        </w:tc>
        <w:tc>
          <w:tcPr>
            <w:tcW w:w="1028" w:type="pct"/>
            <w:vAlign w:val="center"/>
          </w:tcPr>
          <w:p>
            <w:pPr>
              <w:pStyle w:val="363"/>
              <w:rPr>
                <w:rFonts w:hint="default" w:eastAsia="宋体"/>
                <w:lang w:val="en-US" w:eastAsia="zh-CN"/>
              </w:rPr>
            </w:pPr>
            <w:r>
              <w:rPr>
                <w:rFonts w:hint="eastAsia" w:eastAsia="宋体"/>
                <w:lang w:val="en-US" w:eastAsia="zh-CN"/>
              </w:rPr>
              <w:t>0.407</w:t>
            </w:r>
          </w:p>
        </w:tc>
        <w:tc>
          <w:tcPr>
            <w:tcW w:w="1942" w:type="pct"/>
            <w:vMerge w:val="continue"/>
            <w:vAlign w:val="center"/>
          </w:tcPr>
          <w:p>
            <w:pPr>
              <w:pStyle w:val="363"/>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30" w:type="pct"/>
            <w:vMerge w:val="restart"/>
            <w:vAlign w:val="center"/>
          </w:tcPr>
          <w:p>
            <w:pPr>
              <w:pStyle w:val="363"/>
              <w:rPr>
                <w:rFonts w:eastAsia="宋体"/>
              </w:rPr>
            </w:pPr>
            <w:r>
              <w:rPr>
                <w:rFonts w:hint="eastAsia" w:eastAsia="宋体"/>
              </w:rPr>
              <w:t>项目占地</w:t>
            </w:r>
          </w:p>
        </w:tc>
        <w:tc>
          <w:tcPr>
            <w:tcW w:w="998" w:type="pct"/>
            <w:vAlign w:val="center"/>
          </w:tcPr>
          <w:p>
            <w:pPr>
              <w:pStyle w:val="363"/>
              <w:rPr>
                <w:rFonts w:eastAsia="宋体"/>
              </w:rPr>
            </w:pPr>
            <w:r>
              <w:rPr>
                <w:rFonts w:eastAsia="宋体"/>
              </w:rPr>
              <w:t>土地利用</w:t>
            </w:r>
          </w:p>
        </w:tc>
        <w:tc>
          <w:tcPr>
            <w:tcW w:w="1028" w:type="pct"/>
            <w:vAlign w:val="center"/>
          </w:tcPr>
          <w:p>
            <w:pPr>
              <w:pStyle w:val="363"/>
              <w:rPr>
                <w:rFonts w:hint="default" w:eastAsia="宋体"/>
                <w:lang w:val="en-US" w:eastAsia="zh-CN"/>
              </w:rPr>
            </w:pPr>
            <w:r>
              <w:rPr>
                <w:rFonts w:hint="eastAsia" w:eastAsia="宋体"/>
                <w:lang w:val="en-US" w:eastAsia="zh-CN"/>
              </w:rPr>
              <w:t>0.983</w:t>
            </w:r>
          </w:p>
        </w:tc>
        <w:tc>
          <w:tcPr>
            <w:tcW w:w="1942" w:type="pct"/>
            <w:vMerge w:val="restart"/>
            <w:vAlign w:val="center"/>
          </w:tcPr>
          <w:p>
            <w:pPr>
              <w:pStyle w:val="363"/>
              <w:rPr>
                <w:rFonts w:hint="default" w:eastAsia="宋体"/>
                <w:lang w:val="en-US" w:eastAsia="zh-CN"/>
              </w:rPr>
            </w:pPr>
            <w:r>
              <w:rPr>
                <w:rFonts w:hint="eastAsia" w:eastAsia="宋体"/>
                <w:lang w:val="en-US" w:eastAsia="zh-CN"/>
              </w:rPr>
              <w:t>2.436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30" w:type="pct"/>
            <w:vMerge w:val="continue"/>
            <w:vAlign w:val="center"/>
          </w:tcPr>
          <w:p>
            <w:pPr>
              <w:pStyle w:val="363"/>
              <w:rPr>
                <w:rFonts w:eastAsia="宋体"/>
              </w:rPr>
            </w:pPr>
          </w:p>
        </w:tc>
        <w:tc>
          <w:tcPr>
            <w:tcW w:w="998" w:type="pct"/>
            <w:vAlign w:val="center"/>
          </w:tcPr>
          <w:p>
            <w:pPr>
              <w:pStyle w:val="363"/>
              <w:rPr>
                <w:rFonts w:eastAsia="宋体"/>
              </w:rPr>
            </w:pPr>
            <w:r>
              <w:rPr>
                <w:rFonts w:eastAsia="宋体"/>
              </w:rPr>
              <w:t>植被覆盖</w:t>
            </w:r>
          </w:p>
        </w:tc>
        <w:tc>
          <w:tcPr>
            <w:tcW w:w="1028" w:type="pct"/>
            <w:vAlign w:val="center"/>
          </w:tcPr>
          <w:p>
            <w:pPr>
              <w:pStyle w:val="363"/>
              <w:rPr>
                <w:rFonts w:hint="default" w:eastAsia="宋体"/>
                <w:lang w:val="en-US" w:eastAsia="zh-CN"/>
              </w:rPr>
            </w:pPr>
            <w:r>
              <w:rPr>
                <w:rFonts w:hint="eastAsia" w:eastAsia="宋体"/>
                <w:lang w:val="en-US" w:eastAsia="zh-CN"/>
              </w:rPr>
              <w:t>0.983</w:t>
            </w:r>
          </w:p>
        </w:tc>
        <w:tc>
          <w:tcPr>
            <w:tcW w:w="1942" w:type="pct"/>
            <w:vMerge w:val="continue"/>
            <w:vAlign w:val="center"/>
          </w:tcPr>
          <w:p>
            <w:pPr>
              <w:pStyle w:val="363"/>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30" w:type="pct"/>
            <w:vMerge w:val="continue"/>
            <w:vAlign w:val="center"/>
          </w:tcPr>
          <w:p>
            <w:pPr>
              <w:pStyle w:val="363"/>
              <w:rPr>
                <w:rFonts w:eastAsia="宋体"/>
              </w:rPr>
            </w:pPr>
          </w:p>
        </w:tc>
        <w:tc>
          <w:tcPr>
            <w:tcW w:w="998" w:type="pct"/>
            <w:vAlign w:val="center"/>
          </w:tcPr>
          <w:p>
            <w:pPr>
              <w:pStyle w:val="363"/>
              <w:rPr>
                <w:rFonts w:eastAsia="宋体"/>
              </w:rPr>
            </w:pPr>
            <w:r>
              <w:rPr>
                <w:rFonts w:eastAsia="宋体"/>
              </w:rPr>
              <w:t>水土流失</w:t>
            </w:r>
          </w:p>
        </w:tc>
        <w:tc>
          <w:tcPr>
            <w:tcW w:w="1028" w:type="pct"/>
            <w:vAlign w:val="center"/>
          </w:tcPr>
          <w:p>
            <w:pPr>
              <w:pStyle w:val="363"/>
              <w:rPr>
                <w:rFonts w:hint="default" w:eastAsia="宋体"/>
                <w:lang w:val="en-US" w:eastAsia="zh-CN"/>
              </w:rPr>
            </w:pPr>
            <w:r>
              <w:rPr>
                <w:rFonts w:hint="eastAsia" w:eastAsia="宋体"/>
                <w:lang w:val="en-US" w:eastAsia="zh-CN"/>
              </w:rPr>
              <w:t>0.470</w:t>
            </w:r>
          </w:p>
        </w:tc>
        <w:tc>
          <w:tcPr>
            <w:tcW w:w="1942" w:type="pct"/>
            <w:vMerge w:val="continue"/>
            <w:vAlign w:val="center"/>
          </w:tcPr>
          <w:p>
            <w:pPr>
              <w:pStyle w:val="363"/>
              <w:rPr>
                <w:rFonts w:eastAsia="宋体"/>
              </w:rPr>
            </w:pPr>
          </w:p>
        </w:tc>
      </w:tr>
      <w:bookmarkEnd w:id="297"/>
    </w:tbl>
    <w:p>
      <w:pPr>
        <w:pStyle w:val="6"/>
        <w:adjustRightInd w:val="0"/>
        <w:snapToGrid w:val="0"/>
        <w:spacing w:before="312" w:beforeLines="100" w:line="360" w:lineRule="auto"/>
        <w:rPr>
          <w:rFonts w:eastAsia="宋体"/>
          <w:bCs w:val="0"/>
          <w:i w:val="0"/>
          <w:color w:val="auto"/>
          <w:sz w:val="24"/>
          <w:szCs w:val="24"/>
        </w:rPr>
      </w:pPr>
      <w:r>
        <w:rPr>
          <w:rFonts w:eastAsia="宋体"/>
          <w:bCs w:val="0"/>
          <w:i w:val="0"/>
          <w:color w:val="auto"/>
          <w:sz w:val="24"/>
          <w:szCs w:val="24"/>
        </w:rPr>
        <w:t>5.5.</w:t>
      </w:r>
      <w:r>
        <w:rPr>
          <w:rFonts w:hint="eastAsia" w:eastAsia="宋体"/>
          <w:bCs w:val="0"/>
          <w:i w:val="0"/>
          <w:color w:val="auto"/>
          <w:sz w:val="24"/>
          <w:szCs w:val="24"/>
        </w:rPr>
        <w:t>5</w:t>
      </w:r>
      <w:r>
        <w:rPr>
          <w:rFonts w:eastAsia="宋体"/>
          <w:bCs w:val="0"/>
          <w:i w:val="0"/>
          <w:color w:val="auto"/>
          <w:sz w:val="24"/>
          <w:szCs w:val="24"/>
        </w:rPr>
        <w:t xml:space="preserve"> </w:t>
      </w:r>
      <w:r>
        <w:rPr>
          <w:rFonts w:hint="eastAsia" w:eastAsia="宋体"/>
          <w:bCs w:val="0"/>
          <w:i w:val="0"/>
          <w:color w:val="auto"/>
          <w:sz w:val="24"/>
          <w:szCs w:val="24"/>
        </w:rPr>
        <w:t>评价因子现状值、预测值和恢复值对比</w:t>
      </w:r>
    </w:p>
    <w:p>
      <w:pPr>
        <w:spacing w:line="440" w:lineRule="exact"/>
        <w:ind w:firstLine="480" w:firstLineChars="200"/>
        <w:jc w:val="both"/>
      </w:pPr>
      <w:r>
        <w:rPr>
          <w:rFonts w:hint="eastAsia"/>
        </w:rPr>
        <w:t>按照“谁开发、谁保护，谁破坏、谁治理”的原则，生态恢复治理费用全部由建设单位承担。</w:t>
      </w:r>
    </w:p>
    <w:p>
      <w:pPr>
        <w:spacing w:line="440" w:lineRule="exact"/>
        <w:ind w:firstLine="480" w:firstLineChars="200"/>
        <w:jc w:val="both"/>
      </w:pPr>
      <w:r>
        <w:rPr>
          <w:rFonts w:hint="eastAsia"/>
        </w:rPr>
        <w:t>评价要求生态恢复治理工作，列入建设项目竣工环境保护措施验收内容，并与项目一同验收，生态恢复治理期限与施工期同步。</w:t>
      </w:r>
    </w:p>
    <w:p>
      <w:pPr>
        <w:spacing w:line="440" w:lineRule="exact"/>
        <w:ind w:firstLine="480" w:firstLineChars="200"/>
      </w:pPr>
      <w:r>
        <w:t>本项目评价区生态恢复前后综合值的变化情况见表5</w:t>
      </w:r>
      <w:r>
        <w:rPr>
          <w:rFonts w:hint="eastAsia"/>
        </w:rPr>
        <w:t>.5-9。</w:t>
      </w:r>
    </w:p>
    <w:p>
      <w:pPr>
        <w:adjustRightInd w:val="0"/>
        <w:snapToGrid w:val="0"/>
        <w:spacing w:before="156" w:beforeLines="50"/>
        <w:jc w:val="center"/>
        <w:rPr>
          <w:rFonts w:hint="eastAsia" w:ascii="黑体" w:hAnsi="黑体" w:eastAsia="黑体" w:cs="黑体"/>
          <w:bCs/>
          <w:snapToGrid w:val="0"/>
          <w:sz w:val="21"/>
          <w:szCs w:val="21"/>
          <w:shd w:val="clear" w:color="auto" w:fill="FFFFFF"/>
        </w:rPr>
      </w:pPr>
    </w:p>
    <w:p>
      <w:pPr>
        <w:adjustRightInd w:val="0"/>
        <w:snapToGrid w:val="0"/>
        <w:spacing w:before="156" w:beforeLines="50"/>
        <w:jc w:val="center"/>
        <w:rPr>
          <w:rFonts w:ascii="黑体" w:hAnsi="黑体" w:eastAsia="黑体" w:cs="黑体"/>
          <w:bCs/>
          <w:snapToGrid w:val="0"/>
          <w:sz w:val="21"/>
          <w:szCs w:val="21"/>
          <w:shd w:val="clear" w:color="auto" w:fill="FFFFFF"/>
        </w:rPr>
      </w:pPr>
      <w:r>
        <w:rPr>
          <w:rFonts w:hint="eastAsia" w:ascii="黑体" w:hAnsi="黑体" w:eastAsia="黑体" w:cs="黑体"/>
          <w:bCs/>
          <w:snapToGrid w:val="0"/>
          <w:sz w:val="21"/>
          <w:szCs w:val="21"/>
          <w:shd w:val="clear" w:color="auto" w:fill="FFFFFF"/>
        </w:rPr>
        <w:t>表</w:t>
      </w:r>
      <w:r>
        <w:rPr>
          <w:rFonts w:eastAsia="黑体"/>
          <w:bCs/>
          <w:snapToGrid w:val="0"/>
          <w:sz w:val="21"/>
          <w:szCs w:val="21"/>
          <w:shd w:val="clear" w:color="auto" w:fill="FFFFFF"/>
        </w:rPr>
        <w:t>5.5-9</w:t>
      </w:r>
      <w:r>
        <w:rPr>
          <w:rFonts w:hint="eastAsia" w:ascii="黑体" w:hAnsi="黑体" w:eastAsia="黑体" w:cs="黑体"/>
          <w:bCs/>
          <w:snapToGrid w:val="0"/>
          <w:sz w:val="21"/>
          <w:szCs w:val="21"/>
          <w:shd w:val="clear" w:color="auto" w:fill="FFFFFF"/>
        </w:rPr>
        <w:t xml:space="preserve"> 评价区生态因子现状、预测、恢复值比较</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1"/>
        <w:gridCol w:w="1806"/>
        <w:gridCol w:w="1898"/>
        <w:gridCol w:w="3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042" w:type="pct"/>
            <w:vAlign w:val="center"/>
          </w:tcPr>
          <w:p>
            <w:pPr>
              <w:adjustRightInd w:val="0"/>
              <w:snapToGrid w:val="0"/>
              <w:jc w:val="center"/>
              <w:rPr>
                <w:sz w:val="21"/>
                <w:szCs w:val="20"/>
              </w:rPr>
            </w:pPr>
            <w:r>
              <w:rPr>
                <w:rFonts w:hint="eastAsia"/>
                <w:sz w:val="21"/>
                <w:szCs w:val="20"/>
              </w:rPr>
              <w:t>场地</w:t>
            </w:r>
          </w:p>
        </w:tc>
        <w:tc>
          <w:tcPr>
            <w:tcW w:w="985" w:type="pct"/>
            <w:vAlign w:val="center"/>
          </w:tcPr>
          <w:p>
            <w:pPr>
              <w:adjustRightInd w:val="0"/>
              <w:snapToGrid w:val="0"/>
              <w:jc w:val="center"/>
              <w:rPr>
                <w:sz w:val="21"/>
                <w:szCs w:val="20"/>
              </w:rPr>
            </w:pPr>
            <w:r>
              <w:rPr>
                <w:sz w:val="21"/>
                <w:szCs w:val="20"/>
              </w:rPr>
              <w:t>现状</w:t>
            </w:r>
            <w:r>
              <w:rPr>
                <w:rFonts w:hint="eastAsia"/>
                <w:sz w:val="21"/>
                <w:szCs w:val="20"/>
              </w:rPr>
              <w:t>综合值</w:t>
            </w:r>
          </w:p>
        </w:tc>
        <w:tc>
          <w:tcPr>
            <w:tcW w:w="1035" w:type="pct"/>
            <w:vAlign w:val="center"/>
          </w:tcPr>
          <w:p>
            <w:pPr>
              <w:adjustRightInd w:val="0"/>
              <w:snapToGrid w:val="0"/>
              <w:jc w:val="center"/>
              <w:rPr>
                <w:sz w:val="21"/>
                <w:szCs w:val="20"/>
              </w:rPr>
            </w:pPr>
            <w:r>
              <w:rPr>
                <w:sz w:val="21"/>
                <w:szCs w:val="20"/>
              </w:rPr>
              <w:t>预测</w:t>
            </w:r>
            <w:r>
              <w:rPr>
                <w:rFonts w:hint="eastAsia"/>
                <w:sz w:val="21"/>
                <w:szCs w:val="20"/>
              </w:rPr>
              <w:t>综合值</w:t>
            </w:r>
          </w:p>
        </w:tc>
        <w:tc>
          <w:tcPr>
            <w:tcW w:w="1937" w:type="pct"/>
            <w:vAlign w:val="center"/>
          </w:tcPr>
          <w:p>
            <w:pPr>
              <w:adjustRightInd w:val="0"/>
              <w:snapToGrid w:val="0"/>
              <w:jc w:val="center"/>
              <w:rPr>
                <w:sz w:val="21"/>
                <w:szCs w:val="20"/>
              </w:rPr>
            </w:pPr>
            <w:r>
              <w:rPr>
                <w:sz w:val="21"/>
                <w:szCs w:val="20"/>
              </w:rPr>
              <w:t>恢复</w:t>
            </w:r>
            <w:r>
              <w:rPr>
                <w:rFonts w:hint="eastAsia"/>
                <w:sz w:val="21"/>
                <w:szCs w:val="20"/>
              </w:rPr>
              <w:t>综合值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42" w:type="pct"/>
            <w:vAlign w:val="center"/>
          </w:tcPr>
          <w:p>
            <w:pPr>
              <w:adjustRightInd w:val="0"/>
              <w:snapToGrid w:val="0"/>
              <w:jc w:val="center"/>
              <w:rPr>
                <w:sz w:val="21"/>
                <w:szCs w:val="20"/>
              </w:rPr>
            </w:pPr>
            <w:r>
              <w:rPr>
                <w:rFonts w:hint="eastAsia"/>
                <w:sz w:val="21"/>
                <w:szCs w:val="20"/>
              </w:rPr>
              <w:t>评价范围</w:t>
            </w:r>
          </w:p>
        </w:tc>
        <w:tc>
          <w:tcPr>
            <w:tcW w:w="985" w:type="pct"/>
            <w:vAlign w:val="center"/>
          </w:tcPr>
          <w:p>
            <w:pPr>
              <w:adjustRightInd w:val="0"/>
              <w:snapToGrid w:val="0"/>
              <w:jc w:val="center"/>
              <w:rPr>
                <w:rFonts w:hint="default" w:eastAsia="宋体"/>
                <w:sz w:val="21"/>
                <w:szCs w:val="20"/>
                <w:lang w:val="en-US" w:eastAsia="zh-CN"/>
              </w:rPr>
            </w:pPr>
            <w:r>
              <w:rPr>
                <w:rFonts w:hint="eastAsia"/>
                <w:sz w:val="21"/>
                <w:szCs w:val="20"/>
                <w:lang w:val="en-US" w:eastAsia="zh-CN"/>
              </w:rPr>
              <w:t>1.741</w:t>
            </w:r>
          </w:p>
        </w:tc>
        <w:tc>
          <w:tcPr>
            <w:tcW w:w="1035" w:type="pct"/>
            <w:vAlign w:val="center"/>
          </w:tcPr>
          <w:p>
            <w:pPr>
              <w:adjustRightInd w:val="0"/>
              <w:snapToGrid w:val="0"/>
              <w:jc w:val="center"/>
              <w:rPr>
                <w:rFonts w:hint="default" w:eastAsia="宋体"/>
                <w:sz w:val="21"/>
                <w:szCs w:val="20"/>
                <w:lang w:val="en-US" w:eastAsia="zh-CN"/>
              </w:rPr>
            </w:pPr>
            <w:r>
              <w:rPr>
                <w:rFonts w:hint="eastAsia"/>
                <w:sz w:val="21"/>
                <w:szCs w:val="20"/>
                <w:lang w:val="en-US" w:eastAsia="zh-CN"/>
              </w:rPr>
              <w:t>1.662</w:t>
            </w:r>
          </w:p>
        </w:tc>
        <w:tc>
          <w:tcPr>
            <w:tcW w:w="1937" w:type="pct"/>
            <w:vAlign w:val="center"/>
          </w:tcPr>
          <w:p>
            <w:pPr>
              <w:adjustRightInd w:val="0"/>
              <w:snapToGrid w:val="0"/>
              <w:jc w:val="center"/>
              <w:rPr>
                <w:rFonts w:hint="default" w:eastAsia="宋体"/>
                <w:sz w:val="21"/>
                <w:szCs w:val="20"/>
                <w:lang w:val="en-US" w:eastAsia="zh-CN"/>
              </w:rPr>
            </w:pPr>
            <w:r>
              <w:rPr>
                <w:rFonts w:hint="eastAsia"/>
                <w:sz w:val="21"/>
                <w:szCs w:val="20"/>
                <w:lang w:val="en-US" w:eastAsia="zh-CN"/>
              </w:rPr>
              <w:t>1.935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42" w:type="pct"/>
            <w:vAlign w:val="center"/>
          </w:tcPr>
          <w:p>
            <w:pPr>
              <w:adjustRightInd w:val="0"/>
              <w:snapToGrid w:val="0"/>
              <w:jc w:val="center"/>
              <w:rPr>
                <w:sz w:val="21"/>
                <w:szCs w:val="20"/>
              </w:rPr>
            </w:pPr>
            <w:r>
              <w:rPr>
                <w:rFonts w:hint="eastAsia"/>
                <w:sz w:val="21"/>
                <w:szCs w:val="20"/>
              </w:rPr>
              <w:t>项目占地</w:t>
            </w:r>
          </w:p>
        </w:tc>
        <w:tc>
          <w:tcPr>
            <w:tcW w:w="985" w:type="pct"/>
            <w:vAlign w:val="center"/>
          </w:tcPr>
          <w:p>
            <w:pPr>
              <w:adjustRightInd w:val="0"/>
              <w:snapToGrid w:val="0"/>
              <w:jc w:val="center"/>
              <w:rPr>
                <w:rFonts w:hint="default" w:eastAsia="宋体"/>
                <w:sz w:val="21"/>
                <w:szCs w:val="20"/>
                <w:lang w:val="en-US" w:eastAsia="zh-CN"/>
              </w:rPr>
            </w:pPr>
            <w:r>
              <w:rPr>
                <w:rFonts w:hint="eastAsia"/>
                <w:sz w:val="21"/>
                <w:szCs w:val="20"/>
                <w:lang w:val="en-US" w:eastAsia="zh-CN"/>
              </w:rPr>
              <w:t>1.082</w:t>
            </w:r>
          </w:p>
        </w:tc>
        <w:tc>
          <w:tcPr>
            <w:tcW w:w="1035" w:type="pct"/>
            <w:vAlign w:val="center"/>
          </w:tcPr>
          <w:p>
            <w:pPr>
              <w:adjustRightInd w:val="0"/>
              <w:snapToGrid w:val="0"/>
              <w:jc w:val="center"/>
              <w:rPr>
                <w:rFonts w:hint="default" w:eastAsia="宋体"/>
                <w:sz w:val="21"/>
                <w:szCs w:val="20"/>
                <w:lang w:val="en-US" w:eastAsia="zh-CN"/>
              </w:rPr>
            </w:pPr>
            <w:r>
              <w:rPr>
                <w:rFonts w:hint="eastAsia"/>
                <w:sz w:val="21"/>
                <w:szCs w:val="20"/>
                <w:lang w:val="en-US" w:eastAsia="zh-CN"/>
              </w:rPr>
              <w:t>0.518</w:t>
            </w:r>
          </w:p>
        </w:tc>
        <w:tc>
          <w:tcPr>
            <w:tcW w:w="1937" w:type="pct"/>
            <w:vAlign w:val="center"/>
          </w:tcPr>
          <w:p>
            <w:pPr>
              <w:adjustRightInd w:val="0"/>
              <w:snapToGrid w:val="0"/>
              <w:jc w:val="center"/>
              <w:rPr>
                <w:rFonts w:hint="default" w:eastAsia="宋体"/>
                <w:sz w:val="21"/>
                <w:szCs w:val="20"/>
                <w:lang w:val="en-US" w:eastAsia="zh-CN"/>
              </w:rPr>
            </w:pPr>
            <w:r>
              <w:rPr>
                <w:rFonts w:hint="eastAsia"/>
                <w:sz w:val="21"/>
                <w:szCs w:val="20"/>
                <w:lang w:val="en-US" w:eastAsia="zh-CN"/>
              </w:rPr>
              <w:t>2.436</w:t>
            </w:r>
          </w:p>
        </w:tc>
      </w:tr>
    </w:tbl>
    <w:p>
      <w:pPr>
        <w:spacing w:line="440" w:lineRule="exact"/>
        <w:ind w:firstLine="480" w:firstLineChars="200"/>
        <w:jc w:val="both"/>
      </w:pPr>
      <w:r>
        <w:t>由表</w:t>
      </w:r>
      <w:r>
        <w:rPr>
          <w:rFonts w:hint="eastAsia"/>
        </w:rPr>
        <w:t>5.5-9</w:t>
      </w:r>
      <w:r>
        <w:t>可以看出，</w:t>
      </w:r>
      <w:r>
        <w:rPr>
          <w:rFonts w:hint="eastAsia"/>
        </w:rPr>
        <w:t>评价范围和项目占地范围内预测综合值相比现状综合值有所降低，</w:t>
      </w:r>
      <w:r>
        <w:rPr>
          <w:rFonts w:hint="eastAsia"/>
          <w:lang w:eastAsia="zh-CN"/>
        </w:rPr>
        <w:t>项目占地范围内综合值下降幅度较大，说明本项目主要生态影响集中</w:t>
      </w:r>
      <w:r>
        <w:rPr>
          <w:rFonts w:hint="eastAsia"/>
        </w:rPr>
        <w:t>在项目占地范围内。</w:t>
      </w:r>
    </w:p>
    <w:p>
      <w:pPr>
        <w:spacing w:line="440" w:lineRule="exact"/>
        <w:ind w:firstLine="480" w:firstLineChars="200"/>
        <w:jc w:val="both"/>
      </w:pPr>
      <w:r>
        <w:rPr>
          <w:rFonts w:hint="eastAsia"/>
        </w:rPr>
        <w:t>采取各种措施对受影响区域进行生态恢复和治理后，评价范围和项目占地范围内恢复综合值相比现状综合值和预测综合值均有</w:t>
      </w:r>
      <w:r>
        <w:rPr>
          <w:rFonts w:hint="eastAsia"/>
          <w:lang w:eastAsia="zh-CN"/>
        </w:rPr>
        <w:t>较大</w:t>
      </w:r>
      <w:r>
        <w:rPr>
          <w:rFonts w:hint="eastAsia"/>
        </w:rPr>
        <w:t>提高</w:t>
      </w:r>
      <w:r>
        <w:rPr>
          <w:rFonts w:hint="eastAsia"/>
          <w:lang w:eastAsia="zh-CN"/>
        </w:rPr>
        <w:t>，</w:t>
      </w:r>
      <w:r>
        <w:rPr>
          <w:rFonts w:hint="eastAsia"/>
        </w:rPr>
        <w:t>说明项目生态治理及恢复措施对项目开采及运营产生的影响有明显的补偿作用，项目建设对生态环境的影响会降至最低。</w:t>
      </w:r>
    </w:p>
    <w:p>
      <w:pPr>
        <w:spacing w:line="420" w:lineRule="exact"/>
        <w:ind w:firstLine="480"/>
      </w:pPr>
      <w:r>
        <w:t>本项目</w:t>
      </w:r>
      <w:r>
        <w:rPr>
          <w:rFonts w:hint="eastAsia"/>
        </w:rPr>
        <w:t>典型</w:t>
      </w:r>
      <w:r>
        <w:t>生态保护恢复措施平面布置图见图5-5-1</w:t>
      </w:r>
      <w:r>
        <w:rPr>
          <w:rFonts w:hint="eastAsia"/>
        </w:rPr>
        <w:t>。</w:t>
      </w:r>
    </w:p>
    <w:p>
      <w:pPr>
        <w:pStyle w:val="6"/>
        <w:adjustRightInd w:val="0"/>
        <w:snapToGrid w:val="0"/>
        <w:spacing w:before="156" w:beforeLines="50" w:line="360" w:lineRule="auto"/>
        <w:rPr>
          <w:rFonts w:eastAsia="宋体"/>
          <w:bCs w:val="0"/>
          <w:i w:val="0"/>
          <w:color w:val="auto"/>
          <w:sz w:val="24"/>
          <w:szCs w:val="24"/>
        </w:rPr>
      </w:pPr>
      <w:r>
        <w:rPr>
          <w:rFonts w:eastAsia="宋体"/>
          <w:bCs w:val="0"/>
          <w:i w:val="0"/>
          <w:color w:val="auto"/>
          <w:sz w:val="24"/>
          <w:szCs w:val="24"/>
        </w:rPr>
        <w:t>5.5.</w:t>
      </w:r>
      <w:r>
        <w:rPr>
          <w:rFonts w:hint="eastAsia" w:eastAsia="宋体"/>
          <w:bCs w:val="0"/>
          <w:i w:val="0"/>
          <w:color w:val="auto"/>
          <w:sz w:val="24"/>
          <w:szCs w:val="24"/>
        </w:rPr>
        <w:t>6</w:t>
      </w:r>
      <w:r>
        <w:rPr>
          <w:rFonts w:eastAsia="宋体"/>
          <w:bCs w:val="0"/>
          <w:i w:val="0"/>
          <w:color w:val="auto"/>
          <w:sz w:val="24"/>
          <w:szCs w:val="24"/>
        </w:rPr>
        <w:t>生态</w:t>
      </w:r>
      <w:r>
        <w:rPr>
          <w:rFonts w:hint="eastAsia" w:eastAsia="宋体"/>
          <w:bCs w:val="0"/>
          <w:i w:val="0"/>
          <w:color w:val="auto"/>
          <w:sz w:val="24"/>
          <w:szCs w:val="24"/>
        </w:rPr>
        <w:t>恢复效益评价</w:t>
      </w:r>
    </w:p>
    <w:p>
      <w:pPr>
        <w:pStyle w:val="361"/>
        <w:spacing w:line="440" w:lineRule="exact"/>
        <w:ind w:firstLineChars="200"/>
        <w:jc w:val="both"/>
        <w:rPr>
          <w:rFonts w:eastAsia="宋体"/>
        </w:rPr>
      </w:pPr>
      <w:r>
        <w:rPr>
          <w:rFonts w:hint="eastAsia" w:eastAsia="宋体"/>
        </w:rPr>
        <w:t>（1）生态效益</w:t>
      </w:r>
    </w:p>
    <w:p>
      <w:pPr>
        <w:pStyle w:val="361"/>
        <w:spacing w:line="440" w:lineRule="exact"/>
        <w:ind w:firstLineChars="200"/>
        <w:jc w:val="both"/>
        <w:rPr>
          <w:rFonts w:eastAsia="宋体"/>
        </w:rPr>
      </w:pPr>
      <w:r>
        <w:rPr>
          <w:rFonts w:hint="eastAsia" w:eastAsia="宋体"/>
        </w:rPr>
        <w:t>生态效益</w:t>
      </w:r>
      <w:r>
        <w:rPr>
          <w:rFonts w:eastAsia="宋体"/>
        </w:rPr>
        <w:t>主要表现在景观改善、生物多样性增加、水保作用增强和土壤肥力提高等方面。</w:t>
      </w:r>
    </w:p>
    <w:p>
      <w:pPr>
        <w:pStyle w:val="361"/>
        <w:spacing w:line="440" w:lineRule="exact"/>
        <w:ind w:firstLineChars="200"/>
        <w:jc w:val="both"/>
        <w:rPr>
          <w:rFonts w:eastAsia="宋体"/>
        </w:rPr>
      </w:pPr>
      <w:r>
        <w:rPr>
          <w:rFonts w:eastAsia="宋体"/>
        </w:rPr>
        <w:t>矿区原有植被简单，主要为</w:t>
      </w:r>
      <w:r>
        <w:rPr>
          <w:rFonts w:hint="eastAsia" w:eastAsia="宋体"/>
        </w:rPr>
        <w:t>农田植被。</w:t>
      </w:r>
      <w:r>
        <w:rPr>
          <w:rFonts w:hint="eastAsia" w:eastAsia="宋体"/>
          <w:lang w:eastAsia="zh-CN"/>
        </w:rPr>
        <w:t>通过进行土地复垦和生态恢复，评价范围内耕地面积增加，植被覆盖率增加，区域生态景观得到大幅度改善，生态多样性增加。</w:t>
      </w:r>
    </w:p>
    <w:p>
      <w:pPr>
        <w:pStyle w:val="361"/>
        <w:spacing w:line="440" w:lineRule="exact"/>
        <w:ind w:firstLineChars="200"/>
        <w:jc w:val="both"/>
        <w:rPr>
          <w:rFonts w:eastAsia="宋体"/>
        </w:rPr>
      </w:pPr>
      <w:r>
        <w:rPr>
          <w:rFonts w:hint="eastAsia" w:eastAsia="宋体"/>
        </w:rPr>
        <w:t>（2）经济效益</w:t>
      </w:r>
    </w:p>
    <w:p>
      <w:pPr>
        <w:pStyle w:val="361"/>
        <w:spacing w:line="440" w:lineRule="exact"/>
        <w:ind w:firstLineChars="200"/>
        <w:jc w:val="both"/>
        <w:rPr>
          <w:rFonts w:eastAsia="宋体"/>
        </w:rPr>
      </w:pPr>
      <w:r>
        <w:rPr>
          <w:rFonts w:hint="eastAsia" w:eastAsia="宋体"/>
        </w:rPr>
        <w:t>采矿破坏大量的地表植被，通过矿区的生态恢复措施，使矿区得到复垦，地表植被的覆盖率大大增加；</w:t>
      </w:r>
    </w:p>
    <w:p>
      <w:pPr>
        <w:pStyle w:val="361"/>
        <w:spacing w:line="440" w:lineRule="exact"/>
        <w:ind w:firstLineChars="200"/>
        <w:jc w:val="both"/>
        <w:rPr>
          <w:rFonts w:eastAsia="宋体"/>
        </w:rPr>
      </w:pPr>
      <w:r>
        <w:rPr>
          <w:rFonts w:hint="eastAsia" w:eastAsia="宋体"/>
        </w:rPr>
        <w:t>（3）社会效益</w:t>
      </w:r>
    </w:p>
    <w:p>
      <w:pPr>
        <w:pStyle w:val="361"/>
        <w:spacing w:line="440" w:lineRule="exact"/>
        <w:ind w:firstLineChars="200"/>
        <w:jc w:val="both"/>
        <w:rPr>
          <w:rFonts w:eastAsia="宋体"/>
        </w:rPr>
      </w:pPr>
      <w:r>
        <w:rPr>
          <w:rFonts w:eastAsia="宋体"/>
        </w:rPr>
        <w:t>①防治地质灾害发生，保障矿区人民生命财产安全。</w:t>
      </w:r>
    </w:p>
    <w:p>
      <w:pPr>
        <w:pStyle w:val="361"/>
        <w:spacing w:line="440" w:lineRule="exact"/>
        <w:ind w:firstLineChars="200"/>
        <w:jc w:val="both"/>
        <w:rPr>
          <w:rFonts w:eastAsia="宋体"/>
        </w:rPr>
      </w:pPr>
      <w:r>
        <w:rPr>
          <w:rFonts w:eastAsia="宋体"/>
        </w:rPr>
        <w:t>②最大限度地减少采矿对土地资源的破坏，通过生态恢复及时恢复矿区土地功能，发展经济，为构建和谐农村、和谐社会创造了条件，具明显的社会效益。</w:t>
      </w:r>
    </w:p>
    <w:p>
      <w:pPr>
        <w:pStyle w:val="361"/>
        <w:keepNext w:val="0"/>
        <w:keepLines w:val="0"/>
        <w:pageBreakBefore w:val="0"/>
        <w:widowControl w:val="0"/>
        <w:kinsoku/>
        <w:wordWrap/>
        <w:overflowPunct/>
        <w:topLinePunct w:val="0"/>
        <w:autoSpaceDE/>
        <w:autoSpaceDN/>
        <w:bidi w:val="0"/>
        <w:adjustRightInd w:val="0"/>
        <w:snapToGrid w:val="0"/>
        <w:spacing w:line="440" w:lineRule="exact"/>
        <w:ind w:firstLineChars="200"/>
        <w:jc w:val="both"/>
        <w:textAlignment w:val="auto"/>
        <w:rPr>
          <w:rFonts w:eastAsia="宋体"/>
        </w:rPr>
      </w:pPr>
      <w:r>
        <w:rPr>
          <w:rFonts w:eastAsia="宋体"/>
        </w:rPr>
        <w:t>③增强人们防灾意识，更好地保护地质环境</w:t>
      </w:r>
      <w:r>
        <w:rPr>
          <w:rFonts w:hint="eastAsia" w:eastAsia="宋体"/>
        </w:rPr>
        <w:t>。</w:t>
      </w:r>
      <w:r>
        <w:rPr>
          <w:rFonts w:eastAsia="宋体"/>
        </w:rPr>
        <w:t>针对不同的矿山地质环境问题，采取不同的治理措施。根据矿山地质环境问题的危害大小、轻重缓急，分阶段进行治理。方案重视监测预警工作，发现问题及时处理，有效保护地质环境。</w:t>
      </w:r>
    </w:p>
    <w:p>
      <w:pPr>
        <w:pStyle w:val="6"/>
        <w:adjustRightInd w:val="0"/>
        <w:snapToGrid w:val="0"/>
        <w:spacing w:before="156" w:beforeLines="50" w:line="360" w:lineRule="auto"/>
        <w:rPr>
          <w:rFonts w:eastAsia="宋体"/>
          <w:bCs w:val="0"/>
          <w:i w:val="0"/>
          <w:color w:val="auto"/>
          <w:sz w:val="24"/>
          <w:szCs w:val="24"/>
        </w:rPr>
      </w:pPr>
      <w:r>
        <w:rPr>
          <w:rFonts w:eastAsia="宋体"/>
          <w:bCs w:val="0"/>
          <w:i w:val="0"/>
          <w:color w:val="auto"/>
          <w:sz w:val="24"/>
          <w:szCs w:val="24"/>
        </w:rPr>
        <w:t>5.5.</w:t>
      </w:r>
      <w:r>
        <w:rPr>
          <w:rFonts w:hint="eastAsia" w:eastAsia="宋体"/>
          <w:bCs w:val="0"/>
          <w:i w:val="0"/>
          <w:color w:val="auto"/>
          <w:sz w:val="24"/>
          <w:szCs w:val="24"/>
        </w:rPr>
        <w:t>7</w:t>
      </w:r>
      <w:r>
        <w:rPr>
          <w:rFonts w:eastAsia="宋体"/>
          <w:bCs w:val="0"/>
          <w:i w:val="0"/>
          <w:color w:val="auto"/>
          <w:sz w:val="24"/>
          <w:szCs w:val="24"/>
        </w:rPr>
        <w:t>生态</w:t>
      </w:r>
      <w:r>
        <w:rPr>
          <w:rFonts w:hint="eastAsia" w:eastAsia="宋体"/>
          <w:bCs w:val="0"/>
          <w:i w:val="0"/>
          <w:color w:val="auto"/>
          <w:sz w:val="24"/>
          <w:szCs w:val="24"/>
        </w:rPr>
        <w:t>恢复设施的保障措施</w:t>
      </w:r>
    </w:p>
    <w:p>
      <w:pPr>
        <w:pStyle w:val="361"/>
        <w:spacing w:line="440" w:lineRule="exact"/>
        <w:ind w:firstLineChars="200"/>
        <w:jc w:val="both"/>
        <w:rPr>
          <w:rFonts w:eastAsia="宋体"/>
        </w:rPr>
      </w:pPr>
      <w:r>
        <w:rPr>
          <w:rFonts w:hint="eastAsia" w:eastAsia="宋体"/>
        </w:rPr>
        <w:t>（1）技术保证</w:t>
      </w:r>
    </w:p>
    <w:p>
      <w:pPr>
        <w:pStyle w:val="361"/>
        <w:spacing w:line="440" w:lineRule="exact"/>
        <w:ind w:firstLineChars="200"/>
        <w:jc w:val="both"/>
        <w:rPr>
          <w:rFonts w:eastAsia="宋体"/>
        </w:rPr>
      </w:pPr>
      <w:r>
        <w:rPr>
          <w:rFonts w:eastAsia="宋体"/>
        </w:rPr>
        <w:t>①建立生态环境监测体系，及时对全矿生态环境现状进行监测，准确地对重点生态问题与生态破坏做出诊断。</w:t>
      </w:r>
    </w:p>
    <w:p>
      <w:pPr>
        <w:pStyle w:val="361"/>
        <w:spacing w:line="440" w:lineRule="exact"/>
        <w:ind w:firstLineChars="200"/>
        <w:jc w:val="both"/>
        <w:rPr>
          <w:rFonts w:eastAsia="宋体"/>
        </w:rPr>
      </w:pPr>
      <w:r>
        <w:rPr>
          <w:rFonts w:eastAsia="宋体"/>
        </w:rPr>
        <w:t>②矿区应设置复垦和水土保持的实施效果的监督人员，对生态恢复和保护工作进行监督。</w:t>
      </w:r>
    </w:p>
    <w:p>
      <w:pPr>
        <w:pStyle w:val="361"/>
        <w:spacing w:line="440" w:lineRule="exact"/>
        <w:ind w:firstLineChars="200"/>
        <w:jc w:val="both"/>
        <w:rPr>
          <w:rFonts w:eastAsia="宋体"/>
        </w:rPr>
      </w:pPr>
      <w:r>
        <w:rPr>
          <w:rFonts w:eastAsia="宋体"/>
        </w:rPr>
        <w:t>③生态恢复工程必须按规划中有关的技术进行，如因情况变化，需按当时生态恢复规划的设计进行。</w:t>
      </w:r>
    </w:p>
    <w:p>
      <w:pPr>
        <w:pStyle w:val="361"/>
        <w:spacing w:line="440" w:lineRule="exact"/>
        <w:ind w:firstLineChars="200"/>
        <w:jc w:val="both"/>
        <w:rPr>
          <w:rFonts w:eastAsia="宋体"/>
        </w:rPr>
      </w:pPr>
      <w:r>
        <w:rPr>
          <w:rFonts w:hint="eastAsia" w:eastAsia="宋体"/>
        </w:rPr>
        <w:t>（2）资金保证</w:t>
      </w:r>
    </w:p>
    <w:p>
      <w:pPr>
        <w:pStyle w:val="339"/>
        <w:spacing w:line="440" w:lineRule="exact"/>
        <w:ind w:firstLine="480"/>
        <w:rPr>
          <w:sz w:val="24"/>
        </w:rPr>
      </w:pPr>
      <w:r>
        <w:rPr>
          <w:sz w:val="24"/>
        </w:rPr>
        <w:t>按照“谁开发、谁保护，谁破坏、谁治理”的原则</w:t>
      </w:r>
      <w:r>
        <w:rPr>
          <w:rFonts w:hint="eastAsia"/>
          <w:sz w:val="24"/>
        </w:rPr>
        <w:t>，</w:t>
      </w:r>
      <w:r>
        <w:rPr>
          <w:sz w:val="24"/>
        </w:rPr>
        <w:t>落实资金生态恢复治理费用全部由</w:t>
      </w:r>
      <w:r>
        <w:rPr>
          <w:rFonts w:hint="eastAsia"/>
          <w:sz w:val="24"/>
        </w:rPr>
        <w:t>繁峙县东胜砖厂</w:t>
      </w:r>
      <w:r>
        <w:rPr>
          <w:sz w:val="24"/>
        </w:rPr>
        <w:t>承担。</w:t>
      </w:r>
    </w:p>
    <w:p>
      <w:pPr>
        <w:pStyle w:val="361"/>
        <w:spacing w:line="440" w:lineRule="exact"/>
        <w:ind w:firstLineChars="200"/>
        <w:jc w:val="both"/>
        <w:rPr>
          <w:rFonts w:eastAsia="宋体"/>
        </w:rPr>
      </w:pPr>
      <w:r>
        <w:rPr>
          <w:rFonts w:hint="eastAsia" w:eastAsia="宋体"/>
        </w:rPr>
        <w:t>（3）监督与管理</w:t>
      </w:r>
    </w:p>
    <w:p>
      <w:pPr>
        <w:pStyle w:val="339"/>
        <w:spacing w:line="440" w:lineRule="exact"/>
        <w:ind w:firstLine="480"/>
        <w:rPr>
          <w:sz w:val="24"/>
        </w:rPr>
      </w:pPr>
      <w:r>
        <w:rPr>
          <w:sz w:val="24"/>
        </w:rPr>
        <w:t>本矿山设环境保护管理机构，在环保机构中配置1位专业人员，专门负责土地复垦的管理监督工作。</w:t>
      </w:r>
    </w:p>
    <w:p>
      <w:pPr>
        <w:pStyle w:val="361"/>
        <w:spacing w:line="440" w:lineRule="exact"/>
        <w:ind w:firstLineChars="200"/>
        <w:jc w:val="both"/>
        <w:rPr>
          <w:rFonts w:eastAsia="宋体"/>
        </w:rPr>
      </w:pPr>
      <w:r>
        <w:rPr>
          <w:rFonts w:hint="eastAsia" w:eastAsia="宋体"/>
        </w:rPr>
        <w:t>（4）监测与跟踪</w:t>
      </w:r>
    </w:p>
    <w:p>
      <w:pPr>
        <w:pStyle w:val="339"/>
        <w:spacing w:line="440" w:lineRule="exact"/>
        <w:ind w:firstLine="480"/>
        <w:rPr>
          <w:sz w:val="24"/>
        </w:rPr>
      </w:pPr>
      <w:r>
        <w:rPr>
          <w:sz w:val="24"/>
        </w:rPr>
        <w:t>本</w:t>
      </w:r>
      <w:r>
        <w:rPr>
          <w:rFonts w:hint="eastAsia"/>
          <w:sz w:val="24"/>
        </w:rPr>
        <w:t>项目</w:t>
      </w:r>
      <w:r>
        <w:rPr>
          <w:sz w:val="24"/>
        </w:rPr>
        <w:t>建设对环境的影响主要来自</w:t>
      </w:r>
      <w:r>
        <w:rPr>
          <w:rFonts w:hint="eastAsia"/>
          <w:sz w:val="24"/>
        </w:rPr>
        <w:t>施工</w:t>
      </w:r>
      <w:r>
        <w:rPr>
          <w:sz w:val="24"/>
        </w:rPr>
        <w:t>期的各种作业活动和</w:t>
      </w:r>
      <w:r>
        <w:rPr>
          <w:rFonts w:hint="eastAsia"/>
          <w:sz w:val="24"/>
        </w:rPr>
        <w:t>运营</w:t>
      </w:r>
      <w:r>
        <w:rPr>
          <w:sz w:val="24"/>
        </w:rPr>
        <w:t>期的采矿作业等。无论是</w:t>
      </w:r>
      <w:r>
        <w:rPr>
          <w:rFonts w:hint="eastAsia"/>
          <w:sz w:val="24"/>
        </w:rPr>
        <w:t>施工</w:t>
      </w:r>
      <w:r>
        <w:rPr>
          <w:sz w:val="24"/>
        </w:rPr>
        <w:t>期还是</w:t>
      </w:r>
      <w:r>
        <w:rPr>
          <w:rFonts w:hint="eastAsia"/>
          <w:sz w:val="24"/>
        </w:rPr>
        <w:t>运营</w:t>
      </w:r>
      <w:r>
        <w:rPr>
          <w:sz w:val="24"/>
        </w:rPr>
        <w:t>期，都将会给矿区生态环境带来较大的影响。为了最大限度地减轻和消除不利的环境影响，工程</w:t>
      </w:r>
      <w:r>
        <w:rPr>
          <w:rFonts w:hint="eastAsia"/>
          <w:sz w:val="24"/>
        </w:rPr>
        <w:t>施工期</w:t>
      </w:r>
      <w:r>
        <w:rPr>
          <w:sz w:val="24"/>
        </w:rPr>
        <w:t>和</w:t>
      </w:r>
      <w:r>
        <w:rPr>
          <w:rFonts w:hint="eastAsia"/>
          <w:sz w:val="24"/>
        </w:rPr>
        <w:t>运营</w:t>
      </w:r>
      <w:r>
        <w:rPr>
          <w:sz w:val="24"/>
        </w:rPr>
        <w:t>期实行环境监测，保证土地复垦和水土保持设施的落实及运行，并验证土地复垦措施的效果，以便更好地保护生态环境，为当地政府、环保部门进行环境规划、管理及执法提供依据。</w:t>
      </w:r>
    </w:p>
    <w:p>
      <w:pPr>
        <w:pStyle w:val="339"/>
        <w:spacing w:line="440" w:lineRule="exact"/>
        <w:ind w:firstLine="480"/>
        <w:rPr>
          <w:sz w:val="24"/>
        </w:rPr>
      </w:pPr>
      <w:r>
        <w:rPr>
          <w:sz w:val="24"/>
        </w:rPr>
        <w:t>1）监测与跟踪范围</w:t>
      </w:r>
    </w:p>
    <w:p>
      <w:pPr>
        <w:pStyle w:val="339"/>
        <w:spacing w:line="440" w:lineRule="exact"/>
        <w:ind w:firstLine="480"/>
        <w:rPr>
          <w:sz w:val="24"/>
        </w:rPr>
      </w:pPr>
      <w:r>
        <w:rPr>
          <w:rFonts w:hint="eastAsia"/>
          <w:sz w:val="24"/>
        </w:rPr>
        <w:t>项目</w:t>
      </w:r>
      <w:r>
        <w:rPr>
          <w:sz w:val="24"/>
        </w:rPr>
        <w:t>所在区域与工程影响区域范围：矿山开采区以及对周边造成生态破坏的区域。</w:t>
      </w:r>
    </w:p>
    <w:p>
      <w:pPr>
        <w:pStyle w:val="339"/>
        <w:spacing w:line="440" w:lineRule="exact"/>
        <w:ind w:firstLine="480"/>
        <w:rPr>
          <w:sz w:val="24"/>
        </w:rPr>
      </w:pPr>
      <w:r>
        <w:rPr>
          <w:sz w:val="24"/>
        </w:rPr>
        <w:t>2）生态环境监测方案</w:t>
      </w:r>
    </w:p>
    <w:p>
      <w:pPr>
        <w:pStyle w:val="339"/>
        <w:spacing w:line="440" w:lineRule="exact"/>
        <w:ind w:firstLine="480"/>
        <w:rPr>
          <w:sz w:val="24"/>
        </w:rPr>
      </w:pPr>
      <w:r>
        <w:rPr>
          <w:rFonts w:hint="eastAsia"/>
          <w:sz w:val="24"/>
        </w:rPr>
        <w:t>本项目生态监测方案具体见下表。</w:t>
      </w:r>
    </w:p>
    <w:p>
      <w:pPr>
        <w:spacing w:before="312" w:beforeLines="100"/>
        <w:jc w:val="center"/>
        <w:rPr>
          <w:rFonts w:ascii="黑体" w:hAnsi="宋体" w:eastAsia="黑体"/>
          <w:szCs w:val="21"/>
        </w:rPr>
        <w:sectPr>
          <w:headerReference r:id="rId17" w:type="default"/>
          <w:footerReference r:id="rId18" w:type="default"/>
          <w:pgSz w:w="11906" w:h="16838"/>
          <w:pgMar w:top="1588" w:right="1474" w:bottom="1588" w:left="1474" w:header="1021" w:footer="1134" w:gutter="0"/>
          <w:cols w:space="720" w:num="1"/>
          <w:docGrid w:type="linesAndChars" w:linePitch="312" w:charSpace="0"/>
        </w:sectPr>
      </w:pPr>
    </w:p>
    <w:p>
      <w:pPr>
        <w:widowControl w:val="0"/>
        <w:spacing w:before="240" w:beforeLines="100"/>
        <w:jc w:val="center"/>
        <w:rPr>
          <w:rFonts w:ascii="黑体" w:hAnsi="宋体" w:eastAsia="黑体"/>
          <w:sz w:val="21"/>
          <w:szCs w:val="18"/>
        </w:rPr>
      </w:pPr>
      <w:r>
        <w:rPr>
          <w:rFonts w:hint="eastAsia" w:ascii="黑体" w:hAnsi="宋体" w:eastAsia="黑体"/>
          <w:sz w:val="21"/>
          <w:szCs w:val="18"/>
        </w:rPr>
        <w:t>表5.5-10  项目生态环境监测计划</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548"/>
        <w:gridCol w:w="1109"/>
        <w:gridCol w:w="4182"/>
        <w:gridCol w:w="897"/>
        <w:gridCol w:w="988"/>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5" w:type="pct"/>
            <w:vAlign w:val="center"/>
          </w:tcPr>
          <w:p>
            <w:pPr>
              <w:widowControl w:val="0"/>
              <w:adjustRightInd w:val="0"/>
              <w:snapToGrid w:val="0"/>
              <w:spacing w:line="300" w:lineRule="exact"/>
              <w:jc w:val="center"/>
              <w:rPr>
                <w:sz w:val="21"/>
                <w:szCs w:val="21"/>
              </w:rPr>
            </w:pPr>
            <w:r>
              <w:rPr>
                <w:sz w:val="21"/>
                <w:szCs w:val="21"/>
              </w:rPr>
              <w:t>序号</w:t>
            </w:r>
          </w:p>
        </w:tc>
        <w:tc>
          <w:tcPr>
            <w:tcW w:w="295" w:type="pct"/>
          </w:tcPr>
          <w:p>
            <w:pPr>
              <w:widowControl w:val="0"/>
              <w:adjustRightInd w:val="0"/>
              <w:snapToGrid w:val="0"/>
              <w:spacing w:line="300" w:lineRule="exact"/>
              <w:jc w:val="center"/>
              <w:rPr>
                <w:sz w:val="21"/>
                <w:szCs w:val="21"/>
              </w:rPr>
            </w:pPr>
            <w:r>
              <w:rPr>
                <w:rFonts w:hint="eastAsia"/>
                <w:sz w:val="21"/>
                <w:szCs w:val="21"/>
              </w:rPr>
              <w:t>时段</w:t>
            </w:r>
          </w:p>
        </w:tc>
        <w:tc>
          <w:tcPr>
            <w:tcW w:w="597" w:type="pct"/>
            <w:vAlign w:val="center"/>
          </w:tcPr>
          <w:p>
            <w:pPr>
              <w:widowControl w:val="0"/>
              <w:adjustRightInd w:val="0"/>
              <w:snapToGrid w:val="0"/>
              <w:spacing w:line="300" w:lineRule="exact"/>
              <w:jc w:val="center"/>
              <w:rPr>
                <w:sz w:val="21"/>
                <w:szCs w:val="21"/>
              </w:rPr>
            </w:pPr>
            <w:r>
              <w:rPr>
                <w:sz w:val="21"/>
                <w:szCs w:val="21"/>
              </w:rPr>
              <w:t>监测内容</w:t>
            </w:r>
          </w:p>
        </w:tc>
        <w:tc>
          <w:tcPr>
            <w:tcW w:w="2252" w:type="pct"/>
            <w:vAlign w:val="center"/>
          </w:tcPr>
          <w:p>
            <w:pPr>
              <w:widowControl w:val="0"/>
              <w:adjustRightInd w:val="0"/>
              <w:snapToGrid w:val="0"/>
              <w:spacing w:line="300" w:lineRule="exact"/>
              <w:jc w:val="center"/>
              <w:rPr>
                <w:sz w:val="21"/>
                <w:szCs w:val="21"/>
              </w:rPr>
            </w:pPr>
            <w:r>
              <w:rPr>
                <w:sz w:val="21"/>
                <w:szCs w:val="21"/>
              </w:rPr>
              <w:t>主要技术要求</w:t>
            </w:r>
          </w:p>
        </w:tc>
        <w:tc>
          <w:tcPr>
            <w:tcW w:w="483" w:type="pct"/>
            <w:vAlign w:val="center"/>
          </w:tcPr>
          <w:p>
            <w:pPr>
              <w:widowControl w:val="0"/>
              <w:adjustRightInd w:val="0"/>
              <w:snapToGrid w:val="0"/>
              <w:spacing w:line="300" w:lineRule="exact"/>
              <w:jc w:val="center"/>
              <w:rPr>
                <w:sz w:val="21"/>
                <w:szCs w:val="21"/>
              </w:rPr>
            </w:pPr>
            <w:r>
              <w:rPr>
                <w:sz w:val="21"/>
                <w:szCs w:val="21"/>
              </w:rPr>
              <w:t>报告制度</w:t>
            </w:r>
          </w:p>
        </w:tc>
        <w:tc>
          <w:tcPr>
            <w:tcW w:w="532" w:type="pct"/>
            <w:vAlign w:val="center"/>
          </w:tcPr>
          <w:p>
            <w:pPr>
              <w:widowControl w:val="0"/>
              <w:adjustRightInd w:val="0"/>
              <w:snapToGrid w:val="0"/>
              <w:spacing w:line="300" w:lineRule="exact"/>
              <w:jc w:val="center"/>
              <w:rPr>
                <w:sz w:val="21"/>
                <w:szCs w:val="21"/>
              </w:rPr>
            </w:pPr>
            <w:r>
              <w:rPr>
                <w:sz w:val="21"/>
                <w:szCs w:val="21"/>
              </w:rPr>
              <w:t>实施单位</w:t>
            </w:r>
          </w:p>
        </w:tc>
        <w:tc>
          <w:tcPr>
            <w:tcW w:w="533" w:type="pct"/>
            <w:vAlign w:val="center"/>
          </w:tcPr>
          <w:p>
            <w:pPr>
              <w:widowControl w:val="0"/>
              <w:adjustRightInd w:val="0"/>
              <w:snapToGrid w:val="0"/>
              <w:spacing w:line="300" w:lineRule="exact"/>
              <w:jc w:val="center"/>
              <w:rPr>
                <w:sz w:val="21"/>
                <w:szCs w:val="21"/>
              </w:rPr>
            </w:pPr>
            <w:r>
              <w:rPr>
                <w:sz w:val="21"/>
                <w:szCs w:val="21"/>
              </w:rPr>
              <w:t>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5" w:type="pct"/>
            <w:vAlign w:val="center"/>
          </w:tcPr>
          <w:p>
            <w:pPr>
              <w:widowControl w:val="0"/>
              <w:adjustRightInd w:val="0"/>
              <w:snapToGrid w:val="0"/>
              <w:spacing w:line="300" w:lineRule="exact"/>
              <w:jc w:val="center"/>
              <w:rPr>
                <w:sz w:val="21"/>
                <w:szCs w:val="21"/>
              </w:rPr>
            </w:pPr>
            <w:r>
              <w:rPr>
                <w:sz w:val="21"/>
                <w:szCs w:val="21"/>
              </w:rPr>
              <w:t>1</w:t>
            </w:r>
          </w:p>
        </w:tc>
        <w:tc>
          <w:tcPr>
            <w:tcW w:w="295" w:type="pct"/>
            <w:vMerge w:val="restart"/>
            <w:vAlign w:val="center"/>
          </w:tcPr>
          <w:p>
            <w:pPr>
              <w:widowControl w:val="0"/>
              <w:adjustRightInd w:val="0"/>
              <w:snapToGrid w:val="0"/>
              <w:spacing w:line="300" w:lineRule="exact"/>
              <w:jc w:val="center"/>
              <w:rPr>
                <w:sz w:val="21"/>
                <w:szCs w:val="21"/>
              </w:rPr>
            </w:pPr>
            <w:r>
              <w:rPr>
                <w:rFonts w:hint="eastAsia"/>
                <w:sz w:val="21"/>
                <w:szCs w:val="21"/>
              </w:rPr>
              <w:t>施工期</w:t>
            </w:r>
          </w:p>
        </w:tc>
        <w:tc>
          <w:tcPr>
            <w:tcW w:w="597" w:type="pct"/>
            <w:vAlign w:val="center"/>
          </w:tcPr>
          <w:p>
            <w:pPr>
              <w:widowControl w:val="0"/>
              <w:adjustRightInd w:val="0"/>
              <w:snapToGrid w:val="0"/>
              <w:spacing w:line="300" w:lineRule="exact"/>
              <w:jc w:val="center"/>
              <w:rPr>
                <w:sz w:val="21"/>
                <w:szCs w:val="21"/>
              </w:rPr>
            </w:pPr>
            <w:r>
              <w:rPr>
                <w:sz w:val="21"/>
                <w:szCs w:val="21"/>
              </w:rPr>
              <w:t>施工现场</w:t>
            </w:r>
          </w:p>
          <w:p>
            <w:pPr>
              <w:widowControl w:val="0"/>
              <w:adjustRightInd w:val="0"/>
              <w:snapToGrid w:val="0"/>
              <w:spacing w:line="300" w:lineRule="exact"/>
              <w:jc w:val="center"/>
              <w:rPr>
                <w:sz w:val="21"/>
                <w:szCs w:val="21"/>
              </w:rPr>
            </w:pPr>
            <w:r>
              <w:rPr>
                <w:sz w:val="21"/>
                <w:szCs w:val="21"/>
              </w:rPr>
              <w:t>清理</w:t>
            </w:r>
          </w:p>
        </w:tc>
        <w:tc>
          <w:tcPr>
            <w:tcW w:w="2252" w:type="pct"/>
            <w:vAlign w:val="center"/>
          </w:tcPr>
          <w:p>
            <w:pPr>
              <w:widowControl w:val="0"/>
              <w:adjustRightInd w:val="0"/>
              <w:snapToGrid w:val="0"/>
              <w:spacing w:line="300" w:lineRule="exact"/>
              <w:jc w:val="center"/>
              <w:rPr>
                <w:sz w:val="21"/>
                <w:szCs w:val="21"/>
              </w:rPr>
            </w:pPr>
            <w:r>
              <w:rPr>
                <w:sz w:val="21"/>
                <w:szCs w:val="21"/>
              </w:rPr>
              <w:t>1.监测项目：</w:t>
            </w:r>
            <w:r>
              <w:rPr>
                <w:rFonts w:hint="eastAsia"/>
                <w:sz w:val="21"/>
                <w:szCs w:val="21"/>
              </w:rPr>
              <w:t>固废清理情况</w:t>
            </w:r>
          </w:p>
          <w:p>
            <w:pPr>
              <w:widowControl w:val="0"/>
              <w:adjustRightInd w:val="0"/>
              <w:snapToGrid w:val="0"/>
              <w:spacing w:line="300" w:lineRule="exact"/>
              <w:jc w:val="center"/>
              <w:rPr>
                <w:sz w:val="21"/>
                <w:szCs w:val="21"/>
              </w:rPr>
            </w:pPr>
            <w:r>
              <w:rPr>
                <w:sz w:val="21"/>
                <w:szCs w:val="21"/>
              </w:rPr>
              <w:t>2.监测频率：施工结束后一次</w:t>
            </w:r>
          </w:p>
          <w:p>
            <w:pPr>
              <w:widowControl w:val="0"/>
              <w:adjustRightInd w:val="0"/>
              <w:snapToGrid w:val="0"/>
              <w:spacing w:line="300" w:lineRule="exact"/>
              <w:jc w:val="center"/>
              <w:rPr>
                <w:sz w:val="21"/>
                <w:szCs w:val="21"/>
              </w:rPr>
            </w:pPr>
            <w:r>
              <w:rPr>
                <w:sz w:val="21"/>
                <w:szCs w:val="21"/>
              </w:rPr>
              <w:t>3.监测地点：</w:t>
            </w:r>
            <w:r>
              <w:rPr>
                <w:rFonts w:hint="eastAsia"/>
                <w:sz w:val="21"/>
                <w:szCs w:val="21"/>
              </w:rPr>
              <w:t>露天采矿区、工业场地</w:t>
            </w:r>
          </w:p>
        </w:tc>
        <w:tc>
          <w:tcPr>
            <w:tcW w:w="483" w:type="pct"/>
            <w:vAlign w:val="center"/>
          </w:tcPr>
          <w:p>
            <w:pPr>
              <w:widowControl w:val="0"/>
              <w:adjustRightInd w:val="0"/>
              <w:snapToGrid w:val="0"/>
              <w:spacing w:line="300" w:lineRule="exact"/>
              <w:jc w:val="center"/>
              <w:rPr>
                <w:sz w:val="21"/>
                <w:szCs w:val="21"/>
              </w:rPr>
            </w:pPr>
            <w:r>
              <w:rPr>
                <w:sz w:val="21"/>
                <w:szCs w:val="21"/>
              </w:rPr>
              <w:t>报当地政府和当地环保部门</w:t>
            </w:r>
          </w:p>
        </w:tc>
        <w:tc>
          <w:tcPr>
            <w:tcW w:w="532" w:type="pct"/>
            <w:vAlign w:val="center"/>
          </w:tcPr>
          <w:p>
            <w:pPr>
              <w:widowControl w:val="0"/>
              <w:adjustRightInd w:val="0"/>
              <w:snapToGrid w:val="0"/>
              <w:spacing w:line="300" w:lineRule="exact"/>
              <w:jc w:val="center"/>
              <w:rPr>
                <w:sz w:val="21"/>
                <w:szCs w:val="21"/>
              </w:rPr>
            </w:pPr>
            <w:r>
              <w:rPr>
                <w:rFonts w:hint="eastAsia"/>
                <w:sz w:val="21"/>
                <w:szCs w:val="21"/>
              </w:rPr>
              <w:t>建设单位或委托有资质单位</w:t>
            </w:r>
          </w:p>
        </w:tc>
        <w:tc>
          <w:tcPr>
            <w:tcW w:w="533" w:type="pct"/>
            <w:vAlign w:val="center"/>
          </w:tcPr>
          <w:p>
            <w:pPr>
              <w:widowControl w:val="0"/>
              <w:adjustRightInd w:val="0"/>
              <w:snapToGrid w:val="0"/>
              <w:spacing w:line="300" w:lineRule="exact"/>
              <w:jc w:val="center"/>
              <w:rPr>
                <w:sz w:val="21"/>
                <w:szCs w:val="21"/>
              </w:rPr>
            </w:pPr>
            <w:r>
              <w:rPr>
                <w:sz w:val="21"/>
                <w:szCs w:val="21"/>
              </w:rPr>
              <w:t>当地政府和当地环保部门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5" w:type="pct"/>
            <w:vAlign w:val="center"/>
          </w:tcPr>
          <w:p>
            <w:pPr>
              <w:widowControl w:val="0"/>
              <w:adjustRightInd w:val="0"/>
              <w:snapToGrid w:val="0"/>
              <w:spacing w:line="300" w:lineRule="exact"/>
              <w:jc w:val="center"/>
              <w:rPr>
                <w:sz w:val="21"/>
                <w:szCs w:val="21"/>
              </w:rPr>
            </w:pPr>
            <w:r>
              <w:rPr>
                <w:sz w:val="21"/>
                <w:szCs w:val="21"/>
              </w:rPr>
              <w:t>2</w:t>
            </w:r>
          </w:p>
        </w:tc>
        <w:tc>
          <w:tcPr>
            <w:tcW w:w="295" w:type="pct"/>
            <w:vMerge w:val="continue"/>
          </w:tcPr>
          <w:p>
            <w:pPr>
              <w:widowControl w:val="0"/>
              <w:adjustRightInd w:val="0"/>
              <w:snapToGrid w:val="0"/>
              <w:spacing w:line="300" w:lineRule="exact"/>
              <w:jc w:val="center"/>
              <w:rPr>
                <w:sz w:val="21"/>
                <w:szCs w:val="21"/>
              </w:rPr>
            </w:pPr>
          </w:p>
        </w:tc>
        <w:tc>
          <w:tcPr>
            <w:tcW w:w="597" w:type="pct"/>
            <w:vAlign w:val="center"/>
          </w:tcPr>
          <w:p>
            <w:pPr>
              <w:widowControl w:val="0"/>
              <w:adjustRightInd w:val="0"/>
              <w:snapToGrid w:val="0"/>
              <w:spacing w:line="300" w:lineRule="exact"/>
              <w:jc w:val="center"/>
              <w:rPr>
                <w:sz w:val="21"/>
                <w:szCs w:val="21"/>
              </w:rPr>
            </w:pPr>
            <w:r>
              <w:rPr>
                <w:sz w:val="21"/>
                <w:szCs w:val="21"/>
              </w:rPr>
              <w:t>土壤侵蚀</w:t>
            </w:r>
          </w:p>
          <w:p>
            <w:pPr>
              <w:widowControl w:val="0"/>
              <w:adjustRightInd w:val="0"/>
              <w:snapToGrid w:val="0"/>
              <w:spacing w:line="300" w:lineRule="exact"/>
              <w:jc w:val="center"/>
              <w:rPr>
                <w:sz w:val="21"/>
                <w:szCs w:val="21"/>
              </w:rPr>
            </w:pPr>
            <w:r>
              <w:rPr>
                <w:sz w:val="21"/>
                <w:szCs w:val="21"/>
              </w:rPr>
              <w:t>（水土流失）</w:t>
            </w:r>
          </w:p>
        </w:tc>
        <w:tc>
          <w:tcPr>
            <w:tcW w:w="2252" w:type="pct"/>
            <w:vAlign w:val="center"/>
          </w:tcPr>
          <w:p>
            <w:pPr>
              <w:widowControl w:val="0"/>
              <w:adjustRightInd w:val="0"/>
              <w:snapToGrid w:val="0"/>
              <w:spacing w:line="300" w:lineRule="exact"/>
              <w:jc w:val="center"/>
              <w:rPr>
                <w:sz w:val="21"/>
                <w:szCs w:val="21"/>
              </w:rPr>
            </w:pPr>
            <w:r>
              <w:rPr>
                <w:sz w:val="21"/>
                <w:szCs w:val="21"/>
              </w:rPr>
              <w:t>1.监测项目：土壤侵蚀类型、</w:t>
            </w:r>
            <w:r>
              <w:rPr>
                <w:rFonts w:hint="eastAsia"/>
                <w:sz w:val="21"/>
                <w:szCs w:val="21"/>
              </w:rPr>
              <w:t>土壤侵蚀程度</w:t>
            </w:r>
          </w:p>
          <w:p>
            <w:pPr>
              <w:widowControl w:val="0"/>
              <w:adjustRightInd w:val="0"/>
              <w:snapToGrid w:val="0"/>
              <w:spacing w:line="300" w:lineRule="exact"/>
              <w:jc w:val="center"/>
              <w:rPr>
                <w:sz w:val="21"/>
                <w:szCs w:val="21"/>
              </w:rPr>
            </w:pPr>
            <w:r>
              <w:rPr>
                <w:sz w:val="21"/>
                <w:szCs w:val="21"/>
              </w:rPr>
              <w:t>2.监测频率：施工前后各一次</w:t>
            </w:r>
          </w:p>
          <w:p>
            <w:pPr>
              <w:widowControl w:val="0"/>
              <w:adjustRightInd w:val="0"/>
              <w:snapToGrid w:val="0"/>
              <w:spacing w:line="300" w:lineRule="exact"/>
              <w:jc w:val="center"/>
              <w:rPr>
                <w:sz w:val="21"/>
                <w:szCs w:val="21"/>
              </w:rPr>
            </w:pPr>
            <w:r>
              <w:rPr>
                <w:sz w:val="21"/>
                <w:szCs w:val="21"/>
              </w:rPr>
              <w:t>3.监测地点：</w:t>
            </w:r>
            <w:r>
              <w:rPr>
                <w:rFonts w:hint="eastAsia"/>
                <w:sz w:val="21"/>
                <w:szCs w:val="21"/>
              </w:rPr>
              <w:t>露天采矿区</w:t>
            </w:r>
          </w:p>
        </w:tc>
        <w:tc>
          <w:tcPr>
            <w:tcW w:w="483" w:type="pct"/>
            <w:vAlign w:val="center"/>
          </w:tcPr>
          <w:p>
            <w:pPr>
              <w:widowControl w:val="0"/>
              <w:adjustRightInd w:val="0"/>
              <w:snapToGrid w:val="0"/>
              <w:spacing w:line="300" w:lineRule="exact"/>
              <w:jc w:val="center"/>
              <w:rPr>
                <w:sz w:val="21"/>
                <w:szCs w:val="21"/>
              </w:rPr>
            </w:pPr>
            <w:r>
              <w:rPr>
                <w:sz w:val="21"/>
                <w:szCs w:val="21"/>
              </w:rPr>
              <w:t>报当地政府和当地环保部门</w:t>
            </w:r>
          </w:p>
        </w:tc>
        <w:tc>
          <w:tcPr>
            <w:tcW w:w="532" w:type="pct"/>
            <w:vAlign w:val="center"/>
          </w:tcPr>
          <w:p>
            <w:pPr>
              <w:widowControl w:val="0"/>
              <w:adjustRightInd w:val="0"/>
              <w:snapToGrid w:val="0"/>
              <w:spacing w:line="300" w:lineRule="exact"/>
              <w:jc w:val="center"/>
              <w:rPr>
                <w:sz w:val="21"/>
                <w:szCs w:val="21"/>
              </w:rPr>
            </w:pPr>
            <w:r>
              <w:rPr>
                <w:rFonts w:hint="eastAsia"/>
                <w:sz w:val="21"/>
                <w:szCs w:val="21"/>
              </w:rPr>
              <w:t>建设单位或委托有资质单位</w:t>
            </w:r>
          </w:p>
        </w:tc>
        <w:tc>
          <w:tcPr>
            <w:tcW w:w="533" w:type="pct"/>
          </w:tcPr>
          <w:p>
            <w:pPr>
              <w:widowControl w:val="0"/>
              <w:adjustRightInd w:val="0"/>
              <w:snapToGrid w:val="0"/>
              <w:spacing w:line="300" w:lineRule="exact"/>
              <w:jc w:val="center"/>
              <w:rPr>
                <w:sz w:val="21"/>
                <w:szCs w:val="21"/>
              </w:rPr>
            </w:pPr>
            <w:r>
              <w:rPr>
                <w:sz w:val="21"/>
                <w:szCs w:val="21"/>
              </w:rPr>
              <w:t>当地政府和当地环保部门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5" w:type="pct"/>
            <w:vAlign w:val="center"/>
          </w:tcPr>
          <w:p>
            <w:pPr>
              <w:widowControl w:val="0"/>
              <w:adjustRightInd w:val="0"/>
              <w:snapToGrid w:val="0"/>
              <w:spacing w:line="300" w:lineRule="exact"/>
              <w:jc w:val="center"/>
              <w:rPr>
                <w:sz w:val="21"/>
                <w:szCs w:val="21"/>
              </w:rPr>
            </w:pPr>
            <w:r>
              <w:rPr>
                <w:sz w:val="21"/>
                <w:szCs w:val="21"/>
              </w:rPr>
              <w:t>3</w:t>
            </w:r>
          </w:p>
        </w:tc>
        <w:tc>
          <w:tcPr>
            <w:tcW w:w="295" w:type="pct"/>
            <w:vMerge w:val="continue"/>
          </w:tcPr>
          <w:p>
            <w:pPr>
              <w:widowControl w:val="0"/>
              <w:adjustRightInd w:val="0"/>
              <w:snapToGrid w:val="0"/>
              <w:spacing w:line="300" w:lineRule="exact"/>
              <w:jc w:val="center"/>
              <w:rPr>
                <w:sz w:val="21"/>
                <w:szCs w:val="21"/>
              </w:rPr>
            </w:pPr>
          </w:p>
        </w:tc>
        <w:tc>
          <w:tcPr>
            <w:tcW w:w="597" w:type="pct"/>
            <w:vAlign w:val="center"/>
          </w:tcPr>
          <w:p>
            <w:pPr>
              <w:widowControl w:val="0"/>
              <w:adjustRightInd w:val="0"/>
              <w:snapToGrid w:val="0"/>
              <w:spacing w:line="300" w:lineRule="exact"/>
              <w:jc w:val="center"/>
              <w:rPr>
                <w:sz w:val="21"/>
                <w:szCs w:val="21"/>
              </w:rPr>
            </w:pPr>
            <w:r>
              <w:rPr>
                <w:sz w:val="21"/>
                <w:szCs w:val="21"/>
              </w:rPr>
              <w:t>植被</w:t>
            </w:r>
          </w:p>
        </w:tc>
        <w:tc>
          <w:tcPr>
            <w:tcW w:w="2252" w:type="pct"/>
            <w:vAlign w:val="center"/>
          </w:tcPr>
          <w:p>
            <w:pPr>
              <w:widowControl w:val="0"/>
              <w:adjustRightInd w:val="0"/>
              <w:snapToGrid w:val="0"/>
              <w:spacing w:line="300" w:lineRule="exact"/>
              <w:jc w:val="center"/>
              <w:rPr>
                <w:sz w:val="21"/>
                <w:szCs w:val="21"/>
              </w:rPr>
            </w:pPr>
            <w:r>
              <w:rPr>
                <w:sz w:val="21"/>
                <w:szCs w:val="21"/>
              </w:rPr>
              <w:t>1.监测项目：植被类型、植被覆盖度</w:t>
            </w:r>
            <w:r>
              <w:rPr>
                <w:rFonts w:hint="eastAsia"/>
                <w:sz w:val="21"/>
                <w:szCs w:val="21"/>
              </w:rPr>
              <w:t>等</w:t>
            </w:r>
          </w:p>
          <w:p>
            <w:pPr>
              <w:widowControl w:val="0"/>
              <w:adjustRightInd w:val="0"/>
              <w:snapToGrid w:val="0"/>
              <w:spacing w:line="300" w:lineRule="exact"/>
              <w:jc w:val="center"/>
              <w:rPr>
                <w:sz w:val="21"/>
                <w:szCs w:val="21"/>
              </w:rPr>
            </w:pPr>
            <w:r>
              <w:rPr>
                <w:sz w:val="21"/>
                <w:szCs w:val="21"/>
              </w:rPr>
              <w:t>2.监测频率：施工前后各一次</w:t>
            </w:r>
          </w:p>
          <w:p>
            <w:pPr>
              <w:widowControl w:val="0"/>
              <w:adjustRightInd w:val="0"/>
              <w:snapToGrid w:val="0"/>
              <w:spacing w:line="300" w:lineRule="exact"/>
              <w:jc w:val="center"/>
              <w:rPr>
                <w:sz w:val="21"/>
                <w:szCs w:val="21"/>
              </w:rPr>
            </w:pPr>
            <w:r>
              <w:rPr>
                <w:sz w:val="21"/>
                <w:szCs w:val="21"/>
              </w:rPr>
              <w:t>3.监测地点：</w:t>
            </w:r>
            <w:r>
              <w:rPr>
                <w:rFonts w:hint="eastAsia"/>
                <w:sz w:val="21"/>
                <w:szCs w:val="21"/>
              </w:rPr>
              <w:t>露天采场区域</w:t>
            </w:r>
          </w:p>
        </w:tc>
        <w:tc>
          <w:tcPr>
            <w:tcW w:w="483" w:type="pct"/>
            <w:vAlign w:val="center"/>
          </w:tcPr>
          <w:p>
            <w:pPr>
              <w:widowControl w:val="0"/>
              <w:adjustRightInd w:val="0"/>
              <w:snapToGrid w:val="0"/>
              <w:spacing w:line="300" w:lineRule="exact"/>
              <w:jc w:val="center"/>
              <w:rPr>
                <w:sz w:val="21"/>
                <w:szCs w:val="21"/>
              </w:rPr>
            </w:pPr>
            <w:r>
              <w:rPr>
                <w:sz w:val="21"/>
                <w:szCs w:val="21"/>
              </w:rPr>
              <w:t>报当地政府和当地环保部门</w:t>
            </w:r>
          </w:p>
        </w:tc>
        <w:tc>
          <w:tcPr>
            <w:tcW w:w="532" w:type="pct"/>
            <w:vAlign w:val="center"/>
          </w:tcPr>
          <w:p>
            <w:pPr>
              <w:widowControl w:val="0"/>
              <w:adjustRightInd w:val="0"/>
              <w:snapToGrid w:val="0"/>
              <w:spacing w:line="300" w:lineRule="exact"/>
              <w:jc w:val="center"/>
              <w:rPr>
                <w:sz w:val="21"/>
                <w:szCs w:val="21"/>
              </w:rPr>
            </w:pPr>
            <w:r>
              <w:rPr>
                <w:rFonts w:hint="eastAsia"/>
                <w:sz w:val="21"/>
                <w:szCs w:val="21"/>
              </w:rPr>
              <w:t>建设单位或委托有资质单位</w:t>
            </w:r>
          </w:p>
        </w:tc>
        <w:tc>
          <w:tcPr>
            <w:tcW w:w="533" w:type="pct"/>
          </w:tcPr>
          <w:p>
            <w:pPr>
              <w:widowControl w:val="0"/>
              <w:adjustRightInd w:val="0"/>
              <w:snapToGrid w:val="0"/>
              <w:spacing w:line="300" w:lineRule="exact"/>
              <w:jc w:val="center"/>
              <w:rPr>
                <w:sz w:val="21"/>
                <w:szCs w:val="21"/>
              </w:rPr>
            </w:pPr>
            <w:r>
              <w:rPr>
                <w:sz w:val="21"/>
                <w:szCs w:val="21"/>
              </w:rPr>
              <w:t>当地政府和当地环保部门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5" w:type="pct"/>
            <w:vAlign w:val="center"/>
          </w:tcPr>
          <w:p>
            <w:pPr>
              <w:widowControl w:val="0"/>
              <w:adjustRightInd w:val="0"/>
              <w:snapToGrid w:val="0"/>
              <w:spacing w:line="300" w:lineRule="exact"/>
              <w:jc w:val="center"/>
              <w:rPr>
                <w:sz w:val="21"/>
                <w:szCs w:val="21"/>
              </w:rPr>
            </w:pPr>
            <w:r>
              <w:rPr>
                <w:rFonts w:hint="eastAsia"/>
                <w:sz w:val="21"/>
                <w:szCs w:val="21"/>
              </w:rPr>
              <w:t>4</w:t>
            </w:r>
          </w:p>
        </w:tc>
        <w:tc>
          <w:tcPr>
            <w:tcW w:w="295" w:type="pct"/>
            <w:vMerge w:val="restart"/>
            <w:vAlign w:val="center"/>
          </w:tcPr>
          <w:p>
            <w:pPr>
              <w:widowControl w:val="0"/>
              <w:adjustRightInd w:val="0"/>
              <w:snapToGrid w:val="0"/>
              <w:spacing w:line="300" w:lineRule="exact"/>
              <w:jc w:val="center"/>
              <w:rPr>
                <w:sz w:val="21"/>
                <w:szCs w:val="21"/>
              </w:rPr>
            </w:pPr>
            <w:r>
              <w:rPr>
                <w:rFonts w:hint="eastAsia"/>
                <w:sz w:val="21"/>
                <w:szCs w:val="21"/>
              </w:rPr>
              <w:t>运营期</w:t>
            </w:r>
          </w:p>
        </w:tc>
        <w:tc>
          <w:tcPr>
            <w:tcW w:w="597" w:type="pct"/>
            <w:vAlign w:val="center"/>
          </w:tcPr>
          <w:p>
            <w:pPr>
              <w:widowControl w:val="0"/>
              <w:adjustRightInd w:val="0"/>
              <w:snapToGrid w:val="0"/>
              <w:spacing w:line="300" w:lineRule="exact"/>
              <w:jc w:val="center"/>
              <w:rPr>
                <w:sz w:val="21"/>
                <w:szCs w:val="21"/>
              </w:rPr>
            </w:pPr>
            <w:r>
              <w:rPr>
                <w:sz w:val="21"/>
                <w:szCs w:val="21"/>
              </w:rPr>
              <w:t>植被恢复、变化情况</w:t>
            </w:r>
          </w:p>
        </w:tc>
        <w:tc>
          <w:tcPr>
            <w:tcW w:w="2252" w:type="pct"/>
            <w:vAlign w:val="center"/>
          </w:tcPr>
          <w:p>
            <w:pPr>
              <w:widowControl w:val="0"/>
              <w:adjustRightInd w:val="0"/>
              <w:snapToGrid w:val="0"/>
              <w:spacing w:line="300" w:lineRule="exact"/>
              <w:jc w:val="center"/>
              <w:rPr>
                <w:sz w:val="21"/>
                <w:szCs w:val="21"/>
              </w:rPr>
            </w:pPr>
            <w:r>
              <w:rPr>
                <w:sz w:val="21"/>
                <w:szCs w:val="21"/>
              </w:rPr>
              <w:t>1.监测项目：植被覆盖度</w:t>
            </w:r>
          </w:p>
          <w:p>
            <w:pPr>
              <w:widowControl w:val="0"/>
              <w:adjustRightInd w:val="0"/>
              <w:snapToGrid w:val="0"/>
              <w:spacing w:line="300" w:lineRule="exact"/>
              <w:jc w:val="center"/>
              <w:rPr>
                <w:sz w:val="21"/>
                <w:szCs w:val="21"/>
              </w:rPr>
            </w:pPr>
            <w:r>
              <w:rPr>
                <w:sz w:val="21"/>
                <w:szCs w:val="21"/>
              </w:rPr>
              <w:t>2.监测频率：</w:t>
            </w:r>
            <w:r>
              <w:rPr>
                <w:rFonts w:hint="eastAsia"/>
                <w:sz w:val="21"/>
                <w:szCs w:val="21"/>
              </w:rPr>
              <w:t>投</w:t>
            </w:r>
            <w:r>
              <w:rPr>
                <w:sz w:val="21"/>
                <w:szCs w:val="21"/>
              </w:rPr>
              <w:t>产后5年内，1次/年</w:t>
            </w:r>
          </w:p>
          <w:p>
            <w:pPr>
              <w:widowControl w:val="0"/>
              <w:adjustRightInd w:val="0"/>
              <w:snapToGrid w:val="0"/>
              <w:spacing w:line="300" w:lineRule="exact"/>
              <w:jc w:val="center"/>
              <w:rPr>
                <w:sz w:val="21"/>
                <w:szCs w:val="21"/>
              </w:rPr>
            </w:pPr>
            <w:r>
              <w:rPr>
                <w:sz w:val="21"/>
                <w:szCs w:val="21"/>
              </w:rPr>
              <w:t>3.监测地点：</w:t>
            </w:r>
            <w:r>
              <w:rPr>
                <w:rFonts w:hint="eastAsia"/>
                <w:sz w:val="21"/>
                <w:szCs w:val="21"/>
              </w:rPr>
              <w:t>露天采场已恢复平台</w:t>
            </w:r>
          </w:p>
        </w:tc>
        <w:tc>
          <w:tcPr>
            <w:tcW w:w="483" w:type="pct"/>
            <w:vAlign w:val="center"/>
          </w:tcPr>
          <w:p>
            <w:pPr>
              <w:widowControl w:val="0"/>
              <w:adjustRightInd w:val="0"/>
              <w:snapToGrid w:val="0"/>
              <w:spacing w:line="300" w:lineRule="exact"/>
              <w:jc w:val="center"/>
              <w:rPr>
                <w:sz w:val="21"/>
                <w:szCs w:val="21"/>
              </w:rPr>
            </w:pPr>
            <w:r>
              <w:rPr>
                <w:sz w:val="21"/>
                <w:szCs w:val="21"/>
              </w:rPr>
              <w:t>报当地政府和当地环保部门</w:t>
            </w:r>
          </w:p>
        </w:tc>
        <w:tc>
          <w:tcPr>
            <w:tcW w:w="532" w:type="pct"/>
            <w:vAlign w:val="center"/>
          </w:tcPr>
          <w:p>
            <w:pPr>
              <w:widowControl w:val="0"/>
              <w:adjustRightInd w:val="0"/>
              <w:snapToGrid w:val="0"/>
              <w:spacing w:line="300" w:lineRule="exact"/>
              <w:jc w:val="center"/>
              <w:rPr>
                <w:sz w:val="21"/>
                <w:szCs w:val="21"/>
              </w:rPr>
            </w:pPr>
            <w:r>
              <w:rPr>
                <w:rFonts w:hint="eastAsia"/>
                <w:sz w:val="21"/>
                <w:szCs w:val="21"/>
              </w:rPr>
              <w:t>建设单位或委托有资质单位</w:t>
            </w:r>
          </w:p>
        </w:tc>
        <w:tc>
          <w:tcPr>
            <w:tcW w:w="533" w:type="pct"/>
          </w:tcPr>
          <w:p>
            <w:pPr>
              <w:widowControl w:val="0"/>
              <w:adjustRightInd w:val="0"/>
              <w:snapToGrid w:val="0"/>
              <w:spacing w:line="300" w:lineRule="exact"/>
              <w:jc w:val="center"/>
              <w:rPr>
                <w:sz w:val="21"/>
                <w:szCs w:val="21"/>
              </w:rPr>
            </w:pPr>
            <w:r>
              <w:rPr>
                <w:sz w:val="21"/>
                <w:szCs w:val="21"/>
              </w:rPr>
              <w:t>当地政府和当地环保部门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5" w:type="pct"/>
            <w:vAlign w:val="center"/>
          </w:tcPr>
          <w:p>
            <w:pPr>
              <w:widowControl w:val="0"/>
              <w:adjustRightInd w:val="0"/>
              <w:snapToGrid w:val="0"/>
              <w:spacing w:line="300" w:lineRule="exact"/>
              <w:jc w:val="center"/>
              <w:rPr>
                <w:sz w:val="21"/>
                <w:szCs w:val="21"/>
              </w:rPr>
            </w:pPr>
            <w:r>
              <w:rPr>
                <w:rFonts w:hint="eastAsia"/>
                <w:sz w:val="21"/>
                <w:szCs w:val="21"/>
              </w:rPr>
              <w:t>5</w:t>
            </w:r>
          </w:p>
        </w:tc>
        <w:tc>
          <w:tcPr>
            <w:tcW w:w="295" w:type="pct"/>
            <w:vMerge w:val="continue"/>
          </w:tcPr>
          <w:p>
            <w:pPr>
              <w:widowControl w:val="0"/>
              <w:adjustRightInd w:val="0"/>
              <w:snapToGrid w:val="0"/>
              <w:spacing w:line="300" w:lineRule="exact"/>
              <w:jc w:val="center"/>
              <w:rPr>
                <w:sz w:val="21"/>
                <w:szCs w:val="21"/>
              </w:rPr>
            </w:pPr>
          </w:p>
        </w:tc>
        <w:tc>
          <w:tcPr>
            <w:tcW w:w="597" w:type="pct"/>
            <w:vAlign w:val="center"/>
          </w:tcPr>
          <w:p>
            <w:pPr>
              <w:widowControl w:val="0"/>
              <w:adjustRightInd w:val="0"/>
              <w:snapToGrid w:val="0"/>
              <w:spacing w:line="300" w:lineRule="exact"/>
              <w:jc w:val="center"/>
              <w:rPr>
                <w:sz w:val="21"/>
                <w:szCs w:val="21"/>
              </w:rPr>
            </w:pPr>
            <w:r>
              <w:rPr>
                <w:sz w:val="21"/>
                <w:szCs w:val="21"/>
              </w:rPr>
              <w:t>矿区绿化与生态建设</w:t>
            </w:r>
          </w:p>
        </w:tc>
        <w:tc>
          <w:tcPr>
            <w:tcW w:w="2252" w:type="pct"/>
            <w:vAlign w:val="center"/>
          </w:tcPr>
          <w:p>
            <w:pPr>
              <w:widowControl w:val="0"/>
              <w:adjustRightInd w:val="0"/>
              <w:snapToGrid w:val="0"/>
              <w:spacing w:line="300" w:lineRule="exact"/>
              <w:jc w:val="center"/>
              <w:rPr>
                <w:sz w:val="21"/>
                <w:szCs w:val="21"/>
              </w:rPr>
            </w:pPr>
            <w:r>
              <w:rPr>
                <w:sz w:val="21"/>
                <w:szCs w:val="21"/>
              </w:rPr>
              <w:t>1.监测项目：</w:t>
            </w:r>
            <w:r>
              <w:rPr>
                <w:rFonts w:hint="eastAsia"/>
                <w:sz w:val="21"/>
                <w:szCs w:val="21"/>
              </w:rPr>
              <w:t>植被覆盖度、边坡治理率</w:t>
            </w:r>
          </w:p>
          <w:p>
            <w:pPr>
              <w:widowControl w:val="0"/>
              <w:adjustRightInd w:val="0"/>
              <w:snapToGrid w:val="0"/>
              <w:spacing w:line="300" w:lineRule="exact"/>
              <w:jc w:val="center"/>
              <w:rPr>
                <w:sz w:val="21"/>
                <w:szCs w:val="21"/>
              </w:rPr>
            </w:pPr>
            <w:r>
              <w:rPr>
                <w:sz w:val="21"/>
                <w:szCs w:val="21"/>
              </w:rPr>
              <w:t>2.监测频率：</w:t>
            </w:r>
            <w:r>
              <w:rPr>
                <w:rFonts w:hint="eastAsia"/>
                <w:sz w:val="21"/>
                <w:szCs w:val="21"/>
              </w:rPr>
              <w:t>服务期满</w:t>
            </w:r>
            <w:r>
              <w:rPr>
                <w:sz w:val="21"/>
                <w:szCs w:val="21"/>
              </w:rPr>
              <w:t>的</w:t>
            </w:r>
            <w:r>
              <w:rPr>
                <w:rFonts w:hint="eastAsia"/>
                <w:sz w:val="21"/>
                <w:szCs w:val="21"/>
              </w:rPr>
              <w:t>2</w:t>
            </w:r>
            <w:r>
              <w:rPr>
                <w:sz w:val="21"/>
                <w:szCs w:val="21"/>
              </w:rPr>
              <w:t>年内</w:t>
            </w:r>
            <w:r>
              <w:rPr>
                <w:rFonts w:hint="eastAsia"/>
                <w:sz w:val="21"/>
                <w:szCs w:val="21"/>
              </w:rPr>
              <w:t>，1</w:t>
            </w:r>
            <w:r>
              <w:rPr>
                <w:sz w:val="21"/>
                <w:szCs w:val="21"/>
              </w:rPr>
              <w:t>次/年</w:t>
            </w:r>
          </w:p>
          <w:p>
            <w:pPr>
              <w:widowControl w:val="0"/>
              <w:adjustRightInd w:val="0"/>
              <w:snapToGrid w:val="0"/>
              <w:spacing w:line="300" w:lineRule="exact"/>
              <w:jc w:val="center"/>
              <w:rPr>
                <w:sz w:val="21"/>
                <w:szCs w:val="21"/>
              </w:rPr>
            </w:pPr>
            <w:r>
              <w:rPr>
                <w:sz w:val="21"/>
                <w:szCs w:val="21"/>
              </w:rPr>
              <w:t>3.监测地点：</w:t>
            </w:r>
            <w:r>
              <w:rPr>
                <w:rFonts w:hint="eastAsia"/>
                <w:sz w:val="21"/>
                <w:szCs w:val="21"/>
              </w:rPr>
              <w:t>露天采场各台阶、工业场地</w:t>
            </w:r>
          </w:p>
        </w:tc>
        <w:tc>
          <w:tcPr>
            <w:tcW w:w="483" w:type="pct"/>
            <w:vAlign w:val="center"/>
          </w:tcPr>
          <w:p>
            <w:pPr>
              <w:widowControl w:val="0"/>
              <w:adjustRightInd w:val="0"/>
              <w:snapToGrid w:val="0"/>
              <w:spacing w:line="300" w:lineRule="exact"/>
              <w:jc w:val="center"/>
              <w:rPr>
                <w:sz w:val="21"/>
                <w:szCs w:val="21"/>
              </w:rPr>
            </w:pPr>
            <w:r>
              <w:rPr>
                <w:sz w:val="21"/>
                <w:szCs w:val="21"/>
              </w:rPr>
              <w:t>报当地政府和当地环保部门</w:t>
            </w:r>
          </w:p>
        </w:tc>
        <w:tc>
          <w:tcPr>
            <w:tcW w:w="532" w:type="pct"/>
            <w:vAlign w:val="center"/>
          </w:tcPr>
          <w:p>
            <w:pPr>
              <w:widowControl w:val="0"/>
              <w:adjustRightInd w:val="0"/>
              <w:snapToGrid w:val="0"/>
              <w:spacing w:line="300" w:lineRule="exact"/>
              <w:jc w:val="center"/>
              <w:rPr>
                <w:sz w:val="21"/>
                <w:szCs w:val="21"/>
              </w:rPr>
            </w:pPr>
            <w:r>
              <w:rPr>
                <w:rFonts w:hint="eastAsia"/>
                <w:sz w:val="21"/>
                <w:szCs w:val="21"/>
              </w:rPr>
              <w:t>建设单位或委托有资质单位</w:t>
            </w:r>
          </w:p>
        </w:tc>
        <w:tc>
          <w:tcPr>
            <w:tcW w:w="533" w:type="pct"/>
          </w:tcPr>
          <w:p>
            <w:pPr>
              <w:widowControl w:val="0"/>
              <w:adjustRightInd w:val="0"/>
              <w:snapToGrid w:val="0"/>
              <w:spacing w:line="300" w:lineRule="exact"/>
              <w:jc w:val="center"/>
              <w:rPr>
                <w:sz w:val="21"/>
                <w:szCs w:val="21"/>
              </w:rPr>
            </w:pPr>
            <w:r>
              <w:rPr>
                <w:sz w:val="21"/>
                <w:szCs w:val="21"/>
              </w:rPr>
              <w:t>当地政府和当地环保部门</w:t>
            </w:r>
          </w:p>
        </w:tc>
      </w:tr>
    </w:tbl>
    <w:p>
      <w:pPr>
        <w:pStyle w:val="6"/>
        <w:keepLines w:val="0"/>
        <w:adjustRightInd w:val="0"/>
        <w:snapToGrid w:val="0"/>
        <w:spacing w:before="120" w:beforeLines="50" w:line="360" w:lineRule="auto"/>
        <w:rPr>
          <w:rFonts w:eastAsia="宋体"/>
          <w:bCs w:val="0"/>
          <w:i w:val="0"/>
          <w:color w:val="auto"/>
          <w:sz w:val="24"/>
          <w:szCs w:val="24"/>
        </w:rPr>
      </w:pPr>
      <w:r>
        <w:rPr>
          <w:rFonts w:eastAsia="宋体"/>
          <w:bCs w:val="0"/>
          <w:i w:val="0"/>
          <w:color w:val="auto"/>
          <w:sz w:val="24"/>
          <w:szCs w:val="24"/>
        </w:rPr>
        <w:t>5.5.</w:t>
      </w:r>
      <w:r>
        <w:rPr>
          <w:rFonts w:hint="eastAsia" w:eastAsia="宋体"/>
          <w:bCs w:val="0"/>
          <w:i w:val="0"/>
          <w:color w:val="auto"/>
          <w:sz w:val="24"/>
          <w:szCs w:val="24"/>
        </w:rPr>
        <w:t>8</w:t>
      </w:r>
      <w:r>
        <w:rPr>
          <w:rFonts w:eastAsia="宋体"/>
          <w:bCs w:val="0"/>
          <w:i w:val="0"/>
          <w:color w:val="auto"/>
          <w:sz w:val="24"/>
          <w:szCs w:val="24"/>
        </w:rPr>
        <w:t>生态环境</w:t>
      </w:r>
      <w:r>
        <w:rPr>
          <w:rFonts w:hint="eastAsia" w:eastAsia="宋体"/>
          <w:bCs w:val="0"/>
          <w:i w:val="0"/>
          <w:color w:val="auto"/>
          <w:sz w:val="24"/>
          <w:szCs w:val="24"/>
        </w:rPr>
        <w:t>影响评价结论</w:t>
      </w:r>
    </w:p>
    <w:p>
      <w:pPr>
        <w:pStyle w:val="361"/>
        <w:widowControl w:val="0"/>
        <w:spacing w:line="440" w:lineRule="exact"/>
        <w:ind w:firstLineChars="200"/>
        <w:jc w:val="both"/>
        <w:rPr>
          <w:rFonts w:eastAsia="宋体"/>
        </w:rPr>
      </w:pPr>
      <w:r>
        <w:rPr>
          <w:rFonts w:eastAsia="宋体"/>
        </w:rPr>
        <w:t>根据项目生态影响预测及恢复影响分析可知</w:t>
      </w:r>
      <w:r>
        <w:rPr>
          <w:rFonts w:hint="eastAsia" w:eastAsia="宋体"/>
        </w:rPr>
        <w:t>，</w:t>
      </w:r>
      <w:r>
        <w:rPr>
          <w:rFonts w:eastAsia="宋体"/>
        </w:rPr>
        <w:t>在矿区服务期满后</w:t>
      </w:r>
      <w:r>
        <w:rPr>
          <w:rFonts w:hint="eastAsia" w:eastAsia="宋体"/>
        </w:rPr>
        <w:t>，对矿区</w:t>
      </w:r>
      <w:r>
        <w:rPr>
          <w:rFonts w:eastAsia="宋体"/>
        </w:rPr>
        <w:t>占地</w:t>
      </w:r>
      <w:r>
        <w:rPr>
          <w:rFonts w:hint="eastAsia" w:eastAsia="宋体"/>
        </w:rPr>
        <w:t>进行土地复垦和生态恢复，</w:t>
      </w:r>
      <w:r>
        <w:rPr>
          <w:rFonts w:eastAsia="宋体"/>
        </w:rPr>
        <w:t>最终</w:t>
      </w:r>
      <w:r>
        <w:rPr>
          <w:rFonts w:hint="eastAsia" w:eastAsia="宋体"/>
        </w:rPr>
        <w:t>评价区</w:t>
      </w:r>
      <w:r>
        <w:rPr>
          <w:rFonts w:eastAsia="宋体"/>
          <w:color w:val="auto"/>
        </w:rPr>
        <w:t>综合值为</w:t>
      </w:r>
      <w:r>
        <w:rPr>
          <w:rFonts w:hint="eastAsia" w:eastAsia="宋体"/>
          <w:color w:val="auto"/>
          <w:lang w:val="en-US" w:eastAsia="zh-CN"/>
        </w:rPr>
        <w:t>1.935</w:t>
      </w:r>
      <w:r>
        <w:rPr>
          <w:rFonts w:hint="eastAsia" w:eastAsia="宋体"/>
          <w:color w:val="auto"/>
        </w:rPr>
        <w:t>，</w:t>
      </w:r>
      <w:r>
        <w:rPr>
          <w:rFonts w:eastAsia="宋体"/>
        </w:rPr>
        <w:t>相较于</w:t>
      </w:r>
      <w:r>
        <w:rPr>
          <w:rFonts w:hint="eastAsia" w:eastAsia="宋体"/>
        </w:rPr>
        <w:t>现状值综合值和</w:t>
      </w:r>
      <w:r>
        <w:rPr>
          <w:rFonts w:eastAsia="宋体"/>
        </w:rPr>
        <w:t>预测</w:t>
      </w:r>
      <w:r>
        <w:rPr>
          <w:rFonts w:hint="eastAsia" w:eastAsia="宋体"/>
        </w:rPr>
        <w:t>综合</w:t>
      </w:r>
      <w:r>
        <w:rPr>
          <w:rFonts w:eastAsia="宋体"/>
        </w:rPr>
        <w:t>值有所增加</w:t>
      </w:r>
      <w:r>
        <w:rPr>
          <w:rFonts w:hint="eastAsia" w:eastAsia="宋体"/>
        </w:rPr>
        <w:t>。因而，本项目</w:t>
      </w:r>
      <w:r>
        <w:rPr>
          <w:rFonts w:eastAsia="宋体"/>
        </w:rPr>
        <w:t>生态治理及恢复措施对项目开采及运营产生的影响有明显的补偿作用</w:t>
      </w:r>
      <w:r>
        <w:rPr>
          <w:rFonts w:hint="eastAsia" w:eastAsia="宋体"/>
        </w:rPr>
        <w:t>，</w:t>
      </w:r>
      <w:r>
        <w:rPr>
          <w:rFonts w:eastAsia="宋体"/>
        </w:rPr>
        <w:t>项目</w:t>
      </w:r>
      <w:r>
        <w:rPr>
          <w:rFonts w:hint="eastAsia" w:eastAsia="宋体"/>
        </w:rPr>
        <w:t>建设</w:t>
      </w:r>
      <w:r>
        <w:rPr>
          <w:rFonts w:eastAsia="宋体"/>
        </w:rPr>
        <w:t>对生态环境的影响会降至最低</w:t>
      </w:r>
      <w:r>
        <w:rPr>
          <w:rFonts w:hint="eastAsia" w:eastAsia="宋体"/>
        </w:rPr>
        <w:t>，</w:t>
      </w:r>
      <w:r>
        <w:rPr>
          <w:rFonts w:eastAsia="宋体"/>
        </w:rPr>
        <w:t>其生态完整性不会发生变化</w:t>
      </w:r>
      <w:r>
        <w:rPr>
          <w:rFonts w:hint="eastAsia" w:eastAsia="宋体"/>
        </w:rPr>
        <w:t>。</w:t>
      </w:r>
    </w:p>
    <w:p>
      <w:pPr>
        <w:spacing w:line="440" w:lineRule="exact"/>
        <w:ind w:firstLine="480" w:firstLineChars="200"/>
        <w:jc w:val="both"/>
        <w:rPr>
          <w:color w:val="7030A0"/>
        </w:rPr>
        <w:sectPr>
          <w:pgSz w:w="11907" w:h="16840"/>
          <w:pgMar w:top="1247" w:right="1418" w:bottom="1247" w:left="1418" w:header="992" w:footer="992" w:gutter="0"/>
          <w:cols w:space="425" w:num="1"/>
          <w:docGrid w:linePitch="312" w:charSpace="0"/>
        </w:sectPr>
      </w:pPr>
    </w:p>
    <w:p>
      <w:pPr>
        <w:pStyle w:val="2"/>
        <w:widowControl w:val="0"/>
        <w:spacing w:after="0"/>
        <w:ind w:firstLine="210"/>
        <w:rPr>
          <w:rFonts w:hint="eastAsia" w:eastAsia="宋体"/>
          <w:lang w:eastAsia="zh-CN"/>
        </w:rPr>
      </w:pPr>
    </w:p>
    <w:p>
      <w:pPr>
        <w:pStyle w:val="2"/>
        <w:widowControl w:val="0"/>
        <w:spacing w:after="0"/>
        <w:ind w:firstLine="240"/>
        <w:jc w:val="center"/>
        <w:rPr>
          <w:sz w:val="24"/>
          <w:szCs w:val="32"/>
        </w:rPr>
        <w:sectPr>
          <w:pgSz w:w="16840" w:h="11907" w:orient="landscape"/>
          <w:pgMar w:top="1418" w:right="1247" w:bottom="1418" w:left="1247" w:header="992" w:footer="992" w:gutter="0"/>
          <w:cols w:space="425" w:num="1"/>
          <w:docGrid w:linePitch="312" w:charSpace="0"/>
        </w:sectPr>
      </w:pPr>
      <w:r>
        <w:rPr>
          <w:rFonts w:hint="eastAsia"/>
          <w:sz w:val="24"/>
          <w:szCs w:val="32"/>
        </w:rPr>
        <w:t>图5-5-1  典型生态保护恢复措施平面布置图</w:t>
      </w:r>
    </w:p>
    <w:p>
      <w:pPr>
        <w:widowControl w:val="0"/>
        <w:adjustRightInd w:val="0"/>
        <w:snapToGrid w:val="0"/>
        <w:spacing w:before="240" w:beforeLines="100" w:after="240" w:afterLines="100"/>
        <w:jc w:val="center"/>
        <w:outlineLvl w:val="0"/>
        <w:rPr>
          <w:rFonts w:eastAsia="黑体"/>
          <w:b/>
          <w:kern w:val="2"/>
          <w:sz w:val="44"/>
          <w:szCs w:val="44"/>
        </w:rPr>
      </w:pPr>
      <w:bookmarkStart w:id="298" w:name="_Toc81007173"/>
      <w:bookmarkStart w:id="299" w:name="_Toc81006432"/>
      <w:bookmarkStart w:id="300" w:name="_Toc245722018"/>
      <w:bookmarkStart w:id="301" w:name="_Toc61251023"/>
      <w:bookmarkStart w:id="302" w:name="_Toc7795"/>
      <w:bookmarkStart w:id="303" w:name="_Toc396395433"/>
      <w:bookmarkStart w:id="304" w:name="_Toc395801282"/>
      <w:bookmarkStart w:id="305" w:name="_Toc399150429"/>
      <w:bookmarkStart w:id="306" w:name="_Toc512765192"/>
      <w:r>
        <w:rPr>
          <w:rFonts w:eastAsia="黑体"/>
          <w:b/>
          <w:kern w:val="2"/>
          <w:sz w:val="44"/>
          <w:szCs w:val="44"/>
        </w:rPr>
        <w:t xml:space="preserve">第六章  </w:t>
      </w:r>
      <w:bookmarkEnd w:id="298"/>
      <w:bookmarkEnd w:id="299"/>
      <w:bookmarkEnd w:id="300"/>
      <w:bookmarkEnd w:id="301"/>
      <w:r>
        <w:rPr>
          <w:rFonts w:eastAsia="黑体"/>
          <w:b/>
          <w:kern w:val="2"/>
          <w:sz w:val="44"/>
          <w:szCs w:val="44"/>
        </w:rPr>
        <w:t>污染防治措施可行性分析</w:t>
      </w:r>
      <w:bookmarkEnd w:id="302"/>
      <w:bookmarkEnd w:id="303"/>
      <w:bookmarkEnd w:id="304"/>
      <w:bookmarkEnd w:id="305"/>
    </w:p>
    <w:p>
      <w:pPr>
        <w:pStyle w:val="5"/>
        <w:adjustRightInd w:val="0"/>
        <w:snapToGrid w:val="0"/>
        <w:spacing w:before="120" w:beforeLines="50" w:line="360" w:lineRule="auto"/>
        <w:rPr>
          <w:rFonts w:eastAsia="宋体"/>
          <w:sz w:val="28"/>
          <w:szCs w:val="28"/>
        </w:rPr>
      </w:pPr>
      <w:bookmarkStart w:id="307" w:name="_Toc396395435"/>
      <w:bookmarkStart w:id="308" w:name="_Toc26014"/>
      <w:bookmarkStart w:id="309" w:name="_Toc395801289"/>
      <w:bookmarkStart w:id="310" w:name="_Toc399150436"/>
      <w:r>
        <w:rPr>
          <w:rFonts w:eastAsia="宋体"/>
          <w:sz w:val="28"/>
          <w:szCs w:val="28"/>
        </w:rPr>
        <w:t>6.1</w:t>
      </w:r>
      <w:r>
        <w:rPr>
          <w:rFonts w:hint="eastAsia" w:eastAsia="宋体"/>
          <w:sz w:val="28"/>
          <w:szCs w:val="28"/>
        </w:rPr>
        <w:t>施工期污染防治措施</w:t>
      </w:r>
      <w:bookmarkEnd w:id="307"/>
      <w:bookmarkEnd w:id="308"/>
      <w:bookmarkEnd w:id="309"/>
      <w:bookmarkEnd w:id="310"/>
    </w:p>
    <w:p>
      <w:pPr>
        <w:pStyle w:val="6"/>
        <w:adjustRightInd w:val="0"/>
        <w:snapToGrid w:val="0"/>
        <w:spacing w:before="120" w:beforeLines="50" w:line="360" w:lineRule="auto"/>
        <w:rPr>
          <w:rFonts w:eastAsia="宋体"/>
          <w:bCs w:val="0"/>
          <w:i w:val="0"/>
          <w:color w:val="auto"/>
          <w:sz w:val="24"/>
          <w:szCs w:val="24"/>
        </w:rPr>
      </w:pPr>
      <w:r>
        <w:rPr>
          <w:rFonts w:eastAsia="宋体"/>
          <w:bCs w:val="0"/>
          <w:i w:val="0"/>
          <w:color w:val="auto"/>
          <w:sz w:val="24"/>
          <w:szCs w:val="24"/>
        </w:rPr>
        <w:t xml:space="preserve">6.1.1 </w:t>
      </w:r>
      <w:r>
        <w:rPr>
          <w:rFonts w:hint="eastAsia" w:eastAsia="宋体"/>
          <w:bCs w:val="0"/>
          <w:i w:val="0"/>
          <w:color w:val="auto"/>
          <w:sz w:val="24"/>
          <w:szCs w:val="24"/>
        </w:rPr>
        <w:t>大气污染防治措施</w:t>
      </w:r>
    </w:p>
    <w:p>
      <w:pPr>
        <w:spacing w:line="440" w:lineRule="atLeast"/>
        <w:ind w:firstLine="480" w:firstLineChars="200"/>
        <w:jc w:val="both"/>
      </w:pPr>
      <w:r>
        <w:rPr>
          <w:rFonts w:hint="eastAsia"/>
        </w:rPr>
        <w:t>（1）施工扬尘</w:t>
      </w:r>
    </w:p>
    <w:p>
      <w:pPr>
        <w:pStyle w:val="361"/>
        <w:spacing w:line="440" w:lineRule="atLeast"/>
        <w:ind w:firstLineChars="200"/>
        <w:jc w:val="both"/>
        <w:rPr>
          <w:rFonts w:eastAsia="宋体"/>
        </w:rPr>
      </w:pPr>
      <w:r>
        <w:rPr>
          <w:rFonts w:eastAsia="宋体"/>
        </w:rPr>
        <w:t>针对施工扬尘评价要求采取以下防治措施：</w:t>
      </w:r>
    </w:p>
    <w:p>
      <w:pPr>
        <w:pStyle w:val="361"/>
        <w:spacing w:line="440" w:lineRule="atLeast"/>
        <w:ind w:firstLineChars="200"/>
        <w:jc w:val="both"/>
        <w:rPr>
          <w:rFonts w:eastAsia="宋体"/>
        </w:rPr>
      </w:pPr>
      <w:r>
        <w:rPr>
          <w:rFonts w:eastAsia="宋体"/>
        </w:rPr>
        <w:t>①建设单位应当在施工工地公示扬尘污染防治措施、负责人、扬尘监督管理主管部门等信息，确保做到工地周边围挡、物料堆放覆盖、土方开挖湿法作业、路面硬化、出入车辆冲洗、渣土运输车辆密闭运输“六个百分百”；</w:t>
      </w:r>
    </w:p>
    <w:p>
      <w:pPr>
        <w:pStyle w:val="361"/>
        <w:spacing w:line="440" w:lineRule="atLeast"/>
        <w:ind w:firstLineChars="200"/>
        <w:jc w:val="both"/>
        <w:rPr>
          <w:rFonts w:eastAsia="宋体"/>
        </w:rPr>
      </w:pPr>
      <w:r>
        <w:rPr>
          <w:rFonts w:eastAsia="宋体"/>
        </w:rPr>
        <w:t>②从严控制渣土运输污染，渣土运输车辆全部采用“全密闭”、“全定位”、“全监控”的新型环保渣土车，并符合环保尾气排放标准；无主管部门核发渣土运输许可证和交警部门核发限行道路通行证的车辆一律不得进入工地，密闭不严、车轮带泥的车辆，一律不得驶出工地；</w:t>
      </w:r>
    </w:p>
    <w:p>
      <w:pPr>
        <w:pStyle w:val="361"/>
        <w:spacing w:line="440" w:lineRule="atLeast"/>
        <w:ind w:firstLineChars="200"/>
        <w:jc w:val="both"/>
        <w:rPr>
          <w:rFonts w:eastAsia="宋体"/>
        </w:rPr>
      </w:pPr>
      <w:r>
        <w:rPr>
          <w:rFonts w:eastAsia="宋体"/>
        </w:rPr>
        <w:t>③渣土运输必须按照规定线路、规定时间行驶，必须到指定场所倾倒；</w:t>
      </w:r>
    </w:p>
    <w:p>
      <w:pPr>
        <w:pStyle w:val="361"/>
        <w:spacing w:line="440" w:lineRule="atLeast"/>
        <w:ind w:firstLineChars="200"/>
        <w:jc w:val="both"/>
        <w:rPr>
          <w:rFonts w:eastAsia="宋体"/>
        </w:rPr>
      </w:pPr>
      <w:r>
        <w:rPr>
          <w:rFonts w:eastAsia="宋体"/>
        </w:rPr>
        <w:t>④土方及建筑垃圾及时清运，不能及时清运时必须采取苫盖措施；</w:t>
      </w:r>
    </w:p>
    <w:p>
      <w:pPr>
        <w:pStyle w:val="361"/>
        <w:spacing w:line="440" w:lineRule="atLeast"/>
        <w:ind w:firstLineChars="200"/>
        <w:jc w:val="both"/>
        <w:rPr>
          <w:rFonts w:eastAsia="宋体"/>
        </w:rPr>
      </w:pPr>
      <w:r>
        <w:rPr>
          <w:rFonts w:eastAsia="宋体"/>
        </w:rPr>
        <w:t>⑤运输道路及时清扫、定期洒水，保持路面清洁湿润；</w:t>
      </w:r>
    </w:p>
    <w:p>
      <w:pPr>
        <w:pStyle w:val="361"/>
        <w:spacing w:line="440" w:lineRule="atLeast"/>
        <w:ind w:firstLineChars="200"/>
        <w:jc w:val="both"/>
        <w:rPr>
          <w:rFonts w:eastAsia="宋体"/>
        </w:rPr>
      </w:pPr>
      <w:r>
        <w:rPr>
          <w:rFonts w:eastAsia="宋体"/>
        </w:rPr>
        <w:t>⑥施工现场配备洒水车辆，在晴天或气候干燥的情况下，应定期洒水，保持地面湿润；暂时不施工时对裸露地面进行覆盖；</w:t>
      </w:r>
    </w:p>
    <w:p>
      <w:pPr>
        <w:pStyle w:val="361"/>
        <w:spacing w:line="440" w:lineRule="atLeast"/>
        <w:ind w:firstLineChars="200"/>
        <w:jc w:val="both"/>
        <w:rPr>
          <w:rFonts w:eastAsia="宋体"/>
        </w:rPr>
      </w:pPr>
      <w:r>
        <w:rPr>
          <w:rFonts w:eastAsia="宋体"/>
        </w:rPr>
        <w:t>⑦合理安排施工时序，重污染天气预警和采暖季期间，不得进行土石方作业；</w:t>
      </w:r>
    </w:p>
    <w:p>
      <w:pPr>
        <w:pStyle w:val="361"/>
        <w:spacing w:line="440" w:lineRule="atLeast"/>
        <w:ind w:firstLineChars="200"/>
        <w:jc w:val="both"/>
        <w:rPr>
          <w:rFonts w:eastAsia="宋体"/>
        </w:rPr>
      </w:pPr>
      <w:r>
        <w:rPr>
          <w:rFonts w:eastAsia="宋体"/>
        </w:rPr>
        <w:t>⑧选用先进的施工设备，加强施工工地管理，保持施工设备正常运行，减少施工设备待机时间，降低施工车辆在场区内的停留时间，减少施工机械及运输车辆废气产生量；</w:t>
      </w:r>
    </w:p>
    <w:p>
      <w:pPr>
        <w:pStyle w:val="361"/>
        <w:spacing w:line="440" w:lineRule="atLeast"/>
        <w:ind w:firstLineChars="200"/>
        <w:jc w:val="both"/>
        <w:rPr>
          <w:rFonts w:eastAsia="宋体"/>
        </w:rPr>
      </w:pPr>
      <w:r>
        <w:rPr>
          <w:rFonts w:eastAsia="宋体"/>
        </w:rPr>
        <w:t>⑨施工场地冬季采暖采用电采暖，不得燃煤。</w:t>
      </w:r>
    </w:p>
    <w:p>
      <w:pPr>
        <w:pStyle w:val="361"/>
        <w:spacing w:line="440" w:lineRule="atLeast"/>
        <w:ind w:firstLineChars="200"/>
        <w:jc w:val="both"/>
        <w:rPr>
          <w:rFonts w:eastAsia="宋体"/>
        </w:rPr>
      </w:pPr>
      <w:r>
        <w:rPr>
          <w:rFonts w:eastAsia="宋体"/>
        </w:rPr>
        <w:t>采取上述措施后</w:t>
      </w:r>
      <w:r>
        <w:rPr>
          <w:rFonts w:hint="eastAsia" w:eastAsia="宋体"/>
        </w:rPr>
        <w:t>，</w:t>
      </w:r>
      <w:r>
        <w:rPr>
          <w:rFonts w:eastAsia="宋体"/>
        </w:rPr>
        <w:t>可使扬尘量降低50～70%</w:t>
      </w:r>
      <w:r>
        <w:rPr>
          <w:rFonts w:hint="eastAsia" w:eastAsia="宋体"/>
        </w:rPr>
        <w:t>，</w:t>
      </w:r>
      <w:r>
        <w:rPr>
          <w:rFonts w:eastAsia="宋体"/>
        </w:rPr>
        <w:t>有效减少施工期扬尘对环境的影响</w:t>
      </w:r>
      <w:r>
        <w:rPr>
          <w:rFonts w:hint="eastAsia" w:eastAsia="宋体"/>
        </w:rPr>
        <w:t>。</w:t>
      </w:r>
      <w:r>
        <w:rPr>
          <w:rFonts w:eastAsia="宋体"/>
        </w:rPr>
        <w:t>同时</w:t>
      </w:r>
      <w:r>
        <w:rPr>
          <w:rFonts w:hint="eastAsia" w:eastAsia="宋体"/>
        </w:rPr>
        <w:t>，</w:t>
      </w:r>
      <w:r>
        <w:rPr>
          <w:rFonts w:eastAsia="宋体"/>
        </w:rPr>
        <w:t>评价要求建设单位对施工期进行环境监理</w:t>
      </w:r>
      <w:r>
        <w:rPr>
          <w:rFonts w:hint="eastAsia" w:eastAsia="宋体"/>
        </w:rPr>
        <w:t>，</w:t>
      </w:r>
      <w:r>
        <w:rPr>
          <w:rFonts w:eastAsia="宋体"/>
        </w:rPr>
        <w:t>确保施工扬尘污染防治措施能够施行到位</w:t>
      </w:r>
      <w:r>
        <w:rPr>
          <w:rFonts w:hint="eastAsia" w:eastAsia="宋体"/>
        </w:rPr>
        <w:t>。</w:t>
      </w:r>
    </w:p>
    <w:p>
      <w:pPr>
        <w:pStyle w:val="361"/>
        <w:spacing w:line="440" w:lineRule="atLeast"/>
        <w:ind w:firstLineChars="200"/>
        <w:jc w:val="both"/>
        <w:rPr>
          <w:rFonts w:eastAsia="宋体"/>
        </w:rPr>
      </w:pPr>
      <w:r>
        <w:rPr>
          <w:rFonts w:eastAsia="宋体"/>
        </w:rPr>
        <w:t>由于施工期大气污染物的排放都是暂时的</w:t>
      </w:r>
      <w:r>
        <w:rPr>
          <w:rFonts w:hint="eastAsia" w:eastAsia="宋体"/>
        </w:rPr>
        <w:t>，</w:t>
      </w:r>
      <w:r>
        <w:rPr>
          <w:rFonts w:eastAsia="宋体"/>
        </w:rPr>
        <w:t>只要合理规划、科学管理</w:t>
      </w:r>
      <w:r>
        <w:rPr>
          <w:rFonts w:hint="eastAsia" w:eastAsia="宋体"/>
        </w:rPr>
        <w:t>，</w:t>
      </w:r>
      <w:r>
        <w:rPr>
          <w:rFonts w:eastAsia="宋体"/>
        </w:rPr>
        <w:t>施工活动不会明显影响场地周围的环境空气质量</w:t>
      </w:r>
      <w:r>
        <w:rPr>
          <w:rFonts w:hint="eastAsia" w:eastAsia="宋体"/>
        </w:rPr>
        <w:t>，</w:t>
      </w:r>
      <w:r>
        <w:rPr>
          <w:rFonts w:eastAsia="宋体"/>
        </w:rPr>
        <w:t>而且随着施工活动的结束</w:t>
      </w:r>
      <w:r>
        <w:rPr>
          <w:rFonts w:hint="eastAsia" w:eastAsia="宋体"/>
        </w:rPr>
        <w:t>，</w:t>
      </w:r>
      <w:r>
        <w:rPr>
          <w:rFonts w:eastAsia="宋体"/>
        </w:rPr>
        <w:t>这些污染也将消失</w:t>
      </w:r>
      <w:r>
        <w:rPr>
          <w:rFonts w:hint="eastAsia" w:eastAsia="宋体"/>
        </w:rPr>
        <w:t>。</w:t>
      </w:r>
    </w:p>
    <w:p>
      <w:pPr>
        <w:pStyle w:val="361"/>
        <w:spacing w:line="440" w:lineRule="atLeast"/>
        <w:ind w:firstLineChars="200"/>
        <w:jc w:val="both"/>
        <w:rPr>
          <w:rFonts w:eastAsia="宋体"/>
        </w:rPr>
      </w:pPr>
      <w:r>
        <w:rPr>
          <w:rFonts w:hint="eastAsia" w:eastAsia="宋体"/>
        </w:rPr>
        <w:t>因而，本项目施工期大气污染防治措施可行。</w:t>
      </w:r>
    </w:p>
    <w:p>
      <w:pPr>
        <w:pStyle w:val="6"/>
        <w:adjustRightInd w:val="0"/>
        <w:snapToGrid w:val="0"/>
        <w:spacing w:before="120" w:beforeLines="50" w:line="360" w:lineRule="auto"/>
        <w:rPr>
          <w:rFonts w:eastAsia="宋体"/>
          <w:bCs w:val="0"/>
          <w:i w:val="0"/>
          <w:color w:val="auto"/>
          <w:sz w:val="24"/>
          <w:szCs w:val="24"/>
        </w:rPr>
      </w:pPr>
      <w:r>
        <w:rPr>
          <w:rFonts w:eastAsia="宋体"/>
          <w:bCs w:val="0"/>
          <w:i w:val="0"/>
          <w:color w:val="auto"/>
          <w:sz w:val="24"/>
          <w:szCs w:val="24"/>
        </w:rPr>
        <w:t>6.1.2</w:t>
      </w:r>
      <w:r>
        <w:rPr>
          <w:rFonts w:hint="eastAsia" w:eastAsia="宋体"/>
          <w:bCs w:val="0"/>
          <w:i w:val="0"/>
          <w:color w:val="auto"/>
          <w:sz w:val="24"/>
          <w:szCs w:val="24"/>
        </w:rPr>
        <w:t>水污染防治措施</w:t>
      </w:r>
    </w:p>
    <w:p>
      <w:pPr>
        <w:spacing w:line="440" w:lineRule="atLeast"/>
        <w:ind w:firstLine="480" w:firstLineChars="200"/>
        <w:jc w:val="both"/>
      </w:pPr>
      <w:r>
        <w:rPr>
          <w:rFonts w:hint="eastAsia"/>
        </w:rPr>
        <w:t>（1）生产废水</w:t>
      </w:r>
    </w:p>
    <w:p>
      <w:pPr>
        <w:pStyle w:val="361"/>
        <w:spacing w:line="440" w:lineRule="exact"/>
        <w:ind w:firstLineChars="200"/>
        <w:jc w:val="both"/>
        <w:rPr>
          <w:rFonts w:eastAsia="宋体"/>
        </w:rPr>
      </w:pPr>
      <w:r>
        <w:rPr>
          <w:rFonts w:eastAsia="宋体"/>
        </w:rPr>
        <w:t>施工场地废水主要为各种施工机械设备运转的冷却、洗涤用水，以及运输车辆冲洗产生的洗涤废水。该类废水含SS大约在1000~3000mg/L左右，pH值呈弱酸性，并带有少量油污。评价要求施工场地内建设1座沉淀池，施工废水经沉淀处理后回用于运输车辆冲洗以及施工场地的洒水抑尘等，不得外排。</w:t>
      </w:r>
    </w:p>
    <w:p>
      <w:pPr>
        <w:spacing w:line="440" w:lineRule="atLeast"/>
        <w:ind w:firstLine="480" w:firstLineChars="200"/>
        <w:jc w:val="both"/>
      </w:pPr>
      <w:r>
        <w:rPr>
          <w:rFonts w:hint="eastAsia"/>
        </w:rPr>
        <w:t>（2）生活污水</w:t>
      </w:r>
    </w:p>
    <w:p>
      <w:pPr>
        <w:pStyle w:val="361"/>
        <w:spacing w:line="440" w:lineRule="exact"/>
        <w:ind w:firstLineChars="200"/>
        <w:jc w:val="both"/>
        <w:rPr>
          <w:rFonts w:eastAsia="宋体"/>
        </w:rPr>
      </w:pPr>
      <w:r>
        <w:rPr>
          <w:rFonts w:eastAsia="宋体"/>
        </w:rPr>
        <w:t>本项目施工场地内不设施工生活营地，施工人员不在施工场地内食宿，施工人员生活污水主要为职工日常盥洗废水，水量小、水质简单，直接用于施工场地洒水抑尘。</w:t>
      </w:r>
    </w:p>
    <w:p>
      <w:pPr>
        <w:pStyle w:val="361"/>
        <w:spacing w:line="440" w:lineRule="atLeast"/>
        <w:ind w:firstLineChars="200"/>
        <w:jc w:val="both"/>
        <w:rPr>
          <w:rFonts w:eastAsia="宋体"/>
        </w:rPr>
      </w:pPr>
      <w:r>
        <w:rPr>
          <w:rFonts w:hint="eastAsia" w:eastAsia="宋体"/>
        </w:rPr>
        <w:t>因而，施工期能够做到废水不外排，不会对区域水环境产生影响，施工期水污染防治措施可行。</w:t>
      </w:r>
    </w:p>
    <w:p>
      <w:pPr>
        <w:pStyle w:val="6"/>
        <w:adjustRightInd w:val="0"/>
        <w:snapToGrid w:val="0"/>
        <w:spacing w:before="120" w:beforeLines="50" w:line="360" w:lineRule="auto"/>
        <w:rPr>
          <w:rFonts w:eastAsia="宋体"/>
          <w:bCs w:val="0"/>
          <w:i w:val="0"/>
          <w:color w:val="auto"/>
          <w:sz w:val="24"/>
          <w:szCs w:val="24"/>
        </w:rPr>
      </w:pPr>
      <w:r>
        <w:rPr>
          <w:rFonts w:eastAsia="宋体"/>
          <w:bCs w:val="0"/>
          <w:i w:val="0"/>
          <w:color w:val="auto"/>
          <w:sz w:val="24"/>
          <w:szCs w:val="24"/>
        </w:rPr>
        <w:t>6.1.3</w:t>
      </w:r>
      <w:r>
        <w:rPr>
          <w:rFonts w:hint="eastAsia" w:eastAsia="宋体"/>
          <w:bCs w:val="0"/>
          <w:i w:val="0"/>
          <w:color w:val="auto"/>
          <w:sz w:val="24"/>
          <w:szCs w:val="24"/>
        </w:rPr>
        <w:t>噪声污染防治措施</w:t>
      </w:r>
    </w:p>
    <w:p>
      <w:pPr>
        <w:pStyle w:val="361"/>
        <w:spacing w:line="440" w:lineRule="exact"/>
        <w:ind w:firstLineChars="200"/>
        <w:jc w:val="both"/>
        <w:rPr>
          <w:rFonts w:eastAsia="宋体"/>
        </w:rPr>
      </w:pPr>
      <w:r>
        <w:rPr>
          <w:rFonts w:eastAsia="宋体"/>
        </w:rPr>
        <w:t>针对项目施工期噪声</w:t>
      </w:r>
      <w:r>
        <w:rPr>
          <w:rFonts w:hint="eastAsia" w:eastAsia="宋体"/>
        </w:rPr>
        <w:t>，</w:t>
      </w:r>
      <w:r>
        <w:rPr>
          <w:rFonts w:eastAsia="宋体"/>
        </w:rPr>
        <w:t>评价要求采取以下防治措施</w:t>
      </w:r>
      <w:r>
        <w:rPr>
          <w:rFonts w:hint="eastAsia" w:eastAsia="宋体"/>
        </w:rPr>
        <w:t>，</w:t>
      </w:r>
      <w:r>
        <w:rPr>
          <w:rFonts w:eastAsia="宋体"/>
        </w:rPr>
        <w:t>以减少噪声对环境的影响</w:t>
      </w:r>
      <w:r>
        <w:rPr>
          <w:rFonts w:hint="eastAsia" w:eastAsia="宋体"/>
        </w:rPr>
        <w:t>。</w:t>
      </w:r>
    </w:p>
    <w:p>
      <w:pPr>
        <w:pStyle w:val="361"/>
        <w:spacing w:line="440" w:lineRule="exact"/>
        <w:ind w:firstLineChars="200"/>
        <w:jc w:val="both"/>
        <w:rPr>
          <w:rFonts w:eastAsia="宋体"/>
        </w:rPr>
      </w:pPr>
      <w:r>
        <w:rPr>
          <w:rFonts w:eastAsia="宋体"/>
        </w:rPr>
        <w:t>①合理安排施工时间：制定施工计划</w:t>
      </w:r>
      <w:r>
        <w:rPr>
          <w:rFonts w:hint="eastAsia" w:eastAsia="宋体"/>
        </w:rPr>
        <w:t>，</w:t>
      </w:r>
      <w:r>
        <w:rPr>
          <w:rFonts w:eastAsia="宋体"/>
        </w:rPr>
        <w:t>避免大量高噪声设备同时施工</w:t>
      </w:r>
      <w:r>
        <w:rPr>
          <w:rFonts w:hint="eastAsia" w:eastAsia="宋体"/>
        </w:rPr>
        <w:t>。</w:t>
      </w:r>
      <w:r>
        <w:rPr>
          <w:rFonts w:eastAsia="宋体"/>
        </w:rPr>
        <w:t>夜间不施工</w:t>
      </w:r>
      <w:r>
        <w:rPr>
          <w:rFonts w:hint="eastAsia" w:eastAsia="宋体"/>
        </w:rPr>
        <w:t>。</w:t>
      </w:r>
    </w:p>
    <w:p>
      <w:pPr>
        <w:pStyle w:val="361"/>
        <w:spacing w:line="440" w:lineRule="exact"/>
        <w:ind w:firstLineChars="200"/>
        <w:jc w:val="both"/>
        <w:rPr>
          <w:rFonts w:eastAsia="宋体"/>
        </w:rPr>
      </w:pPr>
      <w:r>
        <w:rPr>
          <w:rFonts w:eastAsia="宋体"/>
        </w:rPr>
        <w:t>②合理布局施工现场：避免在同一地点安排大量动力机械设备</w:t>
      </w:r>
      <w:r>
        <w:rPr>
          <w:rFonts w:hint="eastAsia" w:eastAsia="宋体"/>
        </w:rPr>
        <w:t>，</w:t>
      </w:r>
      <w:r>
        <w:rPr>
          <w:rFonts w:eastAsia="宋体"/>
        </w:rPr>
        <w:t>以避免局部声级过高</w:t>
      </w:r>
      <w:r>
        <w:rPr>
          <w:rFonts w:hint="eastAsia" w:eastAsia="宋体"/>
        </w:rPr>
        <w:t>。</w:t>
      </w:r>
    </w:p>
    <w:p>
      <w:pPr>
        <w:pStyle w:val="361"/>
        <w:spacing w:line="440" w:lineRule="exact"/>
        <w:ind w:firstLineChars="200"/>
        <w:jc w:val="both"/>
        <w:rPr>
          <w:rFonts w:eastAsia="宋体"/>
        </w:rPr>
      </w:pPr>
      <w:r>
        <w:rPr>
          <w:rFonts w:eastAsia="宋体"/>
        </w:rPr>
        <w:t>③降低设备声级：施工设备选型上应尽量采用低噪声设备</w:t>
      </w:r>
      <w:r>
        <w:rPr>
          <w:rFonts w:hint="eastAsia" w:eastAsia="宋体"/>
        </w:rPr>
        <w:t>，</w:t>
      </w:r>
      <w:r>
        <w:rPr>
          <w:rFonts w:eastAsia="宋体"/>
        </w:rPr>
        <w:t>并对机械设备进行定期的维护</w:t>
      </w:r>
      <w:r>
        <w:rPr>
          <w:rFonts w:hint="eastAsia" w:eastAsia="宋体"/>
        </w:rPr>
        <w:t>。</w:t>
      </w:r>
    </w:p>
    <w:p>
      <w:pPr>
        <w:pStyle w:val="361"/>
        <w:spacing w:line="440" w:lineRule="exact"/>
        <w:ind w:firstLineChars="200"/>
        <w:jc w:val="both"/>
        <w:rPr>
          <w:rFonts w:eastAsia="宋体"/>
        </w:rPr>
      </w:pPr>
      <w:r>
        <w:rPr>
          <w:rFonts w:eastAsia="宋体"/>
        </w:rPr>
        <w:t>④减少人为噪声：遵守作业规定</w:t>
      </w:r>
      <w:r>
        <w:rPr>
          <w:rFonts w:hint="eastAsia" w:eastAsia="宋体"/>
        </w:rPr>
        <w:t>，</w:t>
      </w:r>
      <w:r>
        <w:rPr>
          <w:rFonts w:eastAsia="宋体"/>
        </w:rPr>
        <w:t>减少碰撞噪声</w:t>
      </w:r>
      <w:r>
        <w:rPr>
          <w:rFonts w:hint="eastAsia" w:eastAsia="宋体"/>
        </w:rPr>
        <w:t>；</w:t>
      </w:r>
      <w:r>
        <w:rPr>
          <w:rFonts w:eastAsia="宋体"/>
        </w:rPr>
        <w:t>少用哨子、喇叭等指挥作业</w:t>
      </w:r>
      <w:r>
        <w:rPr>
          <w:rFonts w:hint="eastAsia" w:eastAsia="宋体"/>
        </w:rPr>
        <w:t>，</w:t>
      </w:r>
      <w:r>
        <w:rPr>
          <w:rFonts w:eastAsia="宋体"/>
        </w:rPr>
        <w:t>减少人为噪声</w:t>
      </w:r>
      <w:r>
        <w:rPr>
          <w:rFonts w:hint="eastAsia" w:eastAsia="宋体"/>
        </w:rPr>
        <w:t>。</w:t>
      </w:r>
    </w:p>
    <w:p>
      <w:pPr>
        <w:pStyle w:val="361"/>
        <w:spacing w:line="440" w:lineRule="exact"/>
        <w:ind w:firstLineChars="200"/>
        <w:jc w:val="both"/>
        <w:rPr>
          <w:rFonts w:eastAsia="宋体"/>
        </w:rPr>
      </w:pPr>
      <w:r>
        <w:rPr>
          <w:rFonts w:eastAsia="宋体"/>
        </w:rPr>
        <w:t>⑤个人防护措施：对高噪声设备附近工作的施工人员</w:t>
      </w:r>
      <w:r>
        <w:rPr>
          <w:rFonts w:hint="eastAsia" w:eastAsia="宋体"/>
        </w:rPr>
        <w:t>，</w:t>
      </w:r>
      <w:r>
        <w:rPr>
          <w:rFonts w:eastAsia="宋体"/>
        </w:rPr>
        <w:t>可配备使用耳塞、耳罩等</w:t>
      </w:r>
      <w:r>
        <w:rPr>
          <w:rFonts w:hint="eastAsia" w:eastAsia="宋体"/>
        </w:rPr>
        <w:t>。</w:t>
      </w:r>
    </w:p>
    <w:p>
      <w:pPr>
        <w:pStyle w:val="361"/>
        <w:spacing w:line="440" w:lineRule="exact"/>
        <w:ind w:firstLineChars="200"/>
        <w:jc w:val="both"/>
        <w:rPr>
          <w:rFonts w:eastAsia="宋体"/>
        </w:rPr>
      </w:pPr>
      <w:r>
        <w:rPr>
          <w:rFonts w:eastAsia="宋体"/>
        </w:rPr>
        <w:t>⑥减少施工交通噪声：车辆运输过程中要减少鸣笛</w:t>
      </w:r>
      <w:r>
        <w:rPr>
          <w:rFonts w:hint="eastAsia" w:eastAsia="宋体"/>
        </w:rPr>
        <w:t>，</w:t>
      </w:r>
      <w:r>
        <w:rPr>
          <w:rFonts w:eastAsia="宋体"/>
        </w:rPr>
        <w:t>特别是在经过居民区等敏感区时要限制车速</w:t>
      </w:r>
      <w:r>
        <w:rPr>
          <w:rFonts w:hint="eastAsia" w:eastAsia="宋体"/>
        </w:rPr>
        <w:t>，</w:t>
      </w:r>
      <w:r>
        <w:rPr>
          <w:rFonts w:eastAsia="宋体"/>
        </w:rPr>
        <w:t>杜绝鸣笛</w:t>
      </w:r>
      <w:r>
        <w:rPr>
          <w:rFonts w:hint="eastAsia" w:eastAsia="宋体"/>
        </w:rPr>
        <w:t>；</w:t>
      </w:r>
      <w:r>
        <w:rPr>
          <w:rFonts w:eastAsia="宋体"/>
        </w:rPr>
        <w:t>合理安排运输路线</w:t>
      </w:r>
      <w:r>
        <w:rPr>
          <w:rFonts w:hint="eastAsia" w:eastAsia="宋体"/>
        </w:rPr>
        <w:t>，</w:t>
      </w:r>
      <w:r>
        <w:rPr>
          <w:rFonts w:eastAsia="宋体"/>
        </w:rPr>
        <w:t>减少途经村庄等敏感点的次数</w:t>
      </w:r>
      <w:r>
        <w:rPr>
          <w:rFonts w:hint="eastAsia" w:eastAsia="宋体"/>
        </w:rPr>
        <w:t>。</w:t>
      </w:r>
    </w:p>
    <w:p>
      <w:pPr>
        <w:pStyle w:val="361"/>
        <w:spacing w:line="440" w:lineRule="exact"/>
        <w:ind w:firstLineChars="200"/>
        <w:jc w:val="both"/>
        <w:rPr>
          <w:rFonts w:eastAsia="宋体"/>
        </w:rPr>
      </w:pPr>
      <w:r>
        <w:rPr>
          <w:rFonts w:hint="eastAsia" w:eastAsia="宋体"/>
        </w:rPr>
        <w:t>本项目距离最近的村庄（前所村）约930m，经距离衰减后，项目施工</w:t>
      </w:r>
      <w:r>
        <w:rPr>
          <w:rFonts w:eastAsia="宋体"/>
        </w:rPr>
        <w:t>不会对</w:t>
      </w:r>
      <w:r>
        <w:rPr>
          <w:rFonts w:hint="eastAsia" w:eastAsia="宋体"/>
        </w:rPr>
        <w:t>周边村庄</w:t>
      </w:r>
      <w:r>
        <w:rPr>
          <w:rFonts w:eastAsia="宋体"/>
        </w:rPr>
        <w:t>声环境造成明显影响</w:t>
      </w:r>
      <w:r>
        <w:rPr>
          <w:rFonts w:hint="eastAsia" w:eastAsia="宋体"/>
        </w:rPr>
        <w:t>，项目噪声污染防治措施可行。</w:t>
      </w:r>
    </w:p>
    <w:p>
      <w:pPr>
        <w:pStyle w:val="6"/>
        <w:adjustRightInd w:val="0"/>
        <w:snapToGrid w:val="0"/>
        <w:spacing w:before="120" w:beforeLines="50" w:line="360" w:lineRule="auto"/>
        <w:rPr>
          <w:rFonts w:eastAsia="宋体"/>
          <w:bCs w:val="0"/>
          <w:i w:val="0"/>
          <w:color w:val="auto"/>
          <w:sz w:val="24"/>
          <w:szCs w:val="24"/>
        </w:rPr>
      </w:pPr>
      <w:r>
        <w:rPr>
          <w:rFonts w:eastAsia="宋体"/>
          <w:bCs w:val="0"/>
          <w:i w:val="0"/>
          <w:color w:val="auto"/>
          <w:sz w:val="24"/>
          <w:szCs w:val="24"/>
        </w:rPr>
        <w:t>6.1.</w:t>
      </w:r>
      <w:r>
        <w:rPr>
          <w:rFonts w:hint="eastAsia" w:eastAsia="宋体"/>
          <w:bCs w:val="0"/>
          <w:i w:val="0"/>
          <w:color w:val="auto"/>
          <w:sz w:val="24"/>
          <w:szCs w:val="24"/>
        </w:rPr>
        <w:t>4固体废物防治措施</w:t>
      </w:r>
    </w:p>
    <w:p>
      <w:pPr>
        <w:pStyle w:val="361"/>
        <w:widowControl w:val="0"/>
        <w:spacing w:line="440" w:lineRule="exact"/>
        <w:ind w:firstLineChars="200"/>
        <w:jc w:val="both"/>
        <w:rPr>
          <w:rFonts w:eastAsia="宋体"/>
        </w:rPr>
      </w:pPr>
      <w:r>
        <w:rPr>
          <w:rFonts w:eastAsia="宋体"/>
        </w:rPr>
        <w:t>①施工建筑垃圾</w:t>
      </w:r>
    </w:p>
    <w:p>
      <w:pPr>
        <w:pStyle w:val="361"/>
        <w:widowControl w:val="0"/>
        <w:spacing w:line="440" w:lineRule="exact"/>
        <w:ind w:firstLineChars="200"/>
        <w:jc w:val="both"/>
        <w:rPr>
          <w:rFonts w:eastAsia="宋体"/>
        </w:rPr>
      </w:pPr>
      <w:r>
        <w:rPr>
          <w:rFonts w:eastAsia="宋体"/>
        </w:rPr>
        <w:t>施工建筑垃圾主要为废弃的砖瓦石块等，本项目施工内容较少，施工建筑垃圾产生量不大，评价要求建设单位将建筑垃圾进行分类，能够回收利用的尽量回用，不能回收利用的及时进行清运，送环卫部门指定地点处置。</w:t>
      </w:r>
    </w:p>
    <w:p>
      <w:pPr>
        <w:pStyle w:val="361"/>
        <w:widowControl w:val="0"/>
        <w:spacing w:line="440" w:lineRule="exact"/>
        <w:ind w:firstLineChars="200"/>
        <w:jc w:val="both"/>
        <w:rPr>
          <w:rFonts w:eastAsia="宋体"/>
        </w:rPr>
      </w:pPr>
      <w:r>
        <w:rPr>
          <w:rFonts w:eastAsia="宋体"/>
        </w:rPr>
        <w:t>②生活垃圾</w:t>
      </w:r>
    </w:p>
    <w:p>
      <w:pPr>
        <w:pStyle w:val="361"/>
        <w:widowControl w:val="0"/>
        <w:spacing w:line="440" w:lineRule="exact"/>
        <w:ind w:firstLineChars="200"/>
        <w:jc w:val="both"/>
        <w:rPr>
          <w:rFonts w:eastAsia="宋体"/>
        </w:rPr>
      </w:pPr>
      <w:r>
        <w:rPr>
          <w:rFonts w:eastAsia="宋体"/>
        </w:rPr>
        <w:t>施工人员将产生一定量的生活垃圾，本项目施工量较少，生活垃圾产生量很小，集中收集后送环卫部门指定地点处置。</w:t>
      </w:r>
    </w:p>
    <w:p>
      <w:pPr>
        <w:pStyle w:val="361"/>
        <w:widowControl w:val="0"/>
        <w:spacing w:line="440" w:lineRule="exact"/>
        <w:ind w:firstLineChars="200"/>
        <w:jc w:val="both"/>
        <w:rPr>
          <w:rFonts w:eastAsia="宋体"/>
        </w:rPr>
      </w:pPr>
      <w:r>
        <w:rPr>
          <w:rFonts w:hint="eastAsia" w:eastAsia="宋体"/>
        </w:rPr>
        <w:t>本项目施工期各项固体废物均能够得到合理处置，项目固体废物防治措施可行。</w:t>
      </w:r>
    </w:p>
    <w:p>
      <w:pPr>
        <w:pStyle w:val="6"/>
        <w:adjustRightInd w:val="0"/>
        <w:snapToGrid w:val="0"/>
        <w:spacing w:before="120" w:beforeLines="50" w:line="360" w:lineRule="auto"/>
        <w:rPr>
          <w:rFonts w:eastAsia="宋体"/>
          <w:bCs w:val="0"/>
          <w:i w:val="0"/>
          <w:color w:val="auto"/>
          <w:sz w:val="24"/>
          <w:szCs w:val="24"/>
        </w:rPr>
      </w:pPr>
      <w:r>
        <w:rPr>
          <w:rFonts w:eastAsia="宋体"/>
          <w:bCs w:val="0"/>
          <w:i w:val="0"/>
          <w:color w:val="auto"/>
          <w:sz w:val="24"/>
          <w:szCs w:val="24"/>
        </w:rPr>
        <w:t>6.1.</w:t>
      </w:r>
      <w:r>
        <w:rPr>
          <w:rFonts w:hint="eastAsia" w:eastAsia="宋体"/>
          <w:bCs w:val="0"/>
          <w:i w:val="0"/>
          <w:color w:val="auto"/>
          <w:sz w:val="24"/>
          <w:szCs w:val="24"/>
        </w:rPr>
        <w:t>5生态保护措施</w:t>
      </w:r>
    </w:p>
    <w:p>
      <w:pPr>
        <w:pStyle w:val="361"/>
        <w:spacing w:line="440" w:lineRule="exact"/>
        <w:ind w:firstLineChars="200"/>
        <w:jc w:val="both"/>
        <w:rPr>
          <w:rFonts w:eastAsia="宋体"/>
        </w:rPr>
      </w:pPr>
      <w:r>
        <w:rPr>
          <w:rFonts w:hint="eastAsia" w:eastAsia="宋体"/>
        </w:rPr>
        <w:t>针对项目施工期生态环境影响，评价要求采取以下防治措施：</w:t>
      </w:r>
    </w:p>
    <w:p>
      <w:pPr>
        <w:pStyle w:val="361"/>
        <w:ind w:firstLineChars="200"/>
        <w:rPr>
          <w:rFonts w:eastAsia="宋体"/>
        </w:rPr>
      </w:pPr>
      <w:r>
        <w:rPr>
          <w:rFonts w:hint="eastAsia" w:eastAsia="宋体"/>
        </w:rPr>
        <w:t>（1）</w:t>
      </w:r>
      <w:r>
        <w:rPr>
          <w:rFonts w:eastAsia="宋体"/>
        </w:rPr>
        <w:t>严格控制施工范围，施工活动严格控制在项目占地范围内</w:t>
      </w:r>
      <w:r>
        <w:rPr>
          <w:rFonts w:hint="eastAsia" w:eastAsia="宋体"/>
        </w:rPr>
        <w:t>；</w:t>
      </w:r>
    </w:p>
    <w:p>
      <w:pPr>
        <w:pStyle w:val="361"/>
        <w:ind w:firstLineChars="200"/>
        <w:rPr>
          <w:rFonts w:eastAsia="宋体"/>
        </w:rPr>
      </w:pPr>
      <w:r>
        <w:rPr>
          <w:rFonts w:hint="eastAsia" w:eastAsia="宋体"/>
        </w:rPr>
        <w:t>（2）</w:t>
      </w:r>
      <w:r>
        <w:rPr>
          <w:rFonts w:eastAsia="宋体"/>
        </w:rPr>
        <w:t>合理安排施工时间</w:t>
      </w:r>
      <w:r>
        <w:rPr>
          <w:rFonts w:hint="eastAsia" w:eastAsia="宋体"/>
        </w:rPr>
        <w:t>，</w:t>
      </w:r>
      <w:r>
        <w:rPr>
          <w:rFonts w:eastAsia="宋体"/>
        </w:rPr>
        <w:t>尽量避开雨季和暴雨季节</w:t>
      </w:r>
      <w:r>
        <w:rPr>
          <w:rFonts w:hint="eastAsia" w:eastAsia="宋体"/>
        </w:rPr>
        <w:t>，</w:t>
      </w:r>
      <w:r>
        <w:rPr>
          <w:rFonts w:eastAsia="宋体"/>
        </w:rPr>
        <w:t>并尽量缩短施工时间</w:t>
      </w:r>
      <w:r>
        <w:rPr>
          <w:rFonts w:hint="eastAsia" w:eastAsia="宋体"/>
        </w:rPr>
        <w:t>；</w:t>
      </w:r>
    </w:p>
    <w:p>
      <w:pPr>
        <w:pStyle w:val="361"/>
        <w:ind w:firstLineChars="200"/>
        <w:rPr>
          <w:rFonts w:eastAsia="宋体"/>
        </w:rPr>
      </w:pPr>
      <w:r>
        <w:rPr>
          <w:rFonts w:hint="eastAsia" w:eastAsia="宋体"/>
        </w:rPr>
        <w:t>（3）优先做好</w:t>
      </w:r>
      <w:r>
        <w:rPr>
          <w:rFonts w:eastAsia="宋体"/>
        </w:rPr>
        <w:t>排水导流工作</w:t>
      </w:r>
      <w:r>
        <w:rPr>
          <w:rFonts w:hint="eastAsia" w:eastAsia="宋体"/>
        </w:rPr>
        <w:t>，</w:t>
      </w:r>
      <w:r>
        <w:rPr>
          <w:rFonts w:eastAsia="宋体"/>
        </w:rPr>
        <w:t>减轻水流对裸露地表的冲刷</w:t>
      </w:r>
      <w:r>
        <w:rPr>
          <w:rFonts w:hint="eastAsia" w:eastAsia="宋体"/>
        </w:rPr>
        <w:t>，</w:t>
      </w:r>
      <w:r>
        <w:rPr>
          <w:rFonts w:eastAsia="宋体"/>
        </w:rPr>
        <w:t>同时</w:t>
      </w:r>
      <w:r>
        <w:rPr>
          <w:rFonts w:hint="eastAsia" w:eastAsia="宋体"/>
        </w:rPr>
        <w:t>，</w:t>
      </w:r>
      <w:r>
        <w:rPr>
          <w:rFonts w:eastAsia="宋体"/>
          <w:szCs w:val="21"/>
        </w:rPr>
        <w:t>裸露地表覆盖处理</w:t>
      </w:r>
      <w:r>
        <w:rPr>
          <w:rFonts w:hint="eastAsia" w:eastAsia="宋体"/>
          <w:szCs w:val="21"/>
        </w:rPr>
        <w:t>。</w:t>
      </w:r>
    </w:p>
    <w:p>
      <w:pPr>
        <w:pStyle w:val="361"/>
        <w:ind w:firstLineChars="200"/>
        <w:rPr>
          <w:rFonts w:eastAsia="宋体"/>
        </w:rPr>
      </w:pPr>
      <w:r>
        <w:rPr>
          <w:rFonts w:hint="eastAsia" w:eastAsia="宋体"/>
        </w:rPr>
        <w:t>（4）</w:t>
      </w:r>
      <w:r>
        <w:rPr>
          <w:rFonts w:eastAsia="宋体"/>
        </w:rPr>
        <w:t>施工中应执行土方的开挖和堆存的操作规范，减少水土流失；</w:t>
      </w:r>
    </w:p>
    <w:p>
      <w:pPr>
        <w:pStyle w:val="361"/>
        <w:spacing w:line="440" w:lineRule="exact"/>
        <w:ind w:firstLineChars="200"/>
        <w:jc w:val="both"/>
        <w:rPr>
          <w:rFonts w:eastAsia="宋体"/>
        </w:rPr>
      </w:pPr>
      <w:r>
        <w:rPr>
          <w:rFonts w:hint="eastAsia" w:eastAsia="宋体"/>
        </w:rPr>
        <w:t>（5）</w:t>
      </w:r>
      <w:r>
        <w:rPr>
          <w:rFonts w:eastAsia="宋体"/>
        </w:rPr>
        <w:t>施工完成后及时进行绿化硬化，通过人工绿化措施使其生态环境得到恢复，减缓项目建设对周围生态环境的影响。</w:t>
      </w:r>
    </w:p>
    <w:p>
      <w:pPr>
        <w:pStyle w:val="361"/>
        <w:spacing w:line="440" w:lineRule="exact"/>
        <w:ind w:firstLineChars="200"/>
        <w:jc w:val="both"/>
        <w:rPr>
          <w:rFonts w:eastAsia="宋体"/>
        </w:rPr>
      </w:pPr>
      <w:r>
        <w:rPr>
          <w:rFonts w:hint="eastAsia" w:eastAsia="宋体"/>
        </w:rPr>
        <w:t>采取以上措施后，可有效降低施工期生态环境影响，项目生态保护措施可行。</w:t>
      </w:r>
    </w:p>
    <w:p>
      <w:pPr>
        <w:pStyle w:val="5"/>
        <w:adjustRightInd w:val="0"/>
        <w:snapToGrid w:val="0"/>
        <w:spacing w:before="120" w:beforeLines="50" w:line="360" w:lineRule="auto"/>
        <w:rPr>
          <w:rFonts w:eastAsia="宋体"/>
          <w:sz w:val="28"/>
          <w:szCs w:val="28"/>
        </w:rPr>
      </w:pPr>
      <w:bookmarkStart w:id="311" w:name="_Toc399150438"/>
      <w:bookmarkStart w:id="312" w:name="_Toc22180"/>
      <w:bookmarkStart w:id="313" w:name="_Toc395801291"/>
      <w:r>
        <w:rPr>
          <w:rFonts w:eastAsia="宋体"/>
          <w:sz w:val="28"/>
          <w:szCs w:val="28"/>
        </w:rPr>
        <w:t>6.2</w:t>
      </w:r>
      <w:r>
        <w:rPr>
          <w:rFonts w:hint="eastAsia" w:eastAsia="宋体"/>
          <w:sz w:val="28"/>
          <w:szCs w:val="28"/>
        </w:rPr>
        <w:t>运营期</w:t>
      </w:r>
      <w:r>
        <w:rPr>
          <w:rFonts w:eastAsia="宋体"/>
          <w:sz w:val="28"/>
          <w:szCs w:val="28"/>
        </w:rPr>
        <w:t>污染防治措施</w:t>
      </w:r>
      <w:bookmarkEnd w:id="311"/>
      <w:bookmarkEnd w:id="312"/>
      <w:bookmarkEnd w:id="313"/>
    </w:p>
    <w:p>
      <w:pPr>
        <w:pStyle w:val="6"/>
        <w:adjustRightInd w:val="0"/>
        <w:snapToGrid w:val="0"/>
        <w:spacing w:before="120" w:beforeLines="50" w:line="360" w:lineRule="auto"/>
        <w:rPr>
          <w:rFonts w:eastAsia="宋体"/>
          <w:bCs w:val="0"/>
          <w:i w:val="0"/>
          <w:color w:val="auto"/>
          <w:sz w:val="24"/>
          <w:szCs w:val="24"/>
        </w:rPr>
      </w:pPr>
      <w:r>
        <w:rPr>
          <w:rFonts w:eastAsia="宋体"/>
          <w:bCs w:val="0"/>
          <w:i w:val="0"/>
          <w:color w:val="auto"/>
          <w:sz w:val="24"/>
          <w:szCs w:val="24"/>
        </w:rPr>
        <w:t>6.</w:t>
      </w:r>
      <w:r>
        <w:rPr>
          <w:rFonts w:hint="eastAsia" w:eastAsia="宋体"/>
          <w:bCs w:val="0"/>
          <w:i w:val="0"/>
          <w:color w:val="auto"/>
          <w:sz w:val="24"/>
          <w:szCs w:val="24"/>
        </w:rPr>
        <w:t>2</w:t>
      </w:r>
      <w:r>
        <w:rPr>
          <w:rFonts w:eastAsia="宋体"/>
          <w:bCs w:val="0"/>
          <w:i w:val="0"/>
          <w:color w:val="auto"/>
          <w:sz w:val="24"/>
          <w:szCs w:val="24"/>
        </w:rPr>
        <w:t>.</w:t>
      </w:r>
      <w:r>
        <w:rPr>
          <w:rFonts w:hint="eastAsia" w:eastAsia="宋体"/>
          <w:bCs w:val="0"/>
          <w:i w:val="0"/>
          <w:color w:val="auto"/>
          <w:sz w:val="24"/>
          <w:szCs w:val="24"/>
        </w:rPr>
        <w:t>1大气污染防治措施</w:t>
      </w:r>
    </w:p>
    <w:p>
      <w:pPr>
        <w:pStyle w:val="361"/>
        <w:spacing w:line="440" w:lineRule="exact"/>
        <w:ind w:firstLineChars="200"/>
        <w:rPr>
          <w:rFonts w:eastAsia="宋体"/>
        </w:rPr>
      </w:pPr>
      <w:r>
        <w:rPr>
          <w:rFonts w:eastAsia="宋体"/>
        </w:rPr>
        <w:t>1</w:t>
      </w:r>
      <w:r>
        <w:rPr>
          <w:rFonts w:hint="eastAsia" w:eastAsia="宋体"/>
        </w:rPr>
        <w:t>）采装作业粉尘</w:t>
      </w:r>
    </w:p>
    <w:p>
      <w:pPr>
        <w:pStyle w:val="361"/>
        <w:spacing w:line="440" w:lineRule="exact"/>
        <w:ind w:firstLineChars="200"/>
        <w:jc w:val="both"/>
        <w:rPr>
          <w:rFonts w:eastAsia="宋体"/>
        </w:rPr>
      </w:pPr>
      <w:r>
        <w:rPr>
          <w:rFonts w:hint="eastAsia" w:eastAsia="宋体"/>
        </w:rPr>
        <w:t>本项目粘土在采掘和铲装作业过程中会产生一定量的扬尘，</w:t>
      </w:r>
      <w:r>
        <w:rPr>
          <w:rFonts w:eastAsia="宋体"/>
        </w:rPr>
        <w:t>以无组织形式排放</w:t>
      </w:r>
      <w:r>
        <w:rPr>
          <w:rFonts w:hint="eastAsia" w:eastAsia="宋体"/>
        </w:rPr>
        <w:t>。评价要求采装作业区设移动雾炮机，进行全覆盖喷雾抑尘，</w:t>
      </w:r>
      <w:r>
        <w:rPr>
          <w:rFonts w:eastAsia="宋体"/>
        </w:rPr>
        <w:t>可以有效抑制</w:t>
      </w:r>
      <w:r>
        <w:rPr>
          <w:rFonts w:hint="eastAsia" w:eastAsia="宋体"/>
        </w:rPr>
        <w:t>采装作业粉尘</w:t>
      </w:r>
      <w:r>
        <w:rPr>
          <w:rFonts w:eastAsia="宋体"/>
        </w:rPr>
        <w:t>产生</w:t>
      </w:r>
      <w:r>
        <w:rPr>
          <w:rFonts w:hint="eastAsia" w:eastAsia="宋体"/>
        </w:rPr>
        <w:t>，</w:t>
      </w:r>
      <w:r>
        <w:rPr>
          <w:rFonts w:eastAsia="宋体"/>
        </w:rPr>
        <w:t>抑尘效率可达</w:t>
      </w:r>
      <w:r>
        <w:rPr>
          <w:rFonts w:hint="eastAsia" w:eastAsia="宋体"/>
        </w:rPr>
        <w:t>9</w:t>
      </w:r>
      <w:r>
        <w:rPr>
          <w:rFonts w:eastAsia="宋体"/>
        </w:rPr>
        <w:t>0%</w:t>
      </w:r>
      <w:r>
        <w:rPr>
          <w:rFonts w:hint="eastAsia" w:eastAsia="宋体"/>
        </w:rPr>
        <w:t>。</w:t>
      </w:r>
    </w:p>
    <w:p>
      <w:pPr>
        <w:pStyle w:val="361"/>
        <w:numPr>
          <w:ilvl w:val="0"/>
          <w:numId w:val="6"/>
        </w:numPr>
        <w:spacing w:line="440" w:lineRule="exact"/>
        <w:ind w:firstLineChars="200"/>
        <w:jc w:val="both"/>
        <w:rPr>
          <w:rFonts w:eastAsia="宋体"/>
        </w:rPr>
      </w:pPr>
      <w:r>
        <w:rPr>
          <w:rFonts w:hint="eastAsia" w:eastAsia="宋体"/>
        </w:rPr>
        <w:t>排土场粉尘</w:t>
      </w:r>
    </w:p>
    <w:p>
      <w:pPr>
        <w:pStyle w:val="361"/>
        <w:spacing w:line="440" w:lineRule="exact"/>
        <w:ind w:firstLineChars="200"/>
        <w:jc w:val="both"/>
        <w:rPr>
          <w:rFonts w:eastAsia="宋体"/>
        </w:rPr>
      </w:pPr>
      <w:r>
        <w:rPr>
          <w:rFonts w:hint="eastAsia" w:eastAsia="宋体"/>
        </w:rPr>
        <w:t>本项目在矿区内设排土场，用于储存开采剥离土，后期用于土地复垦和生态恢复。排土场内部单独设表土堆存区域，排土场上游设截排水沟，下游设挡土墙。排土作业和堆存过程中会产生一定量的粉尘，以无组织形式排放。</w:t>
      </w:r>
    </w:p>
    <w:p>
      <w:pPr>
        <w:pStyle w:val="361"/>
        <w:widowControl w:val="0"/>
        <w:spacing w:line="440" w:lineRule="exact"/>
        <w:ind w:firstLineChars="200"/>
        <w:jc w:val="both"/>
        <w:rPr>
          <w:rFonts w:eastAsia="宋体"/>
        </w:rPr>
      </w:pPr>
      <w:r>
        <w:rPr>
          <w:rFonts w:hint="eastAsia" w:eastAsia="宋体"/>
        </w:rPr>
        <w:t>评价要求排土场内堆土全部用防尘网进行遮挡覆盖，作业区设雾炮机喷雾洒水抑尘，能够有效抑制排土场粉尘的排放，抑尘效率可达90%。</w:t>
      </w:r>
    </w:p>
    <w:p>
      <w:pPr>
        <w:pStyle w:val="361"/>
        <w:numPr>
          <w:ilvl w:val="0"/>
          <w:numId w:val="6"/>
        </w:numPr>
        <w:spacing w:line="440" w:lineRule="exact"/>
        <w:ind w:firstLineChars="200"/>
        <w:jc w:val="both"/>
        <w:rPr>
          <w:rFonts w:eastAsia="宋体"/>
        </w:rPr>
      </w:pPr>
      <w:r>
        <w:rPr>
          <w:rFonts w:hint="eastAsia" w:eastAsia="宋体"/>
        </w:rPr>
        <w:t>原料库粉尘</w:t>
      </w:r>
    </w:p>
    <w:p>
      <w:pPr>
        <w:pStyle w:val="361"/>
        <w:spacing w:line="440" w:lineRule="exact"/>
        <w:ind w:firstLineChars="200"/>
        <w:jc w:val="both"/>
        <w:rPr>
          <w:rFonts w:eastAsia="宋体"/>
        </w:rPr>
      </w:pPr>
      <w:r>
        <w:rPr>
          <w:rFonts w:hint="eastAsia" w:eastAsia="宋体"/>
        </w:rPr>
        <w:t>本项目原料库进行全封闭，库内设雾炮机喷雾洒水抑尘，抑尘效率可达到95%。</w:t>
      </w:r>
    </w:p>
    <w:p>
      <w:pPr>
        <w:pStyle w:val="361"/>
        <w:spacing w:line="440" w:lineRule="exact"/>
        <w:ind w:firstLineChars="200"/>
        <w:rPr>
          <w:rFonts w:eastAsia="宋体"/>
        </w:rPr>
      </w:pPr>
      <w:r>
        <w:rPr>
          <w:rFonts w:hint="eastAsia" w:eastAsia="宋体"/>
        </w:rPr>
        <w:t>4）道路扬尘</w:t>
      </w:r>
    </w:p>
    <w:p>
      <w:pPr>
        <w:pStyle w:val="361"/>
        <w:widowControl w:val="0"/>
        <w:spacing w:line="440" w:lineRule="exact"/>
        <w:ind w:firstLineChars="200"/>
        <w:jc w:val="both"/>
        <w:rPr>
          <w:rFonts w:eastAsia="宋体"/>
        </w:rPr>
      </w:pPr>
      <w:r>
        <w:rPr>
          <w:rFonts w:eastAsia="宋体"/>
        </w:rPr>
        <w:t>本项目</w:t>
      </w:r>
      <w:r>
        <w:rPr>
          <w:rFonts w:hint="eastAsia" w:eastAsia="宋体"/>
        </w:rPr>
        <w:t>在工业场地进出口设洗车平台，运输车辆出厂时进行冲洗；厂区道路硬化，定期洒水、及时清扫；运输车辆进行苫盖。采取上述措施后，抑尘效率可达90%。</w:t>
      </w:r>
    </w:p>
    <w:p>
      <w:pPr>
        <w:pStyle w:val="361"/>
        <w:spacing w:line="440" w:lineRule="exact"/>
        <w:ind w:firstLineChars="200"/>
        <w:jc w:val="both"/>
        <w:rPr>
          <w:rFonts w:eastAsia="宋体"/>
        </w:rPr>
      </w:pPr>
      <w:r>
        <w:rPr>
          <w:rFonts w:hint="eastAsia" w:eastAsia="宋体"/>
        </w:rPr>
        <w:t>本项目采取的污染防治措施能够满足《山西省打赢蓝天保卫战2019年行动计划》和《忻州市打赢蓝天保卫战2019年行动计划》等相关文件要求，项目建设不会对周围环境空气质量产生明显影响，项目大气污染防治措施可行。</w:t>
      </w:r>
    </w:p>
    <w:p>
      <w:pPr>
        <w:pStyle w:val="6"/>
        <w:adjustRightInd w:val="0"/>
        <w:snapToGrid w:val="0"/>
        <w:spacing w:before="120" w:beforeLines="50" w:line="360" w:lineRule="auto"/>
        <w:rPr>
          <w:rFonts w:eastAsia="宋体"/>
          <w:bCs w:val="0"/>
          <w:i w:val="0"/>
          <w:color w:val="auto"/>
          <w:sz w:val="24"/>
          <w:szCs w:val="24"/>
        </w:rPr>
      </w:pPr>
      <w:r>
        <w:rPr>
          <w:rFonts w:eastAsia="宋体"/>
          <w:bCs w:val="0"/>
          <w:i w:val="0"/>
          <w:color w:val="auto"/>
          <w:sz w:val="24"/>
          <w:szCs w:val="24"/>
        </w:rPr>
        <w:t>6.</w:t>
      </w:r>
      <w:r>
        <w:rPr>
          <w:rFonts w:hint="eastAsia" w:eastAsia="宋体"/>
          <w:bCs w:val="0"/>
          <w:i w:val="0"/>
          <w:color w:val="auto"/>
          <w:sz w:val="24"/>
          <w:szCs w:val="24"/>
        </w:rPr>
        <w:t>2</w:t>
      </w:r>
      <w:r>
        <w:rPr>
          <w:rFonts w:eastAsia="宋体"/>
          <w:bCs w:val="0"/>
          <w:i w:val="0"/>
          <w:color w:val="auto"/>
          <w:sz w:val="24"/>
          <w:szCs w:val="24"/>
        </w:rPr>
        <w:t>.</w:t>
      </w:r>
      <w:r>
        <w:rPr>
          <w:rFonts w:hint="eastAsia" w:eastAsia="宋体"/>
          <w:bCs w:val="0"/>
          <w:i w:val="0"/>
          <w:color w:val="auto"/>
          <w:sz w:val="24"/>
          <w:szCs w:val="24"/>
        </w:rPr>
        <w:t>2水污染防治措施</w:t>
      </w:r>
    </w:p>
    <w:p>
      <w:pPr>
        <w:pStyle w:val="361"/>
        <w:spacing w:line="440" w:lineRule="exact"/>
        <w:ind w:firstLineChars="200"/>
        <w:rPr>
          <w:rStyle w:val="255"/>
          <w:rFonts w:cs="Times New Roman" w:eastAsiaTheme="minorEastAsia"/>
          <w:b w:val="0"/>
          <w:color w:val="auto"/>
          <w:sz w:val="24"/>
          <w:szCs w:val="24"/>
          <w:lang w:bidi="en-US"/>
        </w:rPr>
      </w:pPr>
      <w:r>
        <w:rPr>
          <w:rStyle w:val="255"/>
          <w:rFonts w:hint="eastAsia" w:cs="Times New Roman" w:eastAsiaTheme="minorEastAsia"/>
          <w:b w:val="0"/>
          <w:color w:val="auto"/>
          <w:sz w:val="24"/>
          <w:szCs w:val="24"/>
          <w:lang w:bidi="en-US"/>
        </w:rPr>
        <w:t>本项目废水主要为职工生活污水和洗车废水。</w:t>
      </w:r>
    </w:p>
    <w:p>
      <w:pPr>
        <w:pStyle w:val="361"/>
        <w:spacing w:line="440" w:lineRule="exact"/>
        <w:ind w:firstLineChars="200"/>
        <w:rPr>
          <w:rStyle w:val="255"/>
          <w:rFonts w:cs="Times New Roman" w:eastAsiaTheme="minorEastAsia"/>
          <w:b w:val="0"/>
          <w:color w:val="auto"/>
          <w:sz w:val="24"/>
          <w:szCs w:val="24"/>
          <w:lang w:bidi="en-US"/>
        </w:rPr>
      </w:pPr>
      <w:r>
        <w:rPr>
          <w:rStyle w:val="255"/>
          <w:rFonts w:hint="eastAsia" w:cs="Times New Roman" w:eastAsiaTheme="minorEastAsia"/>
          <w:b w:val="0"/>
          <w:color w:val="auto"/>
          <w:sz w:val="24"/>
          <w:szCs w:val="24"/>
          <w:lang w:bidi="en-US"/>
        </w:rPr>
        <w:t>（</w:t>
      </w:r>
      <w:r>
        <w:rPr>
          <w:rStyle w:val="255"/>
          <w:rFonts w:hint="eastAsia" w:cs="Times New Roman" w:eastAsiaTheme="minorEastAsia"/>
          <w:b w:val="0"/>
          <w:color w:val="auto"/>
          <w:sz w:val="24"/>
          <w:szCs w:val="24"/>
          <w:lang w:val="en-US" w:bidi="en-US"/>
        </w:rPr>
        <w:t>1</w:t>
      </w:r>
      <w:r>
        <w:rPr>
          <w:rStyle w:val="255"/>
          <w:rFonts w:hint="eastAsia" w:cs="Times New Roman" w:eastAsiaTheme="minorEastAsia"/>
          <w:b w:val="0"/>
          <w:color w:val="auto"/>
          <w:sz w:val="24"/>
          <w:szCs w:val="24"/>
          <w:lang w:bidi="en-US"/>
        </w:rPr>
        <w:t>）职工生活污水</w:t>
      </w:r>
    </w:p>
    <w:p>
      <w:pPr>
        <w:pStyle w:val="361"/>
        <w:spacing w:line="440" w:lineRule="exact"/>
        <w:ind w:firstLineChars="200"/>
        <w:rPr>
          <w:rStyle w:val="255"/>
          <w:rFonts w:cs="Times New Roman" w:eastAsiaTheme="minorEastAsia"/>
          <w:b w:val="0"/>
          <w:color w:val="auto"/>
          <w:sz w:val="24"/>
          <w:szCs w:val="24"/>
          <w:lang w:bidi="en-US"/>
        </w:rPr>
      </w:pPr>
      <w:r>
        <w:rPr>
          <w:rStyle w:val="255"/>
          <w:rFonts w:hint="eastAsia" w:cs="Times New Roman" w:eastAsiaTheme="minorEastAsia"/>
          <w:b w:val="0"/>
          <w:color w:val="auto"/>
          <w:sz w:val="24"/>
          <w:szCs w:val="24"/>
          <w:lang w:bidi="en-US"/>
        </w:rPr>
        <w:t>本项目办工生活区设废水收集池，生活污水沉淀后用于道路洒水抑尘，不外排。</w:t>
      </w:r>
    </w:p>
    <w:p>
      <w:pPr>
        <w:pStyle w:val="361"/>
        <w:spacing w:line="440" w:lineRule="exact"/>
        <w:ind w:firstLineChars="200"/>
        <w:rPr>
          <w:rStyle w:val="255"/>
          <w:rFonts w:cs="Times New Roman" w:eastAsiaTheme="minorEastAsia"/>
          <w:b w:val="0"/>
          <w:color w:val="auto"/>
          <w:sz w:val="24"/>
          <w:szCs w:val="24"/>
          <w:lang w:bidi="en-US"/>
        </w:rPr>
      </w:pPr>
      <w:r>
        <w:rPr>
          <w:rStyle w:val="255"/>
          <w:rFonts w:hint="eastAsia" w:cs="Times New Roman" w:eastAsiaTheme="minorEastAsia"/>
          <w:b w:val="0"/>
          <w:color w:val="auto"/>
          <w:sz w:val="24"/>
          <w:szCs w:val="24"/>
          <w:lang w:bidi="en-US"/>
        </w:rPr>
        <w:t>（</w:t>
      </w:r>
      <w:r>
        <w:rPr>
          <w:rStyle w:val="255"/>
          <w:rFonts w:hint="eastAsia" w:cs="Times New Roman" w:eastAsiaTheme="minorEastAsia"/>
          <w:b w:val="0"/>
          <w:color w:val="auto"/>
          <w:sz w:val="24"/>
          <w:szCs w:val="24"/>
          <w:lang w:val="en-US" w:bidi="en-US"/>
        </w:rPr>
        <w:t>2</w:t>
      </w:r>
      <w:r>
        <w:rPr>
          <w:rStyle w:val="255"/>
          <w:rFonts w:hint="eastAsia" w:cs="Times New Roman" w:eastAsiaTheme="minorEastAsia"/>
          <w:b w:val="0"/>
          <w:color w:val="auto"/>
          <w:sz w:val="24"/>
          <w:szCs w:val="24"/>
          <w:lang w:bidi="en-US"/>
        </w:rPr>
        <w:t>）洗车废水</w:t>
      </w:r>
    </w:p>
    <w:p>
      <w:pPr>
        <w:pStyle w:val="361"/>
        <w:spacing w:line="440" w:lineRule="exact"/>
        <w:ind w:firstLineChars="200"/>
        <w:rPr>
          <w:rStyle w:val="255"/>
          <w:rFonts w:cs="Times New Roman" w:eastAsiaTheme="minorEastAsia"/>
          <w:b w:val="0"/>
          <w:color w:val="auto"/>
          <w:sz w:val="24"/>
          <w:szCs w:val="24"/>
          <w:lang w:bidi="en-US"/>
        </w:rPr>
      </w:pPr>
      <w:r>
        <w:rPr>
          <w:rStyle w:val="255"/>
          <w:rFonts w:hint="eastAsia" w:cs="Times New Roman" w:eastAsiaTheme="minorEastAsia"/>
          <w:b w:val="0"/>
          <w:color w:val="auto"/>
          <w:sz w:val="24"/>
          <w:szCs w:val="24"/>
          <w:lang w:bidi="en-US"/>
        </w:rPr>
        <w:t>本项目洗车平台配套建设沉淀池，废水沉淀后回用于洗车，不外排。</w:t>
      </w:r>
    </w:p>
    <w:p>
      <w:pPr>
        <w:pStyle w:val="361"/>
        <w:spacing w:line="440" w:lineRule="exact"/>
        <w:ind w:firstLineChars="200"/>
        <w:rPr>
          <w:rFonts w:eastAsia="宋体"/>
        </w:rPr>
      </w:pPr>
      <w:r>
        <w:rPr>
          <w:rStyle w:val="255"/>
          <w:rFonts w:hint="eastAsia" w:cs="Times New Roman" w:eastAsiaTheme="minorEastAsia"/>
          <w:b w:val="0"/>
          <w:color w:val="auto"/>
          <w:sz w:val="24"/>
          <w:szCs w:val="24"/>
          <w:lang w:bidi="en-US"/>
        </w:rPr>
        <w:t>综上所述，本项目无废水外排，不会对区域水环境产生影响，项目水污染防治措施可行。</w:t>
      </w:r>
    </w:p>
    <w:p>
      <w:pPr>
        <w:pStyle w:val="6"/>
        <w:adjustRightInd w:val="0"/>
        <w:snapToGrid w:val="0"/>
        <w:spacing w:before="120" w:beforeLines="50" w:line="360" w:lineRule="auto"/>
        <w:rPr>
          <w:rFonts w:eastAsia="宋体"/>
          <w:bCs w:val="0"/>
          <w:i w:val="0"/>
          <w:color w:val="auto"/>
          <w:sz w:val="24"/>
          <w:szCs w:val="24"/>
        </w:rPr>
      </w:pPr>
      <w:r>
        <w:rPr>
          <w:rFonts w:eastAsia="宋体"/>
          <w:bCs w:val="0"/>
          <w:i w:val="0"/>
          <w:color w:val="auto"/>
          <w:sz w:val="24"/>
          <w:szCs w:val="24"/>
        </w:rPr>
        <w:t>6.</w:t>
      </w:r>
      <w:r>
        <w:rPr>
          <w:rFonts w:hint="eastAsia" w:eastAsia="宋体"/>
          <w:bCs w:val="0"/>
          <w:i w:val="0"/>
          <w:color w:val="auto"/>
          <w:sz w:val="24"/>
          <w:szCs w:val="24"/>
        </w:rPr>
        <w:t>2</w:t>
      </w:r>
      <w:r>
        <w:rPr>
          <w:rFonts w:eastAsia="宋体"/>
          <w:bCs w:val="0"/>
          <w:i w:val="0"/>
          <w:color w:val="auto"/>
          <w:sz w:val="24"/>
          <w:szCs w:val="24"/>
        </w:rPr>
        <w:t>.</w:t>
      </w:r>
      <w:r>
        <w:rPr>
          <w:rFonts w:hint="eastAsia" w:eastAsia="宋体"/>
          <w:bCs w:val="0"/>
          <w:i w:val="0"/>
          <w:color w:val="auto"/>
          <w:sz w:val="24"/>
          <w:szCs w:val="24"/>
        </w:rPr>
        <w:t>3噪声污染防治措施</w:t>
      </w:r>
    </w:p>
    <w:p>
      <w:pPr>
        <w:pStyle w:val="361"/>
        <w:spacing w:line="440" w:lineRule="exact"/>
        <w:ind w:firstLineChars="200"/>
        <w:rPr>
          <w:rFonts w:eastAsia="宋体"/>
        </w:rPr>
      </w:pPr>
      <w:r>
        <w:rPr>
          <w:rFonts w:hint="eastAsia" w:eastAsia="宋体"/>
        </w:rPr>
        <w:t>本项目的噪声源主要为挖掘机、装载机、雾炮机、水泵和运输车辆等运行产生的噪声。</w:t>
      </w:r>
    </w:p>
    <w:p>
      <w:pPr>
        <w:pStyle w:val="361"/>
        <w:spacing w:line="440" w:lineRule="exact"/>
        <w:ind w:firstLineChars="200"/>
        <w:rPr>
          <w:rFonts w:eastAsia="宋体"/>
        </w:rPr>
      </w:pPr>
      <w:r>
        <w:rPr>
          <w:rFonts w:eastAsia="宋体"/>
        </w:rPr>
        <w:t>本项目运营期采取的噪声污染防治措施如下：</w:t>
      </w:r>
    </w:p>
    <w:p>
      <w:pPr>
        <w:pStyle w:val="361"/>
        <w:numPr>
          <w:ilvl w:val="0"/>
          <w:numId w:val="7"/>
        </w:numPr>
        <w:spacing w:line="440" w:lineRule="exact"/>
        <w:ind w:firstLineChars="200"/>
        <w:rPr>
          <w:rFonts w:eastAsia="宋体"/>
        </w:rPr>
      </w:pPr>
      <w:r>
        <w:rPr>
          <w:rFonts w:hint="eastAsia" w:eastAsia="宋体"/>
        </w:rPr>
        <w:t>选用低噪声设备，从源头上降低设备噪声源强。</w:t>
      </w:r>
    </w:p>
    <w:p>
      <w:pPr>
        <w:pStyle w:val="361"/>
        <w:numPr>
          <w:ilvl w:val="0"/>
          <w:numId w:val="7"/>
        </w:numPr>
        <w:spacing w:line="440" w:lineRule="exact"/>
        <w:ind w:firstLineChars="200"/>
        <w:rPr>
          <w:rFonts w:eastAsia="宋体"/>
        </w:rPr>
      </w:pPr>
      <w:r>
        <w:rPr>
          <w:rFonts w:eastAsia="宋体"/>
        </w:rPr>
        <w:t>严格管理：对于露天采场</w:t>
      </w:r>
      <w:r>
        <w:rPr>
          <w:rFonts w:hint="eastAsia" w:eastAsia="宋体"/>
        </w:rPr>
        <w:t>，</w:t>
      </w:r>
      <w:r>
        <w:rPr>
          <w:rFonts w:eastAsia="宋体"/>
        </w:rPr>
        <w:t>产噪设备分散</w:t>
      </w:r>
      <w:r>
        <w:rPr>
          <w:rFonts w:hint="eastAsia" w:eastAsia="宋体"/>
        </w:rPr>
        <w:t>，</w:t>
      </w:r>
      <w:r>
        <w:rPr>
          <w:rFonts w:eastAsia="宋体"/>
        </w:rPr>
        <w:t>位置不确定</w:t>
      </w:r>
      <w:r>
        <w:rPr>
          <w:rFonts w:hint="eastAsia" w:eastAsia="宋体"/>
        </w:rPr>
        <w:t>，</w:t>
      </w:r>
      <w:r>
        <w:rPr>
          <w:rFonts w:eastAsia="宋体"/>
        </w:rPr>
        <w:t>因此</w:t>
      </w:r>
      <w:r>
        <w:rPr>
          <w:rFonts w:hint="eastAsia" w:eastAsia="宋体"/>
        </w:rPr>
        <w:t>，</w:t>
      </w:r>
      <w:r>
        <w:rPr>
          <w:rFonts w:eastAsia="宋体"/>
        </w:rPr>
        <w:t>需对挖掘机、装载机</w:t>
      </w:r>
      <w:r>
        <w:rPr>
          <w:rFonts w:hint="eastAsia" w:eastAsia="宋体"/>
        </w:rPr>
        <w:t>、移动雾炮机、运输车辆</w:t>
      </w:r>
      <w:r>
        <w:rPr>
          <w:rFonts w:eastAsia="宋体"/>
        </w:rPr>
        <w:t>等移动声源加强管理</w:t>
      </w:r>
      <w:r>
        <w:rPr>
          <w:rFonts w:hint="eastAsia" w:eastAsia="宋体"/>
        </w:rPr>
        <w:t>，</w:t>
      </w:r>
      <w:r>
        <w:rPr>
          <w:rFonts w:eastAsia="宋体"/>
        </w:rPr>
        <w:t>避免高噪声集中排放</w:t>
      </w:r>
      <w:r>
        <w:rPr>
          <w:rFonts w:hint="eastAsia" w:eastAsia="宋体"/>
        </w:rPr>
        <w:t>。此外，运输车辆</w:t>
      </w:r>
      <w:r>
        <w:rPr>
          <w:rFonts w:eastAsia="宋体"/>
        </w:rPr>
        <w:t>严禁超载、限速行驶、禁止鸣笛</w:t>
      </w:r>
    </w:p>
    <w:p>
      <w:pPr>
        <w:pStyle w:val="361"/>
        <w:spacing w:line="440" w:lineRule="exact"/>
        <w:ind w:firstLineChars="200"/>
        <w:jc w:val="both"/>
        <w:rPr>
          <w:rFonts w:eastAsia="宋体"/>
        </w:rPr>
      </w:pPr>
      <w:r>
        <w:rPr>
          <w:rFonts w:hint="eastAsia" w:eastAsia="宋体"/>
        </w:rPr>
        <w:t>3）加强场地</w:t>
      </w:r>
      <w:r>
        <w:rPr>
          <w:rFonts w:eastAsia="宋体"/>
        </w:rPr>
        <w:t>绿化</w:t>
      </w:r>
      <w:r>
        <w:rPr>
          <w:rFonts w:hint="eastAsia" w:eastAsia="宋体"/>
        </w:rPr>
        <w:t>，</w:t>
      </w:r>
      <w:r>
        <w:rPr>
          <w:rFonts w:eastAsia="宋体"/>
        </w:rPr>
        <w:t>绿化对噪声有屏蔽和吸纳作用</w:t>
      </w:r>
      <w:r>
        <w:rPr>
          <w:rFonts w:hint="eastAsia" w:eastAsia="宋体"/>
        </w:rPr>
        <w:t>。</w:t>
      </w:r>
    </w:p>
    <w:p>
      <w:pPr>
        <w:adjustRightInd w:val="0"/>
        <w:snapToGrid w:val="0"/>
        <w:spacing w:line="440" w:lineRule="exact"/>
        <w:ind w:firstLine="480" w:firstLineChars="200"/>
        <w:jc w:val="both"/>
      </w:pPr>
      <w:r>
        <w:rPr>
          <w:rFonts w:hint="eastAsia"/>
        </w:rPr>
        <w:t>根据预测结果，项目运营期厂界噪声预测值能够满足</w:t>
      </w:r>
      <w:r>
        <w:t>《声环境质量标准》（GB3096-2008）</w:t>
      </w:r>
      <w:r>
        <w:rPr>
          <w:rFonts w:hint="eastAsia"/>
          <w:lang w:val="en-US" w:eastAsia="zh-CN"/>
        </w:rPr>
        <w:t>1</w:t>
      </w:r>
      <w:r>
        <w:t>类标准的要求</w:t>
      </w:r>
      <w:r>
        <w:rPr>
          <w:rFonts w:hint="eastAsia"/>
        </w:rPr>
        <w:t>，厂界距离最近的村庄（前所村）930m，经距离衰减后，不会对周围村庄声环境产生影响</w:t>
      </w:r>
    </w:p>
    <w:p>
      <w:pPr>
        <w:pStyle w:val="6"/>
        <w:adjustRightInd w:val="0"/>
        <w:snapToGrid w:val="0"/>
        <w:spacing w:before="120" w:beforeLines="50" w:line="360" w:lineRule="auto"/>
        <w:rPr>
          <w:rFonts w:eastAsia="宋体"/>
          <w:bCs w:val="0"/>
          <w:i w:val="0"/>
          <w:color w:val="auto"/>
          <w:sz w:val="24"/>
          <w:szCs w:val="24"/>
        </w:rPr>
      </w:pPr>
      <w:r>
        <w:rPr>
          <w:rFonts w:eastAsia="宋体"/>
          <w:bCs w:val="0"/>
          <w:i w:val="0"/>
          <w:color w:val="auto"/>
          <w:sz w:val="24"/>
          <w:szCs w:val="24"/>
        </w:rPr>
        <w:t>6.</w:t>
      </w:r>
      <w:r>
        <w:rPr>
          <w:rFonts w:hint="eastAsia" w:eastAsia="宋体"/>
          <w:bCs w:val="0"/>
          <w:i w:val="0"/>
          <w:color w:val="auto"/>
          <w:sz w:val="24"/>
          <w:szCs w:val="24"/>
        </w:rPr>
        <w:t>2</w:t>
      </w:r>
      <w:r>
        <w:rPr>
          <w:rFonts w:eastAsia="宋体"/>
          <w:bCs w:val="0"/>
          <w:i w:val="0"/>
          <w:color w:val="auto"/>
          <w:sz w:val="24"/>
          <w:szCs w:val="24"/>
        </w:rPr>
        <w:t>.</w:t>
      </w:r>
      <w:r>
        <w:rPr>
          <w:rFonts w:hint="eastAsia" w:eastAsia="宋体"/>
          <w:bCs w:val="0"/>
          <w:i w:val="0"/>
          <w:color w:val="auto"/>
          <w:sz w:val="24"/>
          <w:szCs w:val="24"/>
        </w:rPr>
        <w:t>4固体废物污染防治措施</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hint="eastAsia" w:cs="Times New Roman" w:eastAsiaTheme="minorEastAsia"/>
          <w:b w:val="0"/>
          <w:color w:val="auto"/>
          <w:sz w:val="24"/>
          <w:szCs w:val="24"/>
          <w:lang w:val="en-US" w:bidi="en-US"/>
        </w:rPr>
        <w:t>本项目运营期固体废物主要为开采剥离土、职工生活垃圾和设备维修产生的废机油。</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（1）</w:t>
      </w:r>
      <w:r>
        <w:rPr>
          <w:rStyle w:val="255"/>
          <w:rFonts w:hint="eastAsia" w:ascii="Times New Roman" w:hAnsi="Times New Roman" w:cs="Times New Roman" w:eastAsiaTheme="minorEastAsia"/>
          <w:b w:val="0"/>
          <w:color w:val="auto"/>
          <w:sz w:val="24"/>
          <w:szCs w:val="24"/>
          <w:lang w:val="en-US" w:bidi="en-US"/>
        </w:rPr>
        <w:t>开采剥离土</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hint="eastAsia" w:ascii="Times New Roman" w:hAnsi="Times New Roman" w:cs="Times New Roman" w:eastAsiaTheme="minorEastAsia"/>
          <w:b w:val="0"/>
          <w:color w:val="auto"/>
          <w:sz w:val="24"/>
          <w:szCs w:val="24"/>
          <w:lang w:val="en-US" w:bidi="en-US"/>
        </w:rPr>
        <w:t>本项目矿区内设排土场，开采剥离土汽车运输至排土场</w:t>
      </w:r>
      <w:r>
        <w:rPr>
          <w:rStyle w:val="255"/>
          <w:rFonts w:hint="eastAsia" w:cs="Times New Roman" w:eastAsiaTheme="minorEastAsia"/>
          <w:b w:val="0"/>
          <w:color w:val="auto"/>
          <w:sz w:val="24"/>
          <w:szCs w:val="24"/>
          <w:lang w:val="en-US" w:bidi="en-US"/>
        </w:rPr>
        <w:t>处置，后期用于土地复垦和生态恢复</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（2）生活垃圾</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本项目生活垃圾产生量为1.05t/a，厂区内设垃圾箱收集，定期送环卫部门指定地点处置。</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（3）废机油</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本项目机械设备维修保养过程产生的废机油，属于危险废物。根据《国家危险废物名录》2016版（部令第39号），废机油属于HW08，危险废物代码为900-217-08，危险特性为T。本项目机油的用量约为0.4t/a，设备运行过程中会损耗一部分，跑、冒、滴、漏还会有少量的损耗，机油需半年更换一次，项目产生的废机油产生量</w:t>
      </w:r>
      <w:r>
        <w:rPr>
          <w:rStyle w:val="255"/>
          <w:rFonts w:hint="eastAsia" w:ascii="Times New Roman" w:hAnsi="Times New Roman" w:cs="Times New Roman" w:eastAsiaTheme="minorEastAsia"/>
          <w:b w:val="0"/>
          <w:color w:val="auto"/>
          <w:sz w:val="24"/>
          <w:szCs w:val="24"/>
          <w:lang w:val="en-US" w:bidi="en-US"/>
        </w:rPr>
        <w:t>约</w:t>
      </w:r>
      <w:r>
        <w:rPr>
          <w:rStyle w:val="255"/>
          <w:rFonts w:ascii="Times New Roman" w:hAnsi="Times New Roman" w:cs="Times New Roman" w:eastAsiaTheme="minorEastAsia"/>
          <w:b w:val="0"/>
          <w:color w:val="auto"/>
          <w:sz w:val="24"/>
          <w:szCs w:val="24"/>
          <w:lang w:val="en-US" w:bidi="en-US"/>
        </w:rPr>
        <w:t>为0.2t/a</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按照《危险废物贮存污染控制标准》</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GB 18597-2001</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及2013修改单中的相关要求</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建设单位必须配备危险废物贮存场所和储存设施</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本项目在</w:t>
      </w:r>
      <w:r>
        <w:rPr>
          <w:rStyle w:val="255"/>
          <w:rFonts w:hint="eastAsia" w:cs="Times New Roman" w:eastAsiaTheme="minorEastAsia"/>
          <w:b w:val="0"/>
          <w:color w:val="auto"/>
          <w:sz w:val="24"/>
          <w:szCs w:val="24"/>
          <w:lang w:val="en-US" w:bidi="en-US"/>
        </w:rPr>
        <w:t>工业场地内</w:t>
      </w:r>
      <w:r>
        <w:rPr>
          <w:rStyle w:val="255"/>
          <w:rFonts w:ascii="Times New Roman" w:hAnsi="Times New Roman" w:cs="Times New Roman" w:eastAsiaTheme="minorEastAsia"/>
          <w:b w:val="0"/>
          <w:color w:val="auto"/>
          <w:sz w:val="24"/>
          <w:szCs w:val="24"/>
          <w:lang w:val="en-US" w:bidi="en-US"/>
        </w:rPr>
        <w:t>设置</w:t>
      </w:r>
      <w:r>
        <w:rPr>
          <w:rStyle w:val="255"/>
          <w:rFonts w:hint="eastAsia" w:ascii="Times New Roman" w:hAnsi="Times New Roman" w:cs="Times New Roman" w:eastAsiaTheme="minorEastAsia"/>
          <w:b w:val="0"/>
          <w:color w:val="auto"/>
          <w:sz w:val="24"/>
          <w:szCs w:val="24"/>
          <w:lang w:val="en-US" w:bidi="en-US"/>
        </w:rPr>
        <w:t>5</w:t>
      </w:r>
      <w:r>
        <w:rPr>
          <w:rStyle w:val="255"/>
          <w:rFonts w:ascii="Times New Roman" w:hAnsi="Times New Roman" w:cs="Times New Roman" w:eastAsiaTheme="minorEastAsia"/>
          <w:b w:val="0"/>
          <w:color w:val="auto"/>
          <w:sz w:val="24"/>
          <w:szCs w:val="24"/>
          <w:lang w:val="en-US" w:bidi="en-US"/>
        </w:rPr>
        <w:t>m</w:t>
      </w:r>
      <w:r>
        <w:rPr>
          <w:rStyle w:val="255"/>
          <w:rFonts w:ascii="Times New Roman" w:hAnsi="Times New Roman" w:cs="Times New Roman" w:eastAsiaTheme="minorEastAsia"/>
          <w:b w:val="0"/>
          <w:color w:val="auto"/>
          <w:sz w:val="24"/>
          <w:szCs w:val="24"/>
          <w:vertAlign w:val="superscript"/>
          <w:lang w:val="en-US" w:bidi="en-US"/>
        </w:rPr>
        <w:t>2</w:t>
      </w:r>
      <w:r>
        <w:rPr>
          <w:rStyle w:val="255"/>
          <w:rFonts w:ascii="Times New Roman" w:hAnsi="Times New Roman" w:cs="Times New Roman" w:eastAsiaTheme="minorEastAsia"/>
          <w:b w:val="0"/>
          <w:color w:val="auto"/>
          <w:sz w:val="24"/>
          <w:szCs w:val="24"/>
          <w:lang w:val="en-US" w:bidi="en-US"/>
        </w:rPr>
        <w:t>危废暂存间</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废机油装入符合标准的密闭容器内暂存</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定期由有处理资质的单位进行</w:t>
      </w:r>
      <w:r>
        <w:rPr>
          <w:rStyle w:val="255"/>
          <w:rFonts w:hint="eastAsia" w:cs="Times New Roman" w:eastAsiaTheme="minorEastAsia"/>
          <w:b w:val="0"/>
          <w:color w:val="auto"/>
          <w:sz w:val="24"/>
          <w:szCs w:val="24"/>
          <w:lang w:val="en-US" w:bidi="en-US"/>
        </w:rPr>
        <w:t>统一</w:t>
      </w:r>
      <w:r>
        <w:rPr>
          <w:rStyle w:val="255"/>
          <w:rFonts w:ascii="Times New Roman" w:hAnsi="Times New Roman" w:cs="Times New Roman" w:eastAsiaTheme="minorEastAsia"/>
          <w:b w:val="0"/>
          <w:color w:val="auto"/>
          <w:sz w:val="24"/>
          <w:szCs w:val="24"/>
          <w:lang w:val="en-US" w:bidi="en-US"/>
        </w:rPr>
        <w:t>转运处置</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危险废物若处置不当就会对周围环境造成危害</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因此</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必须按照《中华人民共和国固体废物污染环境防治法》以及危险废物防治有关办法的要求严格管理和安全处置</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根据本项目产生危废的特性</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环评要求采用</w:t>
      </w:r>
      <w:r>
        <w:rPr>
          <w:rStyle w:val="255"/>
          <w:rFonts w:hint="eastAsia"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厂内设危废暂存间+定期送至危废处置单位进行处置</w:t>
      </w:r>
      <w:r>
        <w:rPr>
          <w:rStyle w:val="255"/>
          <w:rFonts w:hint="eastAsia"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的处置方式</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危废暂存间内各种废物单独存放</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存放容器应清楚地标明内盛物的类别与危害说明</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以及数量和装进日期</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设置危险废物识别标志</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危险废物暂存间应按照《危险废物贮存和污染控制标准》建造</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 xml:space="preserve">具体要求为： </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1</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危废暂存间建设要求</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①暂存库地面与裙脚要用坚固、防渗的材料建造</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建筑材料必须与危险废物不相容</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防渗系数要求≤10</w:t>
      </w:r>
      <w:r>
        <w:rPr>
          <w:rStyle w:val="255"/>
          <w:rFonts w:ascii="Times New Roman" w:hAnsi="Times New Roman" w:cs="Times New Roman" w:eastAsiaTheme="minorEastAsia"/>
          <w:b w:val="0"/>
          <w:color w:val="auto"/>
          <w:sz w:val="24"/>
          <w:szCs w:val="24"/>
          <w:vertAlign w:val="superscript"/>
          <w:lang w:val="en-US" w:bidi="en-US"/>
        </w:rPr>
        <w:t>-7</w:t>
      </w:r>
      <w:r>
        <w:rPr>
          <w:rStyle w:val="255"/>
          <w:rFonts w:ascii="Times New Roman" w:hAnsi="Times New Roman" w:cs="Times New Roman" w:eastAsiaTheme="minorEastAsia"/>
          <w:b w:val="0"/>
          <w:color w:val="auto"/>
          <w:sz w:val="24"/>
          <w:szCs w:val="24"/>
          <w:lang w:val="en-US" w:bidi="en-US"/>
        </w:rPr>
        <w:t>cm/s</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②暂存库要有足够地面承载能力</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并能确保雨水不会流至贮存设施内</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贮存设施应封闭</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以防风、防雨、防晒</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③暂存库内要有安全照明设施和安全防护设施</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④暂存库内危废堆放处必须有耐腐蚀的硬化地面</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且表面无裂隙</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⑤不相容的危险废物必须分开存放</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并设有隔离间隔断</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⑥对贮存设施及危险废物进行定期检查</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2</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危险废物堆放要求</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①本项目危险废物主要呈</w:t>
      </w:r>
      <w:r>
        <w:rPr>
          <w:rStyle w:val="255"/>
          <w:rFonts w:hint="eastAsia" w:cs="Times New Roman" w:eastAsiaTheme="minorEastAsia"/>
          <w:b w:val="0"/>
          <w:color w:val="auto"/>
          <w:sz w:val="24"/>
          <w:szCs w:val="24"/>
          <w:lang w:val="en-US" w:bidi="en-US"/>
        </w:rPr>
        <w:t>液</w:t>
      </w:r>
      <w:r>
        <w:rPr>
          <w:rStyle w:val="255"/>
          <w:rFonts w:ascii="Times New Roman" w:hAnsi="Times New Roman" w:cs="Times New Roman" w:eastAsiaTheme="minorEastAsia"/>
          <w:b w:val="0"/>
          <w:color w:val="auto"/>
          <w:sz w:val="24"/>
          <w:szCs w:val="24"/>
          <w:lang w:val="en-US" w:bidi="en-US"/>
        </w:rPr>
        <w:t>态</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要求分类置于封闭塑料桶或专用容器内</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盛装危险废物的容器必须粘贴危险废物种类标识</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②暂存库设置明显的贮存危险废物种类标识和警示标识</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并在暂存库周围显著处标记</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严禁烟火</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的禁示牌</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③厂内要有专人管理危险废物</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危险废物出入贮存场前</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应登记造册</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做好记录</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注明危险废物的名称、来源、数量、特性、入库日期、出库日期、接受单位等</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④定期对所贮存的危险废物包装容器及贮存设施进行检查</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发现破损及时清理更换</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3</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危险废物的转运</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危险废物应按照国家有关规定向当地环境保护行政主管部门申报登记</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接受当地环境保护行政主管部门监督管理</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同时</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根据国务院令第344号《危险化学品安全管理条例》、《危险废物收集 贮存 运输技术规范》</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HJ2025-2012</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和《危险废物转移联单管理办法》的有关规定</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在危险废物外运至处置单位时必须严格遵守以下要求：</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①做好每次外运处置废弃物的运输登记</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认真填写危险废物转移联单</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每种废物填写一份联单</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并加盖公章</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经运输单位核实验收签字后</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将联单第一联副联自留存档</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将联单第二联交移出地环境保护行政主管部门</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第三联及其余各联交付运输单位</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随危险废物转移运行</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第四联交接收单位</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第五联交接收地环保局</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②废弃物处置单位的运输人员必须掌握危险化学品运输的安全知识</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化学品的性质、危害特性、包装容器的使用特性和发生意外时的应急措施了解所运载的危险</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运输车辆必须具有车辆危险货物运输许可证</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驾驶人员必须由取得驾驶执照的熟练人员担任</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③处置单位在运输危险废物时必须配备押运人员</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并随时处于押运人员的监管之下</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不得超装、超载</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严格按照所在城市规定的行车时间和行车路线行驶</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不得进入危险化学品运输车辆禁止通行的区域</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④危险废物在运输途中若发生被盗、丢失、流散、泄漏等情况时</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单位及押运人员必须立即向当地公安部门报告</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并采取一切可能的警示措施</w:t>
      </w:r>
      <w:r>
        <w:rPr>
          <w:rStyle w:val="255"/>
          <w:rFonts w:hint="eastAsia" w:ascii="Times New Roman" w:hAnsi="Times New Roman" w:cs="Times New Roman" w:eastAsiaTheme="minorEastAsia"/>
          <w:b w:val="0"/>
          <w:color w:val="auto"/>
          <w:sz w:val="24"/>
          <w:szCs w:val="24"/>
          <w:lang w:val="en-US" w:bidi="en-US"/>
        </w:rPr>
        <w:t>。</w:t>
      </w:r>
    </w:p>
    <w:p>
      <w:pPr>
        <w:adjustRightInd w:val="0"/>
        <w:snapToGrid w:val="0"/>
        <w:spacing w:line="440" w:lineRule="exact"/>
        <w:ind w:firstLine="480" w:firstLineChars="200"/>
        <w:jc w:val="both"/>
        <w:rPr>
          <w:rStyle w:val="255"/>
          <w:rFonts w:ascii="Times New Roman" w:hAnsi="Times New Roman" w:cs="Times New Roman" w:eastAsiaTheme="minorEastAsia"/>
          <w:b w:val="0"/>
          <w:color w:val="auto"/>
          <w:sz w:val="24"/>
          <w:szCs w:val="24"/>
          <w:lang w:val="en-US" w:bidi="en-US"/>
        </w:rPr>
      </w:pPr>
      <w:r>
        <w:rPr>
          <w:rStyle w:val="255"/>
          <w:rFonts w:ascii="Times New Roman" w:hAnsi="Times New Roman" w:cs="Times New Roman" w:eastAsiaTheme="minorEastAsia"/>
          <w:b w:val="0"/>
          <w:color w:val="auto"/>
          <w:sz w:val="24"/>
          <w:szCs w:val="24"/>
          <w:lang w:val="en-US" w:bidi="en-US"/>
        </w:rPr>
        <w:t>⑤一旦发生废弃物泄漏事故</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项目单位和废弃物处置单位都应积极协助有关部门采取必要的安全措施</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减少事故损失</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防止事故蔓延、扩大</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针对事故对人体、动植物、土壤、水源、空气造成的现实危害和可能产生的危害</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应迅速采取封闭、隔离、洗消等措施</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并对事故造成的危害进行监测、处置</w:t>
      </w:r>
      <w:r>
        <w:rPr>
          <w:rStyle w:val="255"/>
          <w:rFonts w:hint="eastAsia" w:ascii="Times New Roman" w:hAnsi="Times New Roman" w:cs="Times New Roman" w:eastAsiaTheme="minorEastAsia"/>
          <w:b w:val="0"/>
          <w:color w:val="auto"/>
          <w:sz w:val="24"/>
          <w:szCs w:val="24"/>
          <w:lang w:val="en-US" w:bidi="en-US"/>
        </w:rPr>
        <w:t>，</w:t>
      </w:r>
      <w:r>
        <w:rPr>
          <w:rStyle w:val="255"/>
          <w:rFonts w:ascii="Times New Roman" w:hAnsi="Times New Roman" w:cs="Times New Roman" w:eastAsiaTheme="minorEastAsia"/>
          <w:b w:val="0"/>
          <w:color w:val="auto"/>
          <w:sz w:val="24"/>
          <w:szCs w:val="24"/>
          <w:lang w:val="en-US" w:bidi="en-US"/>
        </w:rPr>
        <w:t>直至符合国家环境保护标准</w:t>
      </w:r>
      <w:r>
        <w:rPr>
          <w:rStyle w:val="255"/>
          <w:rFonts w:hint="eastAsia" w:ascii="Times New Roman" w:hAnsi="Times New Roman" w:cs="Times New Roman" w:eastAsiaTheme="minorEastAsia"/>
          <w:b w:val="0"/>
          <w:color w:val="auto"/>
          <w:sz w:val="24"/>
          <w:szCs w:val="24"/>
          <w:lang w:val="en-US" w:bidi="en-US"/>
        </w:rPr>
        <w:t>。</w:t>
      </w:r>
    </w:p>
    <w:p>
      <w:pPr>
        <w:pStyle w:val="6"/>
        <w:adjustRightInd w:val="0"/>
        <w:snapToGrid w:val="0"/>
        <w:spacing w:before="120" w:beforeLines="50" w:line="360" w:lineRule="auto"/>
        <w:rPr>
          <w:rFonts w:eastAsia="宋体"/>
          <w:bCs w:val="0"/>
          <w:i w:val="0"/>
          <w:color w:val="auto"/>
          <w:sz w:val="24"/>
          <w:szCs w:val="24"/>
        </w:rPr>
      </w:pPr>
      <w:r>
        <w:rPr>
          <w:rFonts w:eastAsia="宋体"/>
          <w:bCs w:val="0"/>
          <w:i w:val="0"/>
          <w:color w:val="auto"/>
          <w:sz w:val="24"/>
          <w:szCs w:val="24"/>
        </w:rPr>
        <w:t>6.</w:t>
      </w:r>
      <w:r>
        <w:rPr>
          <w:rFonts w:hint="eastAsia" w:eastAsia="宋体"/>
          <w:bCs w:val="0"/>
          <w:i w:val="0"/>
          <w:color w:val="auto"/>
          <w:sz w:val="24"/>
          <w:szCs w:val="24"/>
        </w:rPr>
        <w:t>2</w:t>
      </w:r>
      <w:r>
        <w:rPr>
          <w:rFonts w:eastAsia="宋体"/>
          <w:bCs w:val="0"/>
          <w:i w:val="0"/>
          <w:color w:val="auto"/>
          <w:sz w:val="24"/>
          <w:szCs w:val="24"/>
        </w:rPr>
        <w:t>.</w:t>
      </w:r>
      <w:r>
        <w:rPr>
          <w:rFonts w:hint="eastAsia" w:eastAsia="宋体"/>
          <w:bCs w:val="0"/>
          <w:i w:val="0"/>
          <w:color w:val="auto"/>
          <w:sz w:val="24"/>
          <w:szCs w:val="24"/>
        </w:rPr>
        <w:t>5生态环境综合防治措施</w:t>
      </w:r>
    </w:p>
    <w:p>
      <w:pPr>
        <w:pStyle w:val="361"/>
        <w:spacing w:line="440" w:lineRule="exact"/>
        <w:ind w:firstLineChars="200"/>
        <w:jc w:val="both"/>
        <w:rPr>
          <w:rFonts w:eastAsia="宋体"/>
        </w:rPr>
      </w:pPr>
      <w:r>
        <w:rPr>
          <w:rFonts w:eastAsia="宋体"/>
        </w:rPr>
        <w:t>矿山露天开采对生态环境的影响很大</w:t>
      </w:r>
      <w:r>
        <w:rPr>
          <w:rFonts w:hint="eastAsia" w:eastAsia="宋体"/>
        </w:rPr>
        <w:t>，</w:t>
      </w:r>
      <w:r>
        <w:rPr>
          <w:rFonts w:eastAsia="宋体"/>
        </w:rPr>
        <w:t>为了遏制水土资源破坏</w:t>
      </w:r>
      <w:r>
        <w:rPr>
          <w:rFonts w:hint="eastAsia" w:eastAsia="宋体"/>
        </w:rPr>
        <w:t>，</w:t>
      </w:r>
      <w:r>
        <w:rPr>
          <w:rFonts w:eastAsia="宋体"/>
        </w:rPr>
        <w:t>保护、恢复、补偿生态系统</w:t>
      </w:r>
      <w:r>
        <w:rPr>
          <w:rFonts w:hint="eastAsia" w:eastAsia="宋体"/>
        </w:rPr>
        <w:t>，</w:t>
      </w:r>
      <w:r>
        <w:rPr>
          <w:rFonts w:eastAsia="宋体"/>
        </w:rPr>
        <w:t>保障水土资源持续利用</w:t>
      </w:r>
      <w:r>
        <w:rPr>
          <w:rFonts w:hint="eastAsia" w:eastAsia="宋体"/>
        </w:rPr>
        <w:t>，</w:t>
      </w:r>
      <w:r>
        <w:rPr>
          <w:rFonts w:eastAsia="宋体"/>
        </w:rPr>
        <w:t>建设单位应编制生态环境保护计划</w:t>
      </w:r>
      <w:r>
        <w:rPr>
          <w:rFonts w:hint="eastAsia" w:eastAsia="宋体"/>
        </w:rPr>
        <w:t>，</w:t>
      </w:r>
      <w:r>
        <w:rPr>
          <w:rFonts w:eastAsia="宋体"/>
        </w:rPr>
        <w:t>采取积极可靠的生态环境保护措施</w:t>
      </w:r>
      <w:r>
        <w:rPr>
          <w:rFonts w:hint="eastAsia" w:eastAsia="宋体"/>
        </w:rPr>
        <w:t>，</w:t>
      </w:r>
      <w:r>
        <w:rPr>
          <w:rFonts w:eastAsia="宋体"/>
        </w:rPr>
        <w:t>采用预防措施和治理措施相结合、工程措施和生物措施相结合的方法</w:t>
      </w:r>
      <w:r>
        <w:rPr>
          <w:rFonts w:hint="eastAsia" w:eastAsia="宋体"/>
        </w:rPr>
        <w:t>，</w:t>
      </w:r>
      <w:r>
        <w:rPr>
          <w:rFonts w:eastAsia="宋体"/>
        </w:rPr>
        <w:t>把对生态环境的影响减至最低限度</w:t>
      </w:r>
      <w:r>
        <w:rPr>
          <w:rFonts w:hint="eastAsia" w:eastAsia="宋体"/>
        </w:rPr>
        <w:t>。</w:t>
      </w:r>
    </w:p>
    <w:p>
      <w:pPr>
        <w:pStyle w:val="361"/>
        <w:widowControl w:val="0"/>
        <w:spacing w:line="440" w:lineRule="exact"/>
        <w:ind w:firstLineChars="200"/>
        <w:jc w:val="both"/>
        <w:rPr>
          <w:rFonts w:eastAsia="宋体"/>
        </w:rPr>
      </w:pPr>
      <w:r>
        <w:rPr>
          <w:rFonts w:eastAsia="宋体"/>
        </w:rPr>
        <w:t>生态环境保护措施包括防止生态环境破坏和防治污染两个方面</w:t>
      </w:r>
      <w:r>
        <w:rPr>
          <w:rFonts w:hint="eastAsia" w:eastAsia="宋体"/>
        </w:rPr>
        <w:t>。</w:t>
      </w:r>
      <w:r>
        <w:rPr>
          <w:rFonts w:eastAsia="宋体"/>
        </w:rPr>
        <w:t>对可能出现的生态影响应积极地采取保护和减缓措施</w:t>
      </w:r>
      <w:r>
        <w:rPr>
          <w:rFonts w:hint="eastAsia" w:eastAsia="宋体"/>
        </w:rPr>
        <w:t>，</w:t>
      </w:r>
      <w:r>
        <w:rPr>
          <w:rFonts w:eastAsia="宋体"/>
        </w:rPr>
        <w:t>制定详细的保护计划</w:t>
      </w:r>
      <w:r>
        <w:rPr>
          <w:rFonts w:hint="eastAsia" w:eastAsia="宋体"/>
        </w:rPr>
        <w:t>，</w:t>
      </w:r>
      <w:r>
        <w:rPr>
          <w:rFonts w:eastAsia="宋体"/>
        </w:rPr>
        <w:t>削减项目运行时对人群和生态系统的负面效应</w:t>
      </w:r>
      <w:r>
        <w:rPr>
          <w:rFonts w:hint="eastAsia" w:eastAsia="宋体"/>
        </w:rPr>
        <w:t>，</w:t>
      </w:r>
      <w:r>
        <w:rPr>
          <w:rFonts w:eastAsia="宋体"/>
        </w:rPr>
        <w:t>可以从避免、减小、矫正、保护和补偿五个方面考虑</w:t>
      </w:r>
      <w:r>
        <w:rPr>
          <w:rFonts w:hint="eastAsia" w:eastAsia="宋体"/>
        </w:rPr>
        <w:t>。</w:t>
      </w:r>
    </w:p>
    <w:p>
      <w:pPr>
        <w:pStyle w:val="361"/>
        <w:spacing w:line="440" w:lineRule="exact"/>
        <w:ind w:firstLineChars="200"/>
        <w:jc w:val="both"/>
        <w:rPr>
          <w:rFonts w:eastAsia="宋体"/>
        </w:rPr>
      </w:pPr>
      <w:r>
        <w:rPr>
          <w:rFonts w:eastAsia="宋体"/>
        </w:rPr>
        <w:t>1</w:t>
      </w:r>
      <w:r>
        <w:rPr>
          <w:rFonts w:hint="eastAsia" w:eastAsia="宋体"/>
        </w:rPr>
        <w:t>）</w:t>
      </w:r>
      <w:r>
        <w:rPr>
          <w:rFonts w:eastAsia="宋体"/>
        </w:rPr>
        <w:t>矿山的土地复垦及绿化措施与矿山生产紧密结合</w:t>
      </w:r>
      <w:r>
        <w:rPr>
          <w:rFonts w:hint="eastAsia" w:eastAsia="宋体"/>
        </w:rPr>
        <w:t>，</w:t>
      </w:r>
      <w:r>
        <w:rPr>
          <w:rFonts w:eastAsia="宋体"/>
        </w:rPr>
        <w:t>当一个采矿台段工作终结时</w:t>
      </w:r>
      <w:r>
        <w:rPr>
          <w:rFonts w:hint="eastAsia" w:eastAsia="宋体"/>
        </w:rPr>
        <w:t>，</w:t>
      </w:r>
      <w:r>
        <w:rPr>
          <w:rFonts w:eastAsia="宋体"/>
        </w:rPr>
        <w:t>随即对不再使用的坡面进行土地复垦</w:t>
      </w:r>
      <w:r>
        <w:rPr>
          <w:rFonts w:hint="eastAsia" w:eastAsia="宋体"/>
        </w:rPr>
        <w:t>，</w:t>
      </w:r>
      <w:r>
        <w:rPr>
          <w:rFonts w:eastAsia="宋体"/>
        </w:rPr>
        <w:t>以后按每一个台段顺次进行复垦</w:t>
      </w:r>
      <w:r>
        <w:rPr>
          <w:rFonts w:hint="eastAsia" w:eastAsia="宋体"/>
        </w:rPr>
        <w:t>。</w:t>
      </w:r>
      <w:r>
        <w:rPr>
          <w:rFonts w:eastAsia="宋体"/>
        </w:rPr>
        <w:t>在矿区应种植滞尘能力强的灌木</w:t>
      </w:r>
      <w:r>
        <w:rPr>
          <w:rFonts w:hint="eastAsia" w:eastAsia="宋体"/>
        </w:rPr>
        <w:t>，</w:t>
      </w:r>
      <w:r>
        <w:rPr>
          <w:rFonts w:eastAsia="宋体"/>
        </w:rPr>
        <w:t>在挖填边坡宜铺草皮加固</w:t>
      </w:r>
      <w:r>
        <w:rPr>
          <w:rFonts w:hint="eastAsia" w:eastAsia="宋体"/>
        </w:rPr>
        <w:t>，</w:t>
      </w:r>
      <w:r>
        <w:rPr>
          <w:rFonts w:eastAsia="宋体"/>
        </w:rPr>
        <w:t>坡脚、坡顶宜种植根系发达的灌木</w:t>
      </w:r>
      <w:r>
        <w:rPr>
          <w:rFonts w:hint="eastAsia" w:eastAsia="宋体"/>
        </w:rPr>
        <w:t>。</w:t>
      </w:r>
    </w:p>
    <w:p>
      <w:pPr>
        <w:pStyle w:val="361"/>
        <w:spacing w:line="440" w:lineRule="exact"/>
        <w:ind w:firstLineChars="200"/>
        <w:jc w:val="both"/>
        <w:rPr>
          <w:rFonts w:eastAsia="宋体"/>
        </w:rPr>
      </w:pPr>
      <w:r>
        <w:rPr>
          <w:rFonts w:eastAsia="宋体"/>
        </w:rPr>
        <w:t>2</w:t>
      </w:r>
      <w:r>
        <w:rPr>
          <w:rFonts w:hint="eastAsia" w:eastAsia="宋体"/>
        </w:rPr>
        <w:t>）</w:t>
      </w:r>
      <w:r>
        <w:rPr>
          <w:rFonts w:eastAsia="宋体"/>
        </w:rPr>
        <w:t>减少水土流失</w:t>
      </w:r>
      <w:r>
        <w:rPr>
          <w:rFonts w:hint="eastAsia" w:eastAsia="宋体"/>
        </w:rPr>
        <w:t>，</w:t>
      </w:r>
      <w:r>
        <w:rPr>
          <w:rFonts w:eastAsia="宋体"/>
        </w:rPr>
        <w:t>严格控制目的性不强的地表剥离</w:t>
      </w:r>
      <w:r>
        <w:rPr>
          <w:rFonts w:hint="eastAsia" w:eastAsia="宋体"/>
        </w:rPr>
        <w:t>，</w:t>
      </w:r>
      <w:r>
        <w:rPr>
          <w:rFonts w:eastAsia="宋体"/>
        </w:rPr>
        <w:t>加强项目完成后对破坏植被的恢复</w:t>
      </w:r>
      <w:r>
        <w:rPr>
          <w:rFonts w:hint="eastAsia" w:eastAsia="宋体"/>
        </w:rPr>
        <w:t>。</w:t>
      </w:r>
    </w:p>
    <w:p>
      <w:pPr>
        <w:pStyle w:val="361"/>
        <w:spacing w:line="440" w:lineRule="exact"/>
        <w:ind w:firstLineChars="200"/>
        <w:jc w:val="both"/>
        <w:rPr>
          <w:rFonts w:eastAsia="宋体"/>
        </w:rPr>
      </w:pPr>
      <w:r>
        <w:rPr>
          <w:rFonts w:hint="eastAsia" w:eastAsia="宋体"/>
        </w:rPr>
        <w:t>3）</w:t>
      </w:r>
      <w:r>
        <w:rPr>
          <w:rFonts w:eastAsia="宋体"/>
        </w:rPr>
        <w:t>矿区</w:t>
      </w:r>
      <w:r>
        <w:rPr>
          <w:rFonts w:hint="eastAsia" w:eastAsia="宋体"/>
        </w:rPr>
        <w:t>工业场地</w:t>
      </w:r>
      <w:r>
        <w:rPr>
          <w:rFonts w:eastAsia="宋体"/>
        </w:rPr>
        <w:t>进行绿化、硬化</w:t>
      </w:r>
      <w:r>
        <w:rPr>
          <w:rFonts w:hint="eastAsia" w:eastAsia="宋体"/>
        </w:rPr>
        <w:t>，</w:t>
      </w:r>
      <w:r>
        <w:rPr>
          <w:rFonts w:eastAsia="宋体"/>
        </w:rPr>
        <w:t>矿区道路两侧周围种植适合当地气候条件的树木</w:t>
      </w:r>
      <w:r>
        <w:rPr>
          <w:rFonts w:hint="eastAsia" w:eastAsia="宋体"/>
        </w:rPr>
        <w:t>，</w:t>
      </w:r>
      <w:r>
        <w:rPr>
          <w:rFonts w:eastAsia="宋体"/>
        </w:rPr>
        <w:t>这样既可以美化环境</w:t>
      </w:r>
      <w:r>
        <w:rPr>
          <w:rFonts w:hint="eastAsia" w:eastAsia="宋体"/>
        </w:rPr>
        <w:t>，</w:t>
      </w:r>
      <w:r>
        <w:rPr>
          <w:rFonts w:eastAsia="宋体"/>
        </w:rPr>
        <w:t>又可防止扬尘污染、水土流失和土壤侵蚀</w:t>
      </w:r>
      <w:r>
        <w:rPr>
          <w:rFonts w:hint="eastAsia" w:eastAsia="宋体"/>
        </w:rPr>
        <w:t>，</w:t>
      </w:r>
      <w:r>
        <w:rPr>
          <w:rFonts w:eastAsia="宋体"/>
        </w:rPr>
        <w:t>最大限度地降低对矿区生态系统的破坏</w:t>
      </w:r>
      <w:r>
        <w:rPr>
          <w:rFonts w:hint="eastAsia" w:eastAsia="宋体"/>
        </w:rPr>
        <w:t>，</w:t>
      </w:r>
      <w:r>
        <w:rPr>
          <w:rFonts w:eastAsia="宋体"/>
        </w:rPr>
        <w:t>使项目建设对周围环境的影响降低到最低程度</w:t>
      </w:r>
      <w:r>
        <w:rPr>
          <w:rFonts w:hint="eastAsia" w:eastAsia="宋体"/>
        </w:rPr>
        <w:t>。</w:t>
      </w:r>
    </w:p>
    <w:p>
      <w:pPr>
        <w:pStyle w:val="361"/>
        <w:spacing w:line="440" w:lineRule="exact"/>
        <w:ind w:firstLineChars="200"/>
        <w:jc w:val="both"/>
        <w:rPr>
          <w:rFonts w:eastAsia="宋体"/>
        </w:rPr>
      </w:pPr>
      <w:r>
        <w:rPr>
          <w:rFonts w:eastAsia="宋体"/>
        </w:rPr>
        <w:t>5</w:t>
      </w:r>
      <w:r>
        <w:rPr>
          <w:rFonts w:hint="eastAsia" w:eastAsia="宋体"/>
        </w:rPr>
        <w:t>）</w:t>
      </w:r>
      <w:r>
        <w:rPr>
          <w:rFonts w:eastAsia="宋体"/>
        </w:rPr>
        <w:t>采场采矿结束后</w:t>
      </w:r>
      <w:r>
        <w:rPr>
          <w:rFonts w:hint="eastAsia" w:eastAsia="宋体"/>
        </w:rPr>
        <w:t>，</w:t>
      </w:r>
      <w:r>
        <w:rPr>
          <w:rFonts w:eastAsia="宋体"/>
        </w:rPr>
        <w:t>应及时覆土</w:t>
      </w:r>
      <w:r>
        <w:rPr>
          <w:rFonts w:hint="eastAsia" w:eastAsia="宋体"/>
        </w:rPr>
        <w:t>，</w:t>
      </w:r>
      <w:r>
        <w:rPr>
          <w:rFonts w:eastAsia="宋体"/>
        </w:rPr>
        <w:t>恢复植被</w:t>
      </w:r>
      <w:r>
        <w:rPr>
          <w:rFonts w:hint="eastAsia" w:eastAsia="宋体"/>
        </w:rPr>
        <w:t>。</w:t>
      </w:r>
      <w:r>
        <w:rPr>
          <w:rFonts w:eastAsia="宋体"/>
        </w:rPr>
        <w:t>矿区服务期满后</w:t>
      </w:r>
      <w:r>
        <w:rPr>
          <w:rFonts w:hint="eastAsia" w:eastAsia="宋体"/>
        </w:rPr>
        <w:t>，</w:t>
      </w:r>
      <w:r>
        <w:rPr>
          <w:rFonts w:eastAsia="宋体"/>
        </w:rPr>
        <w:t>对整个矿山进行生态建设</w:t>
      </w:r>
      <w:r>
        <w:rPr>
          <w:rFonts w:hint="eastAsia" w:eastAsia="宋体"/>
        </w:rPr>
        <w:t>。</w:t>
      </w:r>
    </w:p>
    <w:p>
      <w:pPr>
        <w:pStyle w:val="361"/>
        <w:spacing w:line="440" w:lineRule="exact"/>
        <w:ind w:firstLineChars="200"/>
        <w:jc w:val="both"/>
        <w:rPr>
          <w:rFonts w:eastAsia="宋体"/>
        </w:rPr>
      </w:pPr>
      <w:r>
        <w:rPr>
          <w:rFonts w:eastAsia="宋体"/>
        </w:rPr>
        <w:t>6</w:t>
      </w:r>
      <w:r>
        <w:rPr>
          <w:rFonts w:hint="eastAsia" w:eastAsia="宋体"/>
        </w:rPr>
        <w:t>）</w:t>
      </w:r>
      <w:r>
        <w:rPr>
          <w:rFonts w:eastAsia="宋体"/>
        </w:rPr>
        <w:t>建全管理体制</w:t>
      </w:r>
      <w:r>
        <w:rPr>
          <w:rFonts w:hint="eastAsia" w:eastAsia="宋体"/>
        </w:rPr>
        <w:t>，</w:t>
      </w:r>
      <w:r>
        <w:rPr>
          <w:rFonts w:eastAsia="宋体"/>
        </w:rPr>
        <w:t>应当建立职责明确、便于协调的管理体制</w:t>
      </w:r>
      <w:r>
        <w:rPr>
          <w:rFonts w:hint="eastAsia" w:eastAsia="宋体"/>
        </w:rPr>
        <w:t>，</w:t>
      </w:r>
      <w:r>
        <w:rPr>
          <w:rFonts w:eastAsia="宋体"/>
        </w:rPr>
        <w:t>以</w:t>
      </w:r>
      <w:r>
        <w:rPr>
          <w:rFonts w:hint="eastAsia" w:eastAsia="宋体"/>
        </w:rPr>
        <w:t>便于</w:t>
      </w:r>
      <w:r>
        <w:rPr>
          <w:rFonts w:eastAsia="宋体"/>
        </w:rPr>
        <w:t>生态资源的保护</w:t>
      </w:r>
      <w:r>
        <w:rPr>
          <w:rFonts w:hint="eastAsia" w:eastAsia="宋体"/>
        </w:rPr>
        <w:t>和</w:t>
      </w:r>
      <w:r>
        <w:rPr>
          <w:rFonts w:eastAsia="宋体"/>
        </w:rPr>
        <w:t>管理</w:t>
      </w:r>
      <w:r>
        <w:rPr>
          <w:rFonts w:hint="eastAsia" w:eastAsia="宋体"/>
        </w:rPr>
        <w:t>。</w:t>
      </w:r>
    </w:p>
    <w:p>
      <w:pPr>
        <w:pStyle w:val="361"/>
        <w:spacing w:line="440" w:lineRule="exact"/>
        <w:ind w:firstLineChars="200"/>
        <w:jc w:val="both"/>
        <w:rPr>
          <w:rFonts w:eastAsia="宋体"/>
        </w:rPr>
      </w:pPr>
      <w:r>
        <w:rPr>
          <w:rFonts w:hint="eastAsia" w:eastAsia="宋体"/>
        </w:rPr>
        <w:t>7）</w:t>
      </w:r>
      <w:r>
        <w:rPr>
          <w:rFonts w:eastAsia="宋体"/>
        </w:rPr>
        <w:t>矿山开采中的水土保持是一个系统工程</w:t>
      </w:r>
      <w:r>
        <w:rPr>
          <w:rFonts w:hint="eastAsia" w:eastAsia="宋体"/>
        </w:rPr>
        <w:t>，</w:t>
      </w:r>
      <w:r>
        <w:rPr>
          <w:rFonts w:eastAsia="宋体"/>
        </w:rPr>
        <w:t>同时也是生态保护的主要内容</w:t>
      </w:r>
      <w:r>
        <w:rPr>
          <w:rFonts w:hint="eastAsia" w:eastAsia="宋体"/>
        </w:rPr>
        <w:t>。</w:t>
      </w:r>
      <w:r>
        <w:rPr>
          <w:rFonts w:eastAsia="宋体"/>
        </w:rPr>
        <w:t>对矿山开采、废弃土石堆放后所造成的生态影响应严格按照</w:t>
      </w:r>
      <w:r>
        <w:rPr>
          <w:rFonts w:hint="eastAsia" w:eastAsia="宋体"/>
        </w:rPr>
        <w:t>矿山生态恢复</w:t>
      </w:r>
      <w:r>
        <w:rPr>
          <w:rFonts w:eastAsia="宋体"/>
        </w:rPr>
        <w:t>要求进行抛洒草籽等适当绿化的生态恢复治理</w:t>
      </w:r>
      <w:r>
        <w:rPr>
          <w:rFonts w:hint="eastAsia" w:eastAsia="宋体"/>
        </w:rPr>
        <w:t>。</w:t>
      </w:r>
    </w:p>
    <w:p>
      <w:pPr>
        <w:adjustRightInd w:val="0"/>
        <w:snapToGrid w:val="0"/>
        <w:spacing w:before="120" w:beforeLines="50" w:line="360" w:lineRule="auto"/>
        <w:jc w:val="both"/>
        <w:sectPr>
          <w:pgSz w:w="11907" w:h="16840"/>
          <w:pgMar w:top="1247" w:right="1418" w:bottom="1247" w:left="1418" w:header="992" w:footer="992" w:gutter="0"/>
          <w:cols w:space="425" w:num="1"/>
          <w:docGrid w:linePitch="312" w:charSpace="0"/>
        </w:sectPr>
      </w:pPr>
    </w:p>
    <w:bookmarkEnd w:id="306"/>
    <w:p>
      <w:pPr>
        <w:widowControl w:val="0"/>
        <w:adjustRightInd w:val="0"/>
        <w:snapToGrid w:val="0"/>
        <w:spacing w:before="240" w:beforeLines="100" w:after="240" w:afterLines="100"/>
        <w:jc w:val="center"/>
        <w:outlineLvl w:val="0"/>
        <w:rPr>
          <w:rFonts w:eastAsia="黑体"/>
          <w:b/>
          <w:kern w:val="2"/>
          <w:sz w:val="44"/>
          <w:szCs w:val="44"/>
        </w:rPr>
      </w:pPr>
      <w:bookmarkStart w:id="314" w:name="_Toc395801324"/>
      <w:bookmarkStart w:id="315" w:name="_Toc27821"/>
      <w:bookmarkStart w:id="316" w:name="_Toc399150473"/>
      <w:bookmarkStart w:id="317" w:name="_Toc396395451"/>
      <w:r>
        <w:rPr>
          <w:rFonts w:eastAsia="黑体"/>
          <w:b/>
          <w:kern w:val="2"/>
          <w:sz w:val="44"/>
          <w:szCs w:val="44"/>
        </w:rPr>
        <w:t>第七章  环境</w:t>
      </w:r>
      <w:r>
        <w:rPr>
          <w:rFonts w:hint="eastAsia" w:eastAsia="黑体"/>
          <w:b/>
          <w:kern w:val="2"/>
          <w:sz w:val="44"/>
          <w:szCs w:val="44"/>
        </w:rPr>
        <w:t>影响</w:t>
      </w:r>
      <w:r>
        <w:rPr>
          <w:rFonts w:eastAsia="黑体"/>
          <w:b/>
          <w:kern w:val="2"/>
          <w:sz w:val="44"/>
          <w:szCs w:val="44"/>
        </w:rPr>
        <w:t>经济损益分析</w:t>
      </w:r>
      <w:bookmarkEnd w:id="314"/>
      <w:bookmarkEnd w:id="315"/>
      <w:bookmarkEnd w:id="316"/>
      <w:bookmarkEnd w:id="317"/>
    </w:p>
    <w:p>
      <w:pPr>
        <w:pStyle w:val="178"/>
        <w:spacing w:line="440" w:lineRule="exact"/>
        <w:ind w:left="-5" w:firstLine="480"/>
      </w:pPr>
      <w:r>
        <w:rPr>
          <w:rFonts w:hint="eastAsia"/>
        </w:rPr>
        <w:t>环境影响经济损益分析主要是评价建设项目实施后，对环境造成的损失和采取各种环保治理措施所能收到的环保效果及其带来的经济和社会效益，衡量建设项目的环保投资在经济上的合理水平。</w:t>
      </w:r>
    </w:p>
    <w:p>
      <w:pPr>
        <w:pStyle w:val="5"/>
        <w:adjustRightInd w:val="0"/>
        <w:snapToGrid w:val="0"/>
        <w:spacing w:before="120" w:beforeLines="50" w:line="360" w:lineRule="auto"/>
        <w:rPr>
          <w:rFonts w:eastAsia="宋体"/>
          <w:sz w:val="28"/>
          <w:szCs w:val="28"/>
        </w:rPr>
      </w:pPr>
      <w:bookmarkStart w:id="318" w:name="_Toc255481286"/>
      <w:bookmarkStart w:id="319" w:name="_Toc291501882"/>
      <w:bookmarkStart w:id="320" w:name="_Toc300843373"/>
      <w:bookmarkStart w:id="321" w:name="_Toc278389467"/>
      <w:bookmarkStart w:id="322" w:name="_Toc118694829"/>
      <w:bookmarkStart w:id="323" w:name="_Toc230667081"/>
      <w:bookmarkStart w:id="324" w:name="_Toc230666393"/>
      <w:bookmarkStart w:id="325" w:name="_Toc291502104"/>
      <w:bookmarkStart w:id="326" w:name="_Toc291493647"/>
      <w:bookmarkStart w:id="327" w:name="_Toc228635253"/>
      <w:bookmarkStart w:id="328" w:name="_Toc399150475"/>
      <w:bookmarkStart w:id="329" w:name="_Toc121711661"/>
      <w:bookmarkStart w:id="330" w:name="_Toc227331356"/>
      <w:bookmarkStart w:id="331" w:name="_Toc124238134"/>
      <w:bookmarkStart w:id="332" w:name="_Toc228632472"/>
      <w:bookmarkStart w:id="333" w:name="_Toc395801326"/>
      <w:bookmarkStart w:id="334" w:name="_Toc396395453"/>
      <w:bookmarkStart w:id="335" w:name="_Toc31029"/>
      <w:r>
        <w:rPr>
          <w:rFonts w:eastAsia="宋体"/>
          <w:sz w:val="28"/>
          <w:szCs w:val="28"/>
        </w:rPr>
        <w:t>7.1</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rFonts w:hint="eastAsia" w:eastAsia="宋体"/>
          <w:sz w:val="28"/>
          <w:szCs w:val="28"/>
        </w:rPr>
        <w:t>环境效益分析</w:t>
      </w:r>
      <w:bookmarkEnd w:id="335"/>
    </w:p>
    <w:p>
      <w:pPr>
        <w:adjustRightInd w:val="0"/>
        <w:snapToGrid w:val="0"/>
        <w:spacing w:line="440" w:lineRule="exact"/>
        <w:ind w:firstLine="480" w:firstLineChars="200"/>
        <w:jc w:val="both"/>
      </w:pPr>
      <w:r>
        <w:rPr>
          <w:rFonts w:hint="eastAsia"/>
        </w:rPr>
        <w:t>环境损失和效益，主要包括能源效益和损失，环境治理代价和效益等方面。本项目在实施建设中采取了一系列防治污染的环保措施，使生产中的各种污染物排放均做到达标排放。本项目充分体现了“预防为主，综合治理”的原则。</w:t>
      </w:r>
    </w:p>
    <w:p>
      <w:pPr>
        <w:widowControl w:val="0"/>
        <w:adjustRightInd w:val="0"/>
        <w:snapToGrid w:val="0"/>
        <w:spacing w:before="120" w:beforeLines="50" w:after="120" w:afterLines="50"/>
        <w:jc w:val="both"/>
        <w:outlineLvl w:val="2"/>
        <w:rPr>
          <w:b/>
          <w:kern w:val="2"/>
        </w:rPr>
      </w:pPr>
      <w:r>
        <w:rPr>
          <w:rFonts w:hint="eastAsia"/>
          <w:b/>
          <w:kern w:val="2"/>
        </w:rPr>
        <w:t>7</w:t>
      </w:r>
      <w:r>
        <w:rPr>
          <w:b/>
          <w:kern w:val="2"/>
        </w:rPr>
        <w:t xml:space="preserve">.1.1 </w:t>
      </w:r>
      <w:r>
        <w:rPr>
          <w:rFonts w:hint="eastAsia"/>
          <w:b/>
          <w:kern w:val="2"/>
        </w:rPr>
        <w:t>环保投资</w:t>
      </w:r>
    </w:p>
    <w:p>
      <w:pPr>
        <w:pStyle w:val="361"/>
        <w:spacing w:line="440" w:lineRule="exact"/>
        <w:ind w:firstLineChars="200"/>
        <w:jc w:val="both"/>
        <w:rPr>
          <w:rFonts w:eastAsia="宋体"/>
        </w:rPr>
      </w:pPr>
      <w:r>
        <w:rPr>
          <w:rFonts w:eastAsia="宋体"/>
          <w:kern w:val="2"/>
          <w:szCs w:val="22"/>
        </w:rPr>
        <w:t>环保投资主要包括治理污染、保护环境所需的设备、装置等工程设施费用及常规检测仪器设备的配置费用等。</w:t>
      </w:r>
      <w:r>
        <w:rPr>
          <w:rFonts w:eastAsia="宋体"/>
        </w:rPr>
        <w:t>本项目总投资为</w:t>
      </w:r>
      <w:r>
        <w:rPr>
          <w:rFonts w:hint="eastAsia" w:eastAsia="宋体"/>
          <w:lang w:val="en-US" w:eastAsia="zh-CN"/>
        </w:rPr>
        <w:t>1</w:t>
      </w:r>
      <w:r>
        <w:rPr>
          <w:rFonts w:eastAsia="宋体"/>
        </w:rPr>
        <w:t>00万元，本次评价确定的环保投资约</w:t>
      </w:r>
      <w:r>
        <w:rPr>
          <w:rFonts w:hint="eastAsia" w:eastAsia="宋体"/>
          <w:lang w:val="en-US" w:eastAsia="zh-CN"/>
        </w:rPr>
        <w:t>2</w:t>
      </w:r>
      <w:r>
        <w:rPr>
          <w:rFonts w:eastAsia="宋体"/>
        </w:rPr>
        <w:t>0万元，占总投资的10%。</w:t>
      </w: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p>
    <w:p>
      <w:pPr>
        <w:pStyle w:val="362"/>
        <w:spacing w:before="120"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7.1-1</w:t>
      </w:r>
      <w:r>
        <w:rPr>
          <w:rFonts w:hint="eastAsia" w:ascii="黑体" w:hAnsi="黑体" w:eastAsia="黑体" w:cs="黑体"/>
          <w:sz w:val="21"/>
          <w:szCs w:val="21"/>
        </w:rPr>
        <w:t xml:space="preserve">  污染防治措施及其环保投资估算一览表</w:t>
      </w:r>
    </w:p>
    <w:tbl>
      <w:tblPr>
        <w:tblStyle w:val="88"/>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75"/>
        <w:gridCol w:w="696"/>
        <w:gridCol w:w="1595"/>
        <w:gridCol w:w="5582"/>
        <w:gridCol w:w="8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310" w:type="pct"/>
            <w:vAlign w:val="center"/>
          </w:tcPr>
          <w:p>
            <w:pPr>
              <w:spacing w:line="340" w:lineRule="exact"/>
              <w:jc w:val="center"/>
              <w:rPr>
                <w:sz w:val="21"/>
                <w:szCs w:val="20"/>
              </w:rPr>
            </w:pPr>
            <w:r>
              <w:rPr>
                <w:rFonts w:hAnsi="宋体"/>
                <w:sz w:val="21"/>
                <w:szCs w:val="20"/>
              </w:rPr>
              <w:t>序号</w:t>
            </w:r>
          </w:p>
        </w:tc>
        <w:tc>
          <w:tcPr>
            <w:tcW w:w="1234" w:type="pct"/>
            <w:gridSpan w:val="2"/>
            <w:vAlign w:val="center"/>
          </w:tcPr>
          <w:p>
            <w:pPr>
              <w:spacing w:line="340" w:lineRule="exact"/>
              <w:jc w:val="center"/>
              <w:rPr>
                <w:sz w:val="21"/>
                <w:szCs w:val="20"/>
              </w:rPr>
            </w:pPr>
            <w:r>
              <w:rPr>
                <w:rFonts w:hint="eastAsia"/>
                <w:sz w:val="21"/>
                <w:szCs w:val="20"/>
              </w:rPr>
              <w:t>类别</w:t>
            </w:r>
          </w:p>
        </w:tc>
        <w:tc>
          <w:tcPr>
            <w:tcW w:w="3006" w:type="pct"/>
            <w:vAlign w:val="center"/>
          </w:tcPr>
          <w:p>
            <w:pPr>
              <w:spacing w:line="340" w:lineRule="exact"/>
              <w:jc w:val="center"/>
              <w:rPr>
                <w:sz w:val="21"/>
                <w:szCs w:val="20"/>
              </w:rPr>
            </w:pPr>
            <w:r>
              <w:rPr>
                <w:rFonts w:hint="eastAsia"/>
                <w:sz w:val="21"/>
                <w:szCs w:val="20"/>
              </w:rPr>
              <w:t>环保措施</w:t>
            </w:r>
          </w:p>
        </w:tc>
        <w:tc>
          <w:tcPr>
            <w:tcW w:w="448" w:type="pct"/>
            <w:vAlign w:val="center"/>
          </w:tcPr>
          <w:p>
            <w:pPr>
              <w:spacing w:line="340" w:lineRule="exact"/>
              <w:jc w:val="center"/>
              <w:rPr>
                <w:sz w:val="21"/>
                <w:szCs w:val="20"/>
              </w:rPr>
            </w:pPr>
            <w:r>
              <w:rPr>
                <w:rFonts w:hint="eastAsia"/>
                <w:sz w:val="21"/>
                <w:szCs w:val="20"/>
              </w:rPr>
              <w:t>投资</w:t>
            </w:r>
          </w:p>
          <w:p>
            <w:pPr>
              <w:spacing w:line="340" w:lineRule="exact"/>
              <w:jc w:val="center"/>
              <w:rPr>
                <w:sz w:val="21"/>
                <w:szCs w:val="20"/>
              </w:rPr>
            </w:pPr>
            <w:r>
              <w:rPr>
                <w:rFonts w:hint="eastAsia"/>
                <w:sz w:val="21"/>
                <w:szCs w:val="20"/>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7" w:hRule="atLeast"/>
          <w:jc w:val="center"/>
        </w:trPr>
        <w:tc>
          <w:tcPr>
            <w:tcW w:w="310" w:type="pct"/>
            <w:vAlign w:val="center"/>
          </w:tcPr>
          <w:p>
            <w:pPr>
              <w:spacing w:line="340" w:lineRule="exact"/>
              <w:jc w:val="center"/>
              <w:rPr>
                <w:sz w:val="21"/>
                <w:szCs w:val="20"/>
              </w:rPr>
            </w:pPr>
            <w:r>
              <w:rPr>
                <w:rFonts w:hint="eastAsia"/>
                <w:sz w:val="21"/>
                <w:szCs w:val="20"/>
              </w:rPr>
              <w:t>1</w:t>
            </w:r>
          </w:p>
        </w:tc>
        <w:tc>
          <w:tcPr>
            <w:tcW w:w="375" w:type="pct"/>
            <w:vMerge w:val="restart"/>
            <w:vAlign w:val="center"/>
          </w:tcPr>
          <w:p>
            <w:pPr>
              <w:spacing w:line="340" w:lineRule="exact"/>
              <w:jc w:val="center"/>
              <w:rPr>
                <w:sz w:val="21"/>
                <w:szCs w:val="20"/>
              </w:rPr>
            </w:pPr>
            <w:r>
              <w:rPr>
                <w:rFonts w:hint="eastAsia"/>
                <w:sz w:val="21"/>
                <w:szCs w:val="20"/>
              </w:rPr>
              <w:t>废气</w:t>
            </w:r>
          </w:p>
        </w:tc>
        <w:tc>
          <w:tcPr>
            <w:tcW w:w="859" w:type="pct"/>
            <w:vAlign w:val="center"/>
          </w:tcPr>
          <w:p>
            <w:pPr>
              <w:spacing w:line="340" w:lineRule="exact"/>
              <w:jc w:val="center"/>
              <w:rPr>
                <w:sz w:val="21"/>
                <w:szCs w:val="21"/>
              </w:rPr>
            </w:pPr>
            <w:r>
              <w:rPr>
                <w:rFonts w:hint="eastAsia"/>
                <w:sz w:val="21"/>
                <w:szCs w:val="21"/>
              </w:rPr>
              <w:t>粘土采装作业粉尘</w:t>
            </w:r>
          </w:p>
        </w:tc>
        <w:tc>
          <w:tcPr>
            <w:tcW w:w="3006" w:type="pct"/>
            <w:vAlign w:val="center"/>
          </w:tcPr>
          <w:p>
            <w:pPr>
              <w:tabs>
                <w:tab w:val="center" w:pos="4153"/>
                <w:tab w:val="right" w:pos="8306"/>
              </w:tabs>
              <w:kinsoku w:val="0"/>
              <w:snapToGrid w:val="0"/>
              <w:spacing w:line="240" w:lineRule="atLeast"/>
              <w:jc w:val="center"/>
              <w:rPr>
                <w:rFonts w:hAnsi="宋体"/>
                <w:bCs/>
                <w:snapToGrid w:val="0"/>
                <w:sz w:val="21"/>
                <w:szCs w:val="20"/>
              </w:rPr>
            </w:pPr>
            <w:r>
              <w:rPr>
                <w:rFonts w:hint="eastAsia" w:hAnsi="宋体"/>
                <w:bCs/>
                <w:snapToGrid w:val="0"/>
                <w:sz w:val="21"/>
                <w:szCs w:val="20"/>
              </w:rPr>
              <w:t>采装作业区设置移动除尘雾炮机喷雾洒水抑尘</w:t>
            </w:r>
          </w:p>
        </w:tc>
        <w:tc>
          <w:tcPr>
            <w:tcW w:w="448" w:type="pct"/>
            <w:vAlign w:val="center"/>
          </w:tcPr>
          <w:p>
            <w:pPr>
              <w:spacing w:line="340" w:lineRule="exact"/>
              <w:jc w:val="center"/>
              <w:rPr>
                <w:rFonts w:hint="eastAsia" w:eastAsia="宋体"/>
                <w:sz w:val="21"/>
                <w:szCs w:val="20"/>
                <w:lang w:eastAsia="zh-CN"/>
              </w:rPr>
            </w:pPr>
            <w:r>
              <w:rPr>
                <w:rFonts w:hint="eastAsia"/>
                <w:sz w:val="21"/>
                <w:szCs w:val="20"/>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7" w:hRule="atLeast"/>
          <w:jc w:val="center"/>
        </w:trPr>
        <w:tc>
          <w:tcPr>
            <w:tcW w:w="310" w:type="pct"/>
            <w:vAlign w:val="center"/>
          </w:tcPr>
          <w:p>
            <w:pPr>
              <w:spacing w:line="340" w:lineRule="exact"/>
              <w:jc w:val="center"/>
              <w:rPr>
                <w:sz w:val="21"/>
                <w:szCs w:val="20"/>
              </w:rPr>
            </w:pPr>
            <w:r>
              <w:rPr>
                <w:rFonts w:hint="eastAsia"/>
                <w:sz w:val="21"/>
                <w:szCs w:val="20"/>
              </w:rPr>
              <w:t>2</w:t>
            </w:r>
          </w:p>
        </w:tc>
        <w:tc>
          <w:tcPr>
            <w:tcW w:w="375" w:type="pct"/>
            <w:vMerge w:val="continue"/>
            <w:vAlign w:val="center"/>
          </w:tcPr>
          <w:p>
            <w:pPr>
              <w:spacing w:line="340" w:lineRule="exact"/>
              <w:jc w:val="center"/>
              <w:rPr>
                <w:sz w:val="21"/>
                <w:szCs w:val="20"/>
              </w:rPr>
            </w:pPr>
          </w:p>
        </w:tc>
        <w:tc>
          <w:tcPr>
            <w:tcW w:w="859" w:type="pct"/>
            <w:vAlign w:val="center"/>
          </w:tcPr>
          <w:p>
            <w:pPr>
              <w:spacing w:line="340" w:lineRule="exact"/>
              <w:jc w:val="center"/>
              <w:rPr>
                <w:sz w:val="21"/>
                <w:szCs w:val="21"/>
              </w:rPr>
            </w:pPr>
            <w:r>
              <w:rPr>
                <w:rFonts w:hint="eastAsia"/>
                <w:sz w:val="21"/>
                <w:szCs w:val="21"/>
              </w:rPr>
              <w:t>排土场粉尘</w:t>
            </w:r>
          </w:p>
        </w:tc>
        <w:tc>
          <w:tcPr>
            <w:tcW w:w="3006" w:type="pct"/>
            <w:vAlign w:val="center"/>
          </w:tcPr>
          <w:p>
            <w:pPr>
              <w:tabs>
                <w:tab w:val="center" w:pos="4153"/>
                <w:tab w:val="right" w:pos="8306"/>
              </w:tabs>
              <w:kinsoku w:val="0"/>
              <w:snapToGrid w:val="0"/>
              <w:spacing w:line="240" w:lineRule="atLeast"/>
              <w:jc w:val="center"/>
              <w:rPr>
                <w:rFonts w:hAnsi="宋体"/>
                <w:bCs/>
                <w:snapToGrid w:val="0"/>
                <w:sz w:val="21"/>
                <w:szCs w:val="20"/>
              </w:rPr>
            </w:pPr>
            <w:r>
              <w:rPr>
                <w:rFonts w:hint="eastAsia" w:hAnsi="宋体"/>
                <w:bCs/>
                <w:snapToGrid w:val="0"/>
                <w:sz w:val="21"/>
                <w:szCs w:val="20"/>
              </w:rPr>
              <w:t>排土场内堆土全部使用防尘网进行遮挡覆盖，作业区设雾炮机喷雾洒水抑尘，</w:t>
            </w:r>
          </w:p>
        </w:tc>
        <w:tc>
          <w:tcPr>
            <w:tcW w:w="448" w:type="pct"/>
            <w:vAlign w:val="center"/>
          </w:tcPr>
          <w:p>
            <w:pPr>
              <w:spacing w:line="340" w:lineRule="exact"/>
              <w:jc w:val="center"/>
              <w:rPr>
                <w:rFonts w:hint="eastAsia" w:eastAsia="宋体"/>
                <w:sz w:val="21"/>
                <w:szCs w:val="20"/>
                <w:lang w:eastAsia="zh-CN"/>
              </w:rPr>
            </w:pPr>
            <w:r>
              <w:rPr>
                <w:rFonts w:hint="eastAsia"/>
                <w:sz w:val="21"/>
                <w:szCs w:val="20"/>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0" w:type="pct"/>
            <w:vAlign w:val="center"/>
          </w:tcPr>
          <w:p>
            <w:pPr>
              <w:spacing w:line="340" w:lineRule="exact"/>
              <w:jc w:val="center"/>
              <w:rPr>
                <w:sz w:val="21"/>
                <w:szCs w:val="20"/>
              </w:rPr>
            </w:pPr>
            <w:r>
              <w:rPr>
                <w:rFonts w:hint="eastAsia"/>
                <w:sz w:val="21"/>
                <w:szCs w:val="20"/>
              </w:rPr>
              <w:t>3</w:t>
            </w:r>
          </w:p>
        </w:tc>
        <w:tc>
          <w:tcPr>
            <w:tcW w:w="375" w:type="pct"/>
            <w:vMerge w:val="continue"/>
            <w:vAlign w:val="center"/>
          </w:tcPr>
          <w:p>
            <w:pPr>
              <w:spacing w:line="340" w:lineRule="exact"/>
              <w:jc w:val="center"/>
              <w:rPr>
                <w:sz w:val="21"/>
                <w:szCs w:val="20"/>
              </w:rPr>
            </w:pPr>
          </w:p>
        </w:tc>
        <w:tc>
          <w:tcPr>
            <w:tcW w:w="859" w:type="pct"/>
            <w:vAlign w:val="center"/>
          </w:tcPr>
          <w:p>
            <w:pPr>
              <w:spacing w:line="340" w:lineRule="exact"/>
              <w:jc w:val="center"/>
              <w:rPr>
                <w:sz w:val="21"/>
                <w:szCs w:val="20"/>
              </w:rPr>
            </w:pPr>
            <w:r>
              <w:rPr>
                <w:rFonts w:hint="eastAsia"/>
                <w:sz w:val="21"/>
                <w:szCs w:val="20"/>
              </w:rPr>
              <w:t>原料库粉尘</w:t>
            </w:r>
          </w:p>
        </w:tc>
        <w:tc>
          <w:tcPr>
            <w:tcW w:w="3006" w:type="pct"/>
            <w:vAlign w:val="center"/>
          </w:tcPr>
          <w:p>
            <w:pPr>
              <w:spacing w:line="340" w:lineRule="exact"/>
              <w:jc w:val="center"/>
              <w:rPr>
                <w:sz w:val="21"/>
                <w:szCs w:val="20"/>
              </w:rPr>
            </w:pPr>
            <w:r>
              <w:rPr>
                <w:rFonts w:hint="eastAsia"/>
                <w:sz w:val="21"/>
                <w:szCs w:val="20"/>
              </w:rPr>
              <w:t>原料库进行全封闭，并设雾炮机喷雾洒水抑尘</w:t>
            </w:r>
          </w:p>
        </w:tc>
        <w:tc>
          <w:tcPr>
            <w:tcW w:w="448" w:type="pct"/>
            <w:vAlign w:val="center"/>
          </w:tcPr>
          <w:p>
            <w:pPr>
              <w:spacing w:line="340" w:lineRule="exact"/>
              <w:jc w:val="center"/>
              <w:rPr>
                <w:rFonts w:hint="eastAsia" w:eastAsia="宋体"/>
                <w:sz w:val="21"/>
                <w:szCs w:val="20"/>
                <w:lang w:eastAsia="zh-CN"/>
              </w:rPr>
            </w:pPr>
            <w:r>
              <w:rPr>
                <w:rFonts w:hint="eastAsia"/>
                <w:sz w:val="21"/>
                <w:szCs w:val="20"/>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0" w:type="pct"/>
            <w:vAlign w:val="center"/>
          </w:tcPr>
          <w:p>
            <w:pPr>
              <w:spacing w:line="340" w:lineRule="exact"/>
              <w:jc w:val="center"/>
              <w:rPr>
                <w:sz w:val="21"/>
                <w:szCs w:val="20"/>
              </w:rPr>
            </w:pPr>
            <w:r>
              <w:rPr>
                <w:rFonts w:hint="eastAsia"/>
                <w:sz w:val="21"/>
                <w:szCs w:val="20"/>
              </w:rPr>
              <w:t>4</w:t>
            </w:r>
          </w:p>
        </w:tc>
        <w:tc>
          <w:tcPr>
            <w:tcW w:w="375" w:type="pct"/>
            <w:vMerge w:val="continue"/>
            <w:vAlign w:val="center"/>
          </w:tcPr>
          <w:p>
            <w:pPr>
              <w:spacing w:line="340" w:lineRule="exact"/>
              <w:jc w:val="center"/>
              <w:rPr>
                <w:sz w:val="21"/>
                <w:szCs w:val="20"/>
              </w:rPr>
            </w:pPr>
          </w:p>
        </w:tc>
        <w:tc>
          <w:tcPr>
            <w:tcW w:w="859" w:type="pct"/>
            <w:vAlign w:val="center"/>
          </w:tcPr>
          <w:p>
            <w:pPr>
              <w:spacing w:line="340" w:lineRule="exact"/>
              <w:jc w:val="center"/>
              <w:rPr>
                <w:sz w:val="21"/>
                <w:szCs w:val="21"/>
              </w:rPr>
            </w:pPr>
            <w:r>
              <w:rPr>
                <w:rFonts w:hint="eastAsia"/>
                <w:sz w:val="21"/>
                <w:szCs w:val="21"/>
              </w:rPr>
              <w:t>运输扬尘</w:t>
            </w:r>
          </w:p>
        </w:tc>
        <w:tc>
          <w:tcPr>
            <w:tcW w:w="3006" w:type="pct"/>
            <w:vAlign w:val="center"/>
          </w:tcPr>
          <w:p>
            <w:pPr>
              <w:spacing w:line="340" w:lineRule="exact"/>
              <w:jc w:val="center"/>
              <w:rPr>
                <w:rFonts w:hAnsi="宋体"/>
                <w:bCs/>
                <w:snapToGrid w:val="0"/>
                <w:sz w:val="21"/>
                <w:szCs w:val="20"/>
              </w:rPr>
            </w:pPr>
            <w:r>
              <w:rPr>
                <w:rFonts w:hint="eastAsia" w:hAnsi="宋体"/>
                <w:bCs/>
                <w:snapToGrid w:val="0"/>
                <w:sz w:val="21"/>
                <w:szCs w:val="20"/>
              </w:rPr>
              <w:t>建设全自动洗车平台，运输车辆进出厂时，对车身和轮胎进行冲洗；厂区道路</w:t>
            </w:r>
            <w:r>
              <w:rPr>
                <w:rFonts w:hAnsi="宋体"/>
                <w:bCs/>
                <w:snapToGrid w:val="0"/>
                <w:sz w:val="21"/>
                <w:szCs w:val="20"/>
              </w:rPr>
              <w:t>硬化，</w:t>
            </w:r>
            <w:r>
              <w:rPr>
                <w:rFonts w:hint="eastAsia" w:hAnsi="宋体"/>
                <w:bCs/>
                <w:snapToGrid w:val="0"/>
                <w:sz w:val="21"/>
                <w:szCs w:val="20"/>
              </w:rPr>
              <w:t>定期洒水，及时清扫；运</w:t>
            </w:r>
            <w:r>
              <w:rPr>
                <w:rFonts w:hAnsi="宋体"/>
                <w:bCs/>
                <w:snapToGrid w:val="0"/>
                <w:sz w:val="21"/>
                <w:szCs w:val="20"/>
              </w:rPr>
              <w:t>输车辆</w:t>
            </w:r>
            <w:r>
              <w:rPr>
                <w:rFonts w:hint="eastAsia" w:hAnsi="宋体"/>
                <w:bCs/>
                <w:snapToGrid w:val="0"/>
                <w:sz w:val="21"/>
                <w:szCs w:val="20"/>
              </w:rPr>
              <w:t>进行苫盖</w:t>
            </w:r>
          </w:p>
        </w:tc>
        <w:tc>
          <w:tcPr>
            <w:tcW w:w="448" w:type="pct"/>
            <w:vAlign w:val="center"/>
          </w:tcPr>
          <w:p>
            <w:pPr>
              <w:spacing w:line="340" w:lineRule="exact"/>
              <w:jc w:val="center"/>
              <w:rPr>
                <w:rFonts w:hint="eastAsia" w:eastAsia="宋体"/>
                <w:sz w:val="21"/>
                <w:szCs w:val="20"/>
                <w:lang w:eastAsia="zh-CN"/>
              </w:rPr>
            </w:pPr>
            <w:r>
              <w:rPr>
                <w:rFonts w:hint="eastAsia"/>
                <w:sz w:val="21"/>
                <w:szCs w:val="20"/>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0" w:type="pct"/>
            <w:vAlign w:val="center"/>
          </w:tcPr>
          <w:p>
            <w:pPr>
              <w:spacing w:line="340" w:lineRule="exact"/>
              <w:jc w:val="center"/>
              <w:rPr>
                <w:sz w:val="21"/>
                <w:szCs w:val="20"/>
              </w:rPr>
            </w:pPr>
            <w:r>
              <w:rPr>
                <w:rFonts w:hint="eastAsia"/>
                <w:sz w:val="21"/>
                <w:szCs w:val="20"/>
              </w:rPr>
              <w:t>5</w:t>
            </w:r>
          </w:p>
        </w:tc>
        <w:tc>
          <w:tcPr>
            <w:tcW w:w="375" w:type="pct"/>
            <w:vMerge w:val="restart"/>
            <w:vAlign w:val="center"/>
          </w:tcPr>
          <w:p>
            <w:pPr>
              <w:spacing w:line="340" w:lineRule="exact"/>
              <w:jc w:val="center"/>
              <w:rPr>
                <w:sz w:val="21"/>
                <w:szCs w:val="20"/>
              </w:rPr>
            </w:pPr>
            <w:r>
              <w:rPr>
                <w:rFonts w:hint="eastAsia"/>
                <w:sz w:val="21"/>
                <w:szCs w:val="20"/>
              </w:rPr>
              <w:t>废水</w:t>
            </w:r>
          </w:p>
        </w:tc>
        <w:tc>
          <w:tcPr>
            <w:tcW w:w="859" w:type="pct"/>
            <w:vAlign w:val="center"/>
          </w:tcPr>
          <w:p>
            <w:pPr>
              <w:spacing w:line="340" w:lineRule="exact"/>
              <w:jc w:val="center"/>
              <w:rPr>
                <w:sz w:val="21"/>
                <w:szCs w:val="21"/>
              </w:rPr>
            </w:pPr>
            <w:r>
              <w:rPr>
                <w:rFonts w:hAnsi="宋体"/>
                <w:bCs/>
                <w:snapToGrid w:val="0"/>
                <w:sz w:val="21"/>
                <w:szCs w:val="20"/>
              </w:rPr>
              <w:t>生活污水</w:t>
            </w:r>
          </w:p>
        </w:tc>
        <w:tc>
          <w:tcPr>
            <w:tcW w:w="3006" w:type="pct"/>
            <w:vAlign w:val="center"/>
          </w:tcPr>
          <w:p>
            <w:pPr>
              <w:spacing w:line="340" w:lineRule="exact"/>
              <w:jc w:val="center"/>
              <w:rPr>
                <w:rFonts w:hAnsi="宋体"/>
                <w:bCs/>
                <w:snapToGrid w:val="0"/>
                <w:sz w:val="21"/>
                <w:szCs w:val="20"/>
              </w:rPr>
            </w:pPr>
            <w:r>
              <w:rPr>
                <w:rFonts w:hint="eastAsia" w:hAnsi="宋体"/>
                <w:bCs/>
                <w:snapToGrid w:val="0"/>
                <w:sz w:val="21"/>
                <w:szCs w:val="20"/>
              </w:rPr>
              <w:t>设废水收集池，废水沉淀后用于</w:t>
            </w:r>
            <w:r>
              <w:rPr>
                <w:rFonts w:hAnsi="宋体"/>
                <w:bCs/>
                <w:snapToGrid w:val="0"/>
                <w:sz w:val="21"/>
                <w:szCs w:val="20"/>
              </w:rPr>
              <w:t>道路洒水抑尘</w:t>
            </w:r>
          </w:p>
        </w:tc>
        <w:tc>
          <w:tcPr>
            <w:tcW w:w="448" w:type="pct"/>
            <w:vAlign w:val="center"/>
          </w:tcPr>
          <w:p>
            <w:pPr>
              <w:spacing w:line="340" w:lineRule="exact"/>
              <w:jc w:val="center"/>
              <w:rPr>
                <w:sz w:val="21"/>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0" w:type="pct"/>
            <w:vAlign w:val="center"/>
          </w:tcPr>
          <w:p>
            <w:pPr>
              <w:spacing w:line="340" w:lineRule="exact"/>
              <w:jc w:val="center"/>
              <w:rPr>
                <w:sz w:val="21"/>
                <w:szCs w:val="20"/>
              </w:rPr>
            </w:pPr>
            <w:r>
              <w:rPr>
                <w:rFonts w:hint="eastAsia"/>
                <w:sz w:val="21"/>
                <w:szCs w:val="20"/>
              </w:rPr>
              <w:t>6</w:t>
            </w:r>
          </w:p>
        </w:tc>
        <w:tc>
          <w:tcPr>
            <w:tcW w:w="375" w:type="pct"/>
            <w:vMerge w:val="continue"/>
            <w:vAlign w:val="center"/>
          </w:tcPr>
          <w:p>
            <w:pPr>
              <w:spacing w:line="340" w:lineRule="exact"/>
              <w:jc w:val="center"/>
              <w:rPr>
                <w:sz w:val="21"/>
                <w:szCs w:val="20"/>
              </w:rPr>
            </w:pPr>
          </w:p>
        </w:tc>
        <w:tc>
          <w:tcPr>
            <w:tcW w:w="859" w:type="pct"/>
            <w:vAlign w:val="center"/>
          </w:tcPr>
          <w:p>
            <w:pPr>
              <w:spacing w:line="340" w:lineRule="exact"/>
              <w:jc w:val="center"/>
              <w:rPr>
                <w:rFonts w:hAnsi="宋体"/>
                <w:bCs/>
                <w:snapToGrid w:val="0"/>
                <w:sz w:val="21"/>
                <w:szCs w:val="20"/>
              </w:rPr>
            </w:pPr>
            <w:r>
              <w:rPr>
                <w:rFonts w:hint="eastAsia" w:hAnsi="宋体"/>
                <w:bCs/>
                <w:snapToGrid w:val="0"/>
                <w:sz w:val="21"/>
                <w:szCs w:val="20"/>
              </w:rPr>
              <w:t>洗车废水</w:t>
            </w:r>
          </w:p>
        </w:tc>
        <w:tc>
          <w:tcPr>
            <w:tcW w:w="3006" w:type="pct"/>
            <w:vAlign w:val="center"/>
          </w:tcPr>
          <w:p>
            <w:pPr>
              <w:spacing w:line="340" w:lineRule="exact"/>
              <w:jc w:val="center"/>
              <w:rPr>
                <w:rFonts w:hAnsi="宋体"/>
                <w:bCs/>
                <w:snapToGrid w:val="0"/>
                <w:sz w:val="21"/>
                <w:szCs w:val="20"/>
              </w:rPr>
            </w:pPr>
            <w:r>
              <w:rPr>
                <w:rFonts w:hint="eastAsia" w:hAnsi="宋体"/>
                <w:bCs/>
                <w:snapToGrid w:val="0"/>
                <w:sz w:val="21"/>
                <w:szCs w:val="20"/>
              </w:rPr>
              <w:t>配套建设沉淀池，废水沉淀后回用于洗车</w:t>
            </w:r>
          </w:p>
        </w:tc>
        <w:tc>
          <w:tcPr>
            <w:tcW w:w="448" w:type="pct"/>
            <w:vAlign w:val="center"/>
          </w:tcPr>
          <w:p>
            <w:pPr>
              <w:spacing w:line="340" w:lineRule="exact"/>
              <w:jc w:val="center"/>
              <w:rPr>
                <w:sz w:val="21"/>
                <w:szCs w:val="20"/>
              </w:rPr>
            </w:pPr>
            <w:r>
              <w:rPr>
                <w:rFonts w:hint="eastAsia"/>
                <w:sz w:val="21"/>
                <w:szCs w:val="2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0" w:type="pct"/>
            <w:vAlign w:val="center"/>
          </w:tcPr>
          <w:p>
            <w:pPr>
              <w:spacing w:line="340" w:lineRule="exact"/>
              <w:jc w:val="center"/>
              <w:rPr>
                <w:sz w:val="21"/>
                <w:szCs w:val="20"/>
              </w:rPr>
            </w:pPr>
            <w:r>
              <w:rPr>
                <w:rFonts w:hint="eastAsia"/>
                <w:sz w:val="21"/>
                <w:szCs w:val="20"/>
              </w:rPr>
              <w:t>7</w:t>
            </w:r>
          </w:p>
        </w:tc>
        <w:tc>
          <w:tcPr>
            <w:tcW w:w="375" w:type="pct"/>
            <w:vAlign w:val="center"/>
          </w:tcPr>
          <w:p>
            <w:pPr>
              <w:spacing w:line="340" w:lineRule="exact"/>
              <w:jc w:val="center"/>
              <w:rPr>
                <w:sz w:val="21"/>
                <w:szCs w:val="20"/>
              </w:rPr>
            </w:pPr>
            <w:r>
              <w:rPr>
                <w:rFonts w:hint="eastAsia"/>
                <w:sz w:val="21"/>
                <w:szCs w:val="20"/>
              </w:rPr>
              <w:t>噪声</w:t>
            </w:r>
          </w:p>
        </w:tc>
        <w:tc>
          <w:tcPr>
            <w:tcW w:w="3865" w:type="pct"/>
            <w:gridSpan w:val="2"/>
            <w:vAlign w:val="center"/>
          </w:tcPr>
          <w:p>
            <w:pPr>
              <w:spacing w:line="340" w:lineRule="exact"/>
              <w:jc w:val="center"/>
              <w:rPr>
                <w:sz w:val="21"/>
                <w:szCs w:val="20"/>
              </w:rPr>
            </w:pPr>
            <w:r>
              <w:rPr>
                <w:rFonts w:hint="eastAsia"/>
                <w:sz w:val="21"/>
                <w:szCs w:val="20"/>
              </w:rPr>
              <w:t>选用低噪声设备，基础减振，封闭隔声，加强管理</w:t>
            </w:r>
          </w:p>
        </w:tc>
        <w:tc>
          <w:tcPr>
            <w:tcW w:w="448" w:type="pct"/>
            <w:vAlign w:val="center"/>
          </w:tcPr>
          <w:p>
            <w:pPr>
              <w:spacing w:line="340" w:lineRule="exact"/>
              <w:jc w:val="center"/>
              <w:rPr>
                <w:rFonts w:hint="eastAsia" w:eastAsia="宋体"/>
                <w:sz w:val="21"/>
                <w:szCs w:val="20"/>
                <w:lang w:eastAsia="zh-CN"/>
              </w:rPr>
            </w:pPr>
            <w:r>
              <w:rPr>
                <w:rFonts w:hint="eastAsia"/>
                <w:sz w:val="21"/>
                <w:szCs w:val="20"/>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0" w:type="pct"/>
            <w:vAlign w:val="center"/>
          </w:tcPr>
          <w:p>
            <w:pPr>
              <w:spacing w:line="340" w:lineRule="exact"/>
              <w:jc w:val="center"/>
              <w:rPr>
                <w:sz w:val="21"/>
                <w:szCs w:val="20"/>
              </w:rPr>
            </w:pPr>
            <w:r>
              <w:rPr>
                <w:rFonts w:hint="eastAsia"/>
                <w:sz w:val="21"/>
                <w:szCs w:val="20"/>
              </w:rPr>
              <w:t>8</w:t>
            </w:r>
          </w:p>
        </w:tc>
        <w:tc>
          <w:tcPr>
            <w:tcW w:w="375" w:type="pct"/>
            <w:vMerge w:val="restart"/>
            <w:vAlign w:val="center"/>
          </w:tcPr>
          <w:p>
            <w:pPr>
              <w:spacing w:line="340" w:lineRule="exact"/>
              <w:jc w:val="center"/>
              <w:rPr>
                <w:sz w:val="21"/>
                <w:szCs w:val="20"/>
              </w:rPr>
            </w:pPr>
            <w:r>
              <w:rPr>
                <w:rFonts w:hint="eastAsia"/>
                <w:sz w:val="21"/>
                <w:szCs w:val="20"/>
              </w:rPr>
              <w:t>固废</w:t>
            </w:r>
          </w:p>
        </w:tc>
        <w:tc>
          <w:tcPr>
            <w:tcW w:w="859" w:type="pct"/>
            <w:vAlign w:val="center"/>
          </w:tcPr>
          <w:p>
            <w:pPr>
              <w:spacing w:line="340" w:lineRule="exact"/>
              <w:jc w:val="center"/>
              <w:rPr>
                <w:sz w:val="21"/>
                <w:szCs w:val="20"/>
              </w:rPr>
            </w:pPr>
            <w:r>
              <w:rPr>
                <w:rFonts w:hint="eastAsia"/>
                <w:sz w:val="21"/>
                <w:szCs w:val="20"/>
              </w:rPr>
              <w:t>开采剥离土</w:t>
            </w:r>
          </w:p>
        </w:tc>
        <w:tc>
          <w:tcPr>
            <w:tcW w:w="3006" w:type="pct"/>
            <w:vAlign w:val="center"/>
          </w:tcPr>
          <w:p>
            <w:pPr>
              <w:spacing w:line="340" w:lineRule="exact"/>
              <w:jc w:val="center"/>
              <w:rPr>
                <w:sz w:val="21"/>
                <w:szCs w:val="20"/>
              </w:rPr>
            </w:pPr>
            <w:r>
              <w:rPr>
                <w:rFonts w:hint="eastAsia"/>
                <w:sz w:val="21"/>
                <w:szCs w:val="21"/>
              </w:rPr>
              <w:t>矿区内设排土场，剥离土后期用于土地复垦；排土场内单独设置表土临时堆场，排土场上游设截洪沟，下游设拦土墙</w:t>
            </w:r>
          </w:p>
        </w:tc>
        <w:tc>
          <w:tcPr>
            <w:tcW w:w="448" w:type="pct"/>
            <w:vAlign w:val="center"/>
          </w:tcPr>
          <w:p>
            <w:pPr>
              <w:spacing w:line="340" w:lineRule="exact"/>
              <w:jc w:val="center"/>
              <w:rPr>
                <w:sz w:val="21"/>
                <w:szCs w:val="20"/>
              </w:rPr>
            </w:pPr>
            <w:r>
              <w:rPr>
                <w:rFonts w:hint="eastAsia"/>
                <w:sz w:val="21"/>
                <w:szCs w:val="20"/>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0" w:type="pct"/>
            <w:vAlign w:val="center"/>
          </w:tcPr>
          <w:p>
            <w:pPr>
              <w:spacing w:line="340" w:lineRule="exact"/>
              <w:jc w:val="center"/>
              <w:rPr>
                <w:sz w:val="21"/>
                <w:szCs w:val="20"/>
              </w:rPr>
            </w:pPr>
            <w:r>
              <w:rPr>
                <w:rFonts w:hint="eastAsia"/>
                <w:sz w:val="21"/>
                <w:szCs w:val="20"/>
              </w:rPr>
              <w:t>9</w:t>
            </w:r>
          </w:p>
        </w:tc>
        <w:tc>
          <w:tcPr>
            <w:tcW w:w="375" w:type="pct"/>
            <w:vMerge w:val="continue"/>
            <w:vAlign w:val="center"/>
          </w:tcPr>
          <w:p>
            <w:pPr>
              <w:spacing w:line="340" w:lineRule="exact"/>
              <w:jc w:val="center"/>
              <w:rPr>
                <w:sz w:val="21"/>
                <w:szCs w:val="20"/>
              </w:rPr>
            </w:pPr>
          </w:p>
        </w:tc>
        <w:tc>
          <w:tcPr>
            <w:tcW w:w="859" w:type="pct"/>
            <w:vAlign w:val="center"/>
          </w:tcPr>
          <w:p>
            <w:pPr>
              <w:spacing w:line="340" w:lineRule="exact"/>
              <w:jc w:val="center"/>
              <w:rPr>
                <w:sz w:val="21"/>
                <w:szCs w:val="20"/>
              </w:rPr>
            </w:pPr>
            <w:r>
              <w:rPr>
                <w:rFonts w:hint="eastAsia"/>
                <w:sz w:val="21"/>
                <w:szCs w:val="20"/>
              </w:rPr>
              <w:t>生活垃圾</w:t>
            </w:r>
          </w:p>
        </w:tc>
        <w:tc>
          <w:tcPr>
            <w:tcW w:w="3006" w:type="pct"/>
            <w:vAlign w:val="center"/>
          </w:tcPr>
          <w:p>
            <w:pPr>
              <w:spacing w:line="340" w:lineRule="exact"/>
              <w:jc w:val="center"/>
              <w:rPr>
                <w:sz w:val="21"/>
                <w:szCs w:val="20"/>
              </w:rPr>
            </w:pPr>
            <w:r>
              <w:rPr>
                <w:rFonts w:hint="eastAsia"/>
                <w:sz w:val="21"/>
                <w:szCs w:val="20"/>
              </w:rPr>
              <w:t>设垃圾箱收集，定期送环卫部门指定地点处置</w:t>
            </w:r>
          </w:p>
        </w:tc>
        <w:tc>
          <w:tcPr>
            <w:tcW w:w="448" w:type="pct"/>
            <w:vAlign w:val="center"/>
          </w:tcPr>
          <w:p>
            <w:pPr>
              <w:spacing w:line="340" w:lineRule="exact"/>
              <w:jc w:val="center"/>
              <w:rPr>
                <w:sz w:val="21"/>
                <w:szCs w:val="20"/>
              </w:rPr>
            </w:pPr>
            <w:r>
              <w:rPr>
                <w:rFonts w:hint="eastAsia"/>
                <w:sz w:val="21"/>
                <w:szCs w:val="20"/>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0" w:type="pct"/>
            <w:vAlign w:val="center"/>
          </w:tcPr>
          <w:p>
            <w:pPr>
              <w:spacing w:line="340" w:lineRule="exact"/>
              <w:jc w:val="center"/>
              <w:rPr>
                <w:sz w:val="21"/>
                <w:szCs w:val="20"/>
              </w:rPr>
            </w:pPr>
            <w:r>
              <w:rPr>
                <w:rFonts w:hint="eastAsia"/>
                <w:sz w:val="21"/>
                <w:szCs w:val="20"/>
              </w:rPr>
              <w:t>10</w:t>
            </w:r>
          </w:p>
        </w:tc>
        <w:tc>
          <w:tcPr>
            <w:tcW w:w="375" w:type="pct"/>
            <w:vMerge w:val="continue"/>
            <w:vAlign w:val="center"/>
          </w:tcPr>
          <w:p>
            <w:pPr>
              <w:spacing w:line="340" w:lineRule="exact"/>
              <w:jc w:val="center"/>
              <w:rPr>
                <w:sz w:val="21"/>
                <w:szCs w:val="20"/>
              </w:rPr>
            </w:pPr>
          </w:p>
        </w:tc>
        <w:tc>
          <w:tcPr>
            <w:tcW w:w="859" w:type="pct"/>
            <w:vAlign w:val="center"/>
          </w:tcPr>
          <w:p>
            <w:pPr>
              <w:spacing w:line="340" w:lineRule="exact"/>
              <w:jc w:val="center"/>
              <w:rPr>
                <w:sz w:val="21"/>
                <w:szCs w:val="20"/>
              </w:rPr>
            </w:pPr>
            <w:r>
              <w:rPr>
                <w:rFonts w:hint="eastAsia" w:hAnsi="宋体"/>
                <w:bCs/>
                <w:snapToGrid w:val="0"/>
                <w:sz w:val="21"/>
                <w:szCs w:val="20"/>
              </w:rPr>
              <w:t>废机油</w:t>
            </w:r>
          </w:p>
        </w:tc>
        <w:tc>
          <w:tcPr>
            <w:tcW w:w="3006" w:type="pct"/>
            <w:vAlign w:val="center"/>
          </w:tcPr>
          <w:p>
            <w:pPr>
              <w:spacing w:line="340" w:lineRule="exact"/>
              <w:jc w:val="center"/>
              <w:rPr>
                <w:sz w:val="21"/>
                <w:szCs w:val="20"/>
              </w:rPr>
            </w:pPr>
            <w:r>
              <w:rPr>
                <w:rFonts w:hAnsi="宋体"/>
                <w:bCs/>
                <w:snapToGrid w:val="0"/>
                <w:sz w:val="21"/>
                <w:szCs w:val="20"/>
              </w:rPr>
              <w:t>暂存</w:t>
            </w:r>
            <w:r>
              <w:rPr>
                <w:rFonts w:hint="eastAsia" w:hAnsi="宋体"/>
                <w:bCs/>
                <w:snapToGrid w:val="0"/>
                <w:sz w:val="21"/>
                <w:szCs w:val="20"/>
              </w:rPr>
              <w:t>于危险</w:t>
            </w:r>
            <w:r>
              <w:rPr>
                <w:rFonts w:hAnsi="宋体"/>
                <w:bCs/>
                <w:snapToGrid w:val="0"/>
                <w:sz w:val="21"/>
                <w:szCs w:val="20"/>
              </w:rPr>
              <w:t>废物暂存</w:t>
            </w:r>
            <w:r>
              <w:rPr>
                <w:rFonts w:hint="eastAsia" w:hAnsi="宋体"/>
                <w:bCs/>
                <w:snapToGrid w:val="0"/>
                <w:sz w:val="21"/>
                <w:szCs w:val="20"/>
              </w:rPr>
              <w:t>间</w:t>
            </w:r>
            <w:r>
              <w:rPr>
                <w:rFonts w:hAnsi="宋体"/>
                <w:bCs/>
                <w:snapToGrid w:val="0"/>
                <w:sz w:val="21"/>
                <w:szCs w:val="20"/>
              </w:rPr>
              <w:t>，</w:t>
            </w:r>
            <w:r>
              <w:rPr>
                <w:rFonts w:hint="eastAsia" w:hAnsi="宋体"/>
                <w:bCs/>
                <w:snapToGrid w:val="0"/>
                <w:sz w:val="21"/>
                <w:szCs w:val="20"/>
              </w:rPr>
              <w:t>定期由有资质单位进行转运处置</w:t>
            </w:r>
          </w:p>
        </w:tc>
        <w:tc>
          <w:tcPr>
            <w:tcW w:w="448" w:type="pct"/>
            <w:vAlign w:val="center"/>
          </w:tcPr>
          <w:p>
            <w:pPr>
              <w:spacing w:line="340" w:lineRule="exact"/>
              <w:jc w:val="center"/>
              <w:rPr>
                <w:sz w:val="21"/>
                <w:szCs w:val="20"/>
              </w:rPr>
            </w:pPr>
            <w:r>
              <w:rPr>
                <w:rFonts w:hint="eastAsia"/>
                <w:sz w:val="21"/>
                <w:szCs w:val="20"/>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0" w:type="pct"/>
            <w:vAlign w:val="center"/>
          </w:tcPr>
          <w:p>
            <w:pPr>
              <w:spacing w:line="340" w:lineRule="exact"/>
              <w:jc w:val="center"/>
              <w:rPr>
                <w:sz w:val="21"/>
                <w:szCs w:val="20"/>
              </w:rPr>
            </w:pPr>
            <w:r>
              <w:rPr>
                <w:rFonts w:hint="eastAsia"/>
                <w:sz w:val="21"/>
                <w:szCs w:val="20"/>
              </w:rPr>
              <w:t>11</w:t>
            </w:r>
          </w:p>
        </w:tc>
        <w:tc>
          <w:tcPr>
            <w:tcW w:w="375" w:type="pct"/>
            <w:vAlign w:val="center"/>
          </w:tcPr>
          <w:p>
            <w:pPr>
              <w:spacing w:line="340" w:lineRule="exact"/>
              <w:jc w:val="center"/>
              <w:rPr>
                <w:sz w:val="21"/>
                <w:szCs w:val="20"/>
              </w:rPr>
            </w:pPr>
            <w:r>
              <w:rPr>
                <w:rFonts w:hint="eastAsia"/>
                <w:sz w:val="21"/>
                <w:szCs w:val="20"/>
              </w:rPr>
              <w:t>生态</w:t>
            </w:r>
          </w:p>
        </w:tc>
        <w:tc>
          <w:tcPr>
            <w:tcW w:w="859" w:type="pct"/>
            <w:vAlign w:val="center"/>
          </w:tcPr>
          <w:p>
            <w:pPr>
              <w:spacing w:line="340" w:lineRule="exact"/>
              <w:jc w:val="center"/>
              <w:rPr>
                <w:sz w:val="21"/>
                <w:szCs w:val="20"/>
              </w:rPr>
            </w:pPr>
            <w:r>
              <w:rPr>
                <w:rFonts w:hint="eastAsia"/>
                <w:sz w:val="21"/>
                <w:szCs w:val="20"/>
              </w:rPr>
              <w:t>生态</w:t>
            </w:r>
          </w:p>
        </w:tc>
        <w:tc>
          <w:tcPr>
            <w:tcW w:w="3006" w:type="pct"/>
            <w:vAlign w:val="center"/>
          </w:tcPr>
          <w:p>
            <w:pPr>
              <w:spacing w:line="340" w:lineRule="exact"/>
              <w:jc w:val="center"/>
              <w:rPr>
                <w:sz w:val="21"/>
                <w:szCs w:val="20"/>
              </w:rPr>
            </w:pPr>
            <w:r>
              <w:rPr>
                <w:rFonts w:hint="eastAsia" w:ascii="宋体" w:hAnsi="宋体" w:cs="宋体"/>
                <w:bCs/>
                <w:sz w:val="21"/>
                <w:szCs w:val="21"/>
              </w:rPr>
              <w:t>①粘土矿区要求“边开采，边恢复”，当一个采矿台段工作终结时，随即进行覆土，恢复植被，并对边坡进行防护处理</w:t>
            </w:r>
            <w:r>
              <w:rPr>
                <w:rFonts w:hint="eastAsia"/>
                <w:bCs/>
                <w:sz w:val="21"/>
                <w:szCs w:val="21"/>
              </w:rPr>
              <w:t>②道路和工业场地进行硬化</w:t>
            </w:r>
            <w:r>
              <w:rPr>
                <w:bCs/>
                <w:sz w:val="21"/>
                <w:szCs w:val="21"/>
              </w:rPr>
              <w:t>和绿化</w:t>
            </w:r>
            <w:r>
              <w:rPr>
                <w:rFonts w:hint="eastAsia"/>
                <w:bCs/>
                <w:sz w:val="21"/>
                <w:szCs w:val="21"/>
              </w:rPr>
              <w:t>，</w:t>
            </w:r>
            <w:r>
              <w:rPr>
                <w:sz w:val="21"/>
                <w:szCs w:val="20"/>
              </w:rPr>
              <w:t>绿化面积</w:t>
            </w:r>
            <w:r>
              <w:rPr>
                <w:rFonts w:hint="eastAsia"/>
                <w:sz w:val="21"/>
                <w:szCs w:val="20"/>
              </w:rPr>
              <w:t>50</w:t>
            </w:r>
            <w:r>
              <w:rPr>
                <w:sz w:val="21"/>
                <w:szCs w:val="20"/>
              </w:rPr>
              <w:t>0m</w:t>
            </w:r>
            <w:r>
              <w:rPr>
                <w:sz w:val="21"/>
                <w:szCs w:val="20"/>
                <w:vertAlign w:val="superscript"/>
              </w:rPr>
              <w:t>2</w:t>
            </w:r>
            <w:r>
              <w:rPr>
                <w:rFonts w:hint="eastAsia"/>
                <w:bCs/>
                <w:sz w:val="21"/>
                <w:szCs w:val="21"/>
              </w:rPr>
              <w:t>；</w:t>
            </w:r>
            <w:r>
              <w:rPr>
                <w:bCs/>
                <w:sz w:val="21"/>
                <w:szCs w:val="21"/>
              </w:rPr>
              <w:t>③</w:t>
            </w:r>
            <w:r>
              <w:rPr>
                <w:rFonts w:hint="eastAsia" w:ascii="宋体" w:hAnsi="宋体" w:cs="宋体"/>
                <w:bCs/>
                <w:sz w:val="21"/>
                <w:szCs w:val="21"/>
              </w:rPr>
              <w:t>生态恢复治理完成后2年内对生态恢复及治理措施进行后期监测和管护</w:t>
            </w:r>
          </w:p>
        </w:tc>
        <w:tc>
          <w:tcPr>
            <w:tcW w:w="448" w:type="pct"/>
            <w:vAlign w:val="center"/>
          </w:tcPr>
          <w:p>
            <w:pPr>
              <w:spacing w:line="340" w:lineRule="exact"/>
              <w:jc w:val="center"/>
              <w:rPr>
                <w:sz w:val="21"/>
                <w:szCs w:val="20"/>
              </w:rPr>
            </w:pPr>
            <w:r>
              <w:rPr>
                <w:rFonts w:hint="eastAsia"/>
                <w:sz w:val="21"/>
                <w:szCs w:val="20"/>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51" w:type="pct"/>
            <w:gridSpan w:val="4"/>
            <w:vAlign w:val="center"/>
          </w:tcPr>
          <w:p>
            <w:pPr>
              <w:spacing w:line="340" w:lineRule="exact"/>
              <w:jc w:val="center"/>
              <w:rPr>
                <w:sz w:val="21"/>
                <w:szCs w:val="20"/>
              </w:rPr>
            </w:pPr>
            <w:r>
              <w:rPr>
                <w:rFonts w:hint="eastAsia"/>
                <w:sz w:val="21"/>
                <w:szCs w:val="20"/>
              </w:rPr>
              <w:t>总计</w:t>
            </w:r>
          </w:p>
        </w:tc>
        <w:tc>
          <w:tcPr>
            <w:tcW w:w="448" w:type="pct"/>
            <w:vAlign w:val="center"/>
          </w:tcPr>
          <w:p>
            <w:pPr>
              <w:spacing w:line="340" w:lineRule="exact"/>
              <w:jc w:val="center"/>
              <w:rPr>
                <w:sz w:val="21"/>
                <w:szCs w:val="20"/>
              </w:rPr>
            </w:pPr>
            <w:r>
              <w:rPr>
                <w:rFonts w:hint="eastAsia"/>
                <w:sz w:val="21"/>
                <w:szCs w:val="20"/>
                <w:lang w:val="en-US" w:eastAsia="zh-CN"/>
              </w:rPr>
              <w:t>2</w:t>
            </w:r>
            <w:r>
              <w:rPr>
                <w:rFonts w:hint="eastAsia"/>
                <w:sz w:val="21"/>
                <w:szCs w:val="20"/>
              </w:rPr>
              <w:t>0</w:t>
            </w:r>
          </w:p>
        </w:tc>
      </w:tr>
    </w:tbl>
    <w:p>
      <w:pPr>
        <w:widowControl w:val="0"/>
        <w:adjustRightInd w:val="0"/>
        <w:snapToGrid w:val="0"/>
        <w:spacing w:before="120" w:beforeLines="50" w:after="120" w:afterLines="50"/>
        <w:jc w:val="both"/>
        <w:outlineLvl w:val="2"/>
        <w:rPr>
          <w:b/>
          <w:kern w:val="2"/>
        </w:rPr>
      </w:pPr>
      <w:r>
        <w:rPr>
          <w:rFonts w:hint="eastAsia"/>
          <w:b/>
          <w:kern w:val="2"/>
        </w:rPr>
        <w:t>7</w:t>
      </w:r>
      <w:r>
        <w:rPr>
          <w:b/>
          <w:kern w:val="2"/>
        </w:rPr>
        <w:t>.1.</w:t>
      </w:r>
      <w:r>
        <w:rPr>
          <w:rFonts w:hint="eastAsia"/>
          <w:b/>
          <w:kern w:val="2"/>
        </w:rPr>
        <w:t>2</w:t>
      </w:r>
      <w:r>
        <w:rPr>
          <w:b/>
          <w:kern w:val="2"/>
        </w:rPr>
        <w:t xml:space="preserve"> </w:t>
      </w:r>
      <w:r>
        <w:rPr>
          <w:rFonts w:hint="eastAsia"/>
          <w:b/>
          <w:kern w:val="2"/>
        </w:rPr>
        <w:t>环境效益分析</w:t>
      </w:r>
    </w:p>
    <w:p>
      <w:pPr>
        <w:pStyle w:val="361"/>
        <w:spacing w:line="440" w:lineRule="exact"/>
        <w:ind w:firstLineChars="200"/>
        <w:jc w:val="both"/>
        <w:rPr>
          <w:rFonts w:eastAsia="宋体"/>
        </w:rPr>
      </w:pPr>
      <w:r>
        <w:rPr>
          <w:rFonts w:eastAsia="宋体"/>
        </w:rPr>
        <w:t>本项目的环保设施是根据防治污染和保护环境的需要而要求的</w:t>
      </w:r>
      <w:r>
        <w:rPr>
          <w:rFonts w:hint="eastAsia" w:eastAsia="宋体"/>
        </w:rPr>
        <w:t>。环保设施的建设能够有效改善局部生态环境，具有较好的环境效益。</w:t>
      </w:r>
    </w:p>
    <w:p>
      <w:pPr>
        <w:pStyle w:val="5"/>
        <w:adjustRightInd w:val="0"/>
        <w:snapToGrid w:val="0"/>
        <w:spacing w:before="120" w:beforeLines="50" w:line="360" w:lineRule="auto"/>
        <w:rPr>
          <w:rFonts w:eastAsia="宋体"/>
          <w:sz w:val="28"/>
          <w:szCs w:val="28"/>
        </w:rPr>
      </w:pPr>
      <w:bookmarkStart w:id="336" w:name="_Toc228635254"/>
      <w:bookmarkStart w:id="337" w:name="_Toc230666394"/>
      <w:bookmarkStart w:id="338" w:name="_Toc399150476"/>
      <w:bookmarkStart w:id="339" w:name="_Toc118694830"/>
      <w:bookmarkStart w:id="340" w:name="_Toc255481287"/>
      <w:bookmarkStart w:id="341" w:name="_Toc291501883"/>
      <w:bookmarkStart w:id="342" w:name="_Toc396395454"/>
      <w:bookmarkStart w:id="343" w:name="_Toc300843374"/>
      <w:bookmarkStart w:id="344" w:name="_Toc291502105"/>
      <w:bookmarkStart w:id="345" w:name="_Toc230667082"/>
      <w:bookmarkStart w:id="346" w:name="_Toc228632473"/>
      <w:bookmarkStart w:id="347" w:name="_Toc227331357"/>
      <w:bookmarkStart w:id="348" w:name="_Toc291493648"/>
      <w:bookmarkStart w:id="349" w:name="_Toc278389468"/>
      <w:bookmarkStart w:id="350" w:name="_Toc395801327"/>
      <w:bookmarkStart w:id="351" w:name="_Toc2532"/>
      <w:r>
        <w:rPr>
          <w:rFonts w:eastAsia="宋体"/>
          <w:sz w:val="28"/>
          <w:szCs w:val="28"/>
        </w:rPr>
        <w:t>7.2</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Pr>
          <w:rFonts w:hint="eastAsia" w:eastAsia="宋体"/>
          <w:sz w:val="28"/>
          <w:szCs w:val="28"/>
        </w:rPr>
        <w:t>经济效益分析</w:t>
      </w:r>
      <w:bookmarkEnd w:id="351"/>
    </w:p>
    <w:p>
      <w:pPr>
        <w:pStyle w:val="361"/>
        <w:spacing w:line="440" w:lineRule="exact"/>
        <w:ind w:firstLineChars="200"/>
        <w:jc w:val="both"/>
        <w:rPr>
          <w:rFonts w:eastAsia="宋体"/>
        </w:rPr>
      </w:pPr>
      <w:r>
        <w:rPr>
          <w:rFonts w:eastAsia="宋体"/>
        </w:rPr>
        <w:t>由于建筑</w:t>
      </w:r>
      <w:r>
        <w:rPr>
          <w:rFonts w:hint="eastAsia" w:eastAsia="宋体"/>
        </w:rPr>
        <w:t>材料的</w:t>
      </w:r>
      <w:r>
        <w:rPr>
          <w:rFonts w:eastAsia="宋体"/>
        </w:rPr>
        <w:t>市场需求量很大</w:t>
      </w:r>
      <w:r>
        <w:rPr>
          <w:rFonts w:hint="eastAsia" w:eastAsia="宋体"/>
        </w:rPr>
        <w:t>，</w:t>
      </w:r>
      <w:r>
        <w:rPr>
          <w:rFonts w:eastAsia="宋体"/>
        </w:rPr>
        <w:t>加之我国政府对资源开发的严格要求</w:t>
      </w:r>
      <w:r>
        <w:rPr>
          <w:rFonts w:hint="eastAsia" w:eastAsia="宋体"/>
        </w:rPr>
        <w:t>，建筑用砖</w:t>
      </w:r>
      <w:r>
        <w:rPr>
          <w:rFonts w:eastAsia="宋体"/>
        </w:rPr>
        <w:t>已逐步趋于紧俏</w:t>
      </w:r>
      <w:r>
        <w:rPr>
          <w:rFonts w:hint="eastAsia" w:eastAsia="宋体"/>
        </w:rPr>
        <w:t>，</w:t>
      </w:r>
      <w:r>
        <w:rPr>
          <w:rFonts w:eastAsia="宋体"/>
        </w:rPr>
        <w:t>因此</w:t>
      </w:r>
      <w:r>
        <w:rPr>
          <w:rFonts w:hint="eastAsia" w:eastAsia="宋体"/>
        </w:rPr>
        <w:t>，</w:t>
      </w:r>
      <w:r>
        <w:rPr>
          <w:rFonts w:eastAsia="宋体"/>
        </w:rPr>
        <w:t>本项目投产后</w:t>
      </w:r>
      <w:r>
        <w:rPr>
          <w:rFonts w:hint="eastAsia" w:eastAsia="宋体"/>
        </w:rPr>
        <w:t>，能够为制砖企业提供粘土矿原料，</w:t>
      </w:r>
      <w:r>
        <w:rPr>
          <w:rFonts w:eastAsia="宋体"/>
        </w:rPr>
        <w:t>产品销售方面是完全可以得到满足</w:t>
      </w:r>
      <w:r>
        <w:rPr>
          <w:rFonts w:hint="eastAsia" w:eastAsia="宋体"/>
        </w:rPr>
        <w:t>，</w:t>
      </w:r>
      <w:r>
        <w:rPr>
          <w:rFonts w:eastAsia="宋体"/>
        </w:rPr>
        <w:t>会取得良好的经济效益</w:t>
      </w:r>
      <w:r>
        <w:rPr>
          <w:rFonts w:hint="eastAsia" w:eastAsia="宋体"/>
        </w:rPr>
        <w:t>，</w:t>
      </w:r>
      <w:r>
        <w:rPr>
          <w:rFonts w:eastAsia="宋体"/>
        </w:rPr>
        <w:t>对区域发展将起到积极的促进作用</w:t>
      </w:r>
      <w:r>
        <w:rPr>
          <w:rFonts w:hint="eastAsia" w:eastAsia="宋体"/>
        </w:rPr>
        <w:t>。</w:t>
      </w:r>
    </w:p>
    <w:p>
      <w:pPr>
        <w:pStyle w:val="5"/>
        <w:adjustRightInd w:val="0"/>
        <w:snapToGrid w:val="0"/>
        <w:spacing w:before="120" w:beforeLines="50" w:line="360" w:lineRule="auto"/>
        <w:rPr>
          <w:rFonts w:eastAsia="宋体"/>
          <w:sz w:val="28"/>
          <w:szCs w:val="28"/>
        </w:rPr>
      </w:pPr>
      <w:bookmarkStart w:id="352" w:name="_Toc3697"/>
      <w:r>
        <w:rPr>
          <w:rFonts w:eastAsia="宋体"/>
          <w:sz w:val="28"/>
          <w:szCs w:val="28"/>
        </w:rPr>
        <w:t>7.</w:t>
      </w:r>
      <w:r>
        <w:rPr>
          <w:rFonts w:hint="eastAsia" w:eastAsia="宋体"/>
          <w:sz w:val="28"/>
          <w:szCs w:val="28"/>
        </w:rPr>
        <w:t>3社会效益分析</w:t>
      </w:r>
      <w:bookmarkEnd w:id="352"/>
    </w:p>
    <w:p>
      <w:pPr>
        <w:pStyle w:val="361"/>
        <w:spacing w:line="440" w:lineRule="exact"/>
        <w:ind w:firstLineChars="200"/>
        <w:jc w:val="both"/>
        <w:rPr>
          <w:rFonts w:eastAsia="宋体"/>
        </w:rPr>
      </w:pPr>
      <w:r>
        <w:rPr>
          <w:rFonts w:eastAsia="宋体"/>
        </w:rPr>
        <w:t>项目建设的社会效益主要表现在以下几个方面：</w:t>
      </w:r>
    </w:p>
    <w:p>
      <w:pPr>
        <w:pStyle w:val="361"/>
        <w:spacing w:line="440" w:lineRule="exact"/>
        <w:ind w:firstLineChars="200"/>
        <w:jc w:val="both"/>
        <w:rPr>
          <w:rFonts w:eastAsia="宋体"/>
        </w:rPr>
      </w:pPr>
      <w:r>
        <w:rPr>
          <w:rFonts w:eastAsia="宋体"/>
        </w:rPr>
        <w:t>1</w:t>
      </w:r>
      <w:r>
        <w:rPr>
          <w:rFonts w:hint="eastAsia" w:eastAsia="宋体"/>
        </w:rPr>
        <w:t>）</w:t>
      </w:r>
      <w:r>
        <w:rPr>
          <w:rFonts w:eastAsia="宋体"/>
        </w:rPr>
        <w:t>有利于促进地区经济发展</w:t>
      </w:r>
    </w:p>
    <w:p>
      <w:pPr>
        <w:pStyle w:val="361"/>
        <w:spacing w:line="440" w:lineRule="exact"/>
        <w:ind w:firstLineChars="200"/>
        <w:jc w:val="both"/>
        <w:rPr>
          <w:rFonts w:eastAsia="宋体"/>
        </w:rPr>
      </w:pPr>
      <w:r>
        <w:rPr>
          <w:rFonts w:eastAsia="宋体"/>
        </w:rPr>
        <w:t>该项目的</w:t>
      </w:r>
      <w:r>
        <w:rPr>
          <w:rFonts w:hint="eastAsia" w:eastAsia="宋体"/>
        </w:rPr>
        <w:t>建设，</w:t>
      </w:r>
      <w:r>
        <w:rPr>
          <w:rFonts w:eastAsia="宋体"/>
        </w:rPr>
        <w:t>具有良好的经济效益</w:t>
      </w:r>
      <w:r>
        <w:rPr>
          <w:rFonts w:hint="eastAsia" w:eastAsia="宋体"/>
        </w:rPr>
        <w:t>，</w:t>
      </w:r>
      <w:r>
        <w:rPr>
          <w:rFonts w:eastAsia="宋体"/>
        </w:rPr>
        <w:t>一方面可为地区带来一定的利税</w:t>
      </w:r>
      <w:r>
        <w:rPr>
          <w:rFonts w:hint="eastAsia" w:eastAsia="宋体"/>
        </w:rPr>
        <w:t>，</w:t>
      </w:r>
      <w:r>
        <w:rPr>
          <w:rFonts w:eastAsia="宋体"/>
        </w:rPr>
        <w:t>另一方面</w:t>
      </w:r>
      <w:r>
        <w:rPr>
          <w:rFonts w:hint="eastAsia" w:eastAsia="宋体"/>
        </w:rPr>
        <w:t>，</w:t>
      </w:r>
      <w:r>
        <w:rPr>
          <w:rFonts w:eastAsia="宋体"/>
        </w:rPr>
        <w:t>也可带动当地相关企业进一步发展</w:t>
      </w:r>
      <w:r>
        <w:rPr>
          <w:rFonts w:hint="eastAsia" w:eastAsia="宋体"/>
        </w:rPr>
        <w:t>，</w:t>
      </w:r>
      <w:r>
        <w:rPr>
          <w:rFonts w:eastAsia="宋体"/>
        </w:rPr>
        <w:t>促进地区经济的活跃</w:t>
      </w:r>
      <w:r>
        <w:rPr>
          <w:rFonts w:hint="eastAsia" w:eastAsia="宋体"/>
        </w:rPr>
        <w:t>，</w:t>
      </w:r>
      <w:r>
        <w:rPr>
          <w:rFonts w:eastAsia="宋体"/>
        </w:rPr>
        <w:t>为当地带来新的经济增长点</w:t>
      </w:r>
      <w:r>
        <w:rPr>
          <w:rFonts w:hint="eastAsia" w:eastAsia="宋体"/>
        </w:rPr>
        <w:t>。</w:t>
      </w:r>
    </w:p>
    <w:p>
      <w:pPr>
        <w:pStyle w:val="361"/>
        <w:spacing w:line="440" w:lineRule="exact"/>
        <w:ind w:firstLineChars="200"/>
        <w:jc w:val="both"/>
        <w:rPr>
          <w:rFonts w:eastAsia="宋体"/>
        </w:rPr>
      </w:pPr>
      <w:r>
        <w:rPr>
          <w:rFonts w:eastAsia="宋体"/>
        </w:rPr>
        <w:t>2</w:t>
      </w:r>
      <w:r>
        <w:rPr>
          <w:rFonts w:hint="eastAsia" w:eastAsia="宋体"/>
        </w:rPr>
        <w:t>）</w:t>
      </w:r>
      <w:r>
        <w:rPr>
          <w:rFonts w:eastAsia="宋体"/>
        </w:rPr>
        <w:t>安排社会闲散劳动力</w:t>
      </w:r>
    </w:p>
    <w:p>
      <w:pPr>
        <w:pStyle w:val="361"/>
        <w:spacing w:line="440" w:lineRule="exact"/>
        <w:ind w:firstLineChars="200"/>
        <w:jc w:val="both"/>
        <w:rPr>
          <w:rFonts w:eastAsia="宋体"/>
          <w:b/>
        </w:rPr>
      </w:pPr>
      <w:r>
        <w:rPr>
          <w:rFonts w:eastAsia="宋体"/>
        </w:rPr>
        <w:t>项目投产后</w:t>
      </w:r>
      <w:r>
        <w:rPr>
          <w:rFonts w:hint="eastAsia" w:eastAsia="宋体"/>
        </w:rPr>
        <w:t>，</w:t>
      </w:r>
      <w:r>
        <w:rPr>
          <w:rFonts w:eastAsia="宋体"/>
        </w:rPr>
        <w:t>可以解决部分人员的就业、再就业问题</w:t>
      </w:r>
      <w:r>
        <w:rPr>
          <w:rFonts w:hint="eastAsia" w:eastAsia="宋体"/>
        </w:rPr>
        <w:t>，</w:t>
      </w:r>
      <w:r>
        <w:rPr>
          <w:rFonts w:eastAsia="宋体"/>
        </w:rPr>
        <w:t>同时还可以促进相关行业的发展</w:t>
      </w:r>
      <w:r>
        <w:rPr>
          <w:rFonts w:hint="eastAsia" w:eastAsia="宋体"/>
          <w:b/>
        </w:rPr>
        <w:t>。</w:t>
      </w:r>
    </w:p>
    <w:p>
      <w:pPr>
        <w:pStyle w:val="5"/>
        <w:adjustRightInd w:val="0"/>
        <w:snapToGrid w:val="0"/>
        <w:spacing w:before="120" w:beforeLines="50" w:line="360" w:lineRule="auto"/>
        <w:rPr>
          <w:rFonts w:eastAsia="宋体"/>
          <w:sz w:val="28"/>
          <w:szCs w:val="28"/>
        </w:rPr>
      </w:pPr>
      <w:bookmarkStart w:id="353" w:name="_Toc4003"/>
      <w:bookmarkStart w:id="354" w:name="_Toc4270"/>
      <w:bookmarkStart w:id="355" w:name="_Toc47930092"/>
      <w:bookmarkStart w:id="356" w:name="_Toc11748925"/>
      <w:bookmarkStart w:id="357" w:name="_Toc48537269"/>
      <w:r>
        <w:rPr>
          <w:rFonts w:eastAsia="宋体"/>
          <w:sz w:val="28"/>
          <w:szCs w:val="28"/>
        </w:rPr>
        <w:t>7.</w:t>
      </w:r>
      <w:r>
        <w:rPr>
          <w:rFonts w:hint="eastAsia" w:eastAsia="宋体"/>
          <w:sz w:val="28"/>
          <w:szCs w:val="28"/>
        </w:rPr>
        <w:t>4</w:t>
      </w:r>
      <w:bookmarkEnd w:id="353"/>
      <w:r>
        <w:rPr>
          <w:rFonts w:hint="eastAsia" w:eastAsia="宋体"/>
          <w:sz w:val="28"/>
          <w:szCs w:val="28"/>
        </w:rPr>
        <w:t>环境经济损益分析</w:t>
      </w:r>
      <w:bookmarkEnd w:id="354"/>
    </w:p>
    <w:bookmarkEnd w:id="355"/>
    <w:bookmarkEnd w:id="356"/>
    <w:bookmarkEnd w:id="357"/>
    <w:p>
      <w:pPr>
        <w:adjustRightInd w:val="0"/>
        <w:snapToGrid w:val="0"/>
        <w:spacing w:line="440" w:lineRule="exact"/>
        <w:ind w:firstLine="480" w:firstLineChars="200"/>
        <w:jc w:val="both"/>
        <w:rPr>
          <w:kern w:val="2"/>
          <w:szCs w:val="22"/>
        </w:rPr>
      </w:pPr>
      <w:r>
        <w:rPr>
          <w:rFonts w:hint="eastAsia"/>
          <w:kern w:val="2"/>
          <w:szCs w:val="22"/>
        </w:rPr>
        <w:t>综上所述，本项目投产后，将带来较好的经济效益和社会效益，同时由于工程在设计中采取了严格的污染治理措施，加大环保治理力度，减少了污染物排放量，在创造较好的经济效益和社会效益的同时，也取得了较好的环境效益。</w:t>
      </w:r>
    </w:p>
    <w:p>
      <w:pPr>
        <w:adjustRightInd w:val="0"/>
        <w:snapToGrid w:val="0"/>
        <w:spacing w:line="440" w:lineRule="exact"/>
        <w:ind w:firstLine="480" w:firstLineChars="200"/>
        <w:jc w:val="both"/>
        <w:rPr>
          <w:sz w:val="28"/>
          <w:szCs w:val="28"/>
        </w:rPr>
      </w:pPr>
      <w:r>
        <w:rPr>
          <w:rFonts w:hint="eastAsia"/>
          <w:kern w:val="2"/>
          <w:szCs w:val="22"/>
        </w:rPr>
        <w:t>综上所述，本项目建设能够实现社会、经济和环境三效益的和谐统一。</w:t>
      </w:r>
    </w:p>
    <w:p>
      <w:pPr>
        <w:pStyle w:val="36"/>
        <w:ind w:firstLine="562"/>
        <w:rPr>
          <w:b/>
          <w:bCs/>
        </w:rPr>
      </w:pPr>
    </w:p>
    <w:p>
      <w:pPr>
        <w:pStyle w:val="4"/>
        <w:adjustRightInd w:val="0"/>
        <w:snapToGrid w:val="0"/>
        <w:spacing w:beforeLines="50" w:after="0" w:line="360" w:lineRule="auto"/>
        <w:rPr>
          <w:rFonts w:eastAsia="宋体"/>
        </w:rPr>
        <w:sectPr>
          <w:headerReference r:id="rId19" w:type="default"/>
          <w:pgSz w:w="11907" w:h="16840"/>
          <w:pgMar w:top="1247" w:right="1418" w:bottom="1247" w:left="1418" w:header="992" w:footer="992" w:gutter="0"/>
          <w:cols w:space="425" w:num="1"/>
          <w:docGrid w:linePitch="312" w:charSpace="0"/>
        </w:sectPr>
      </w:pPr>
    </w:p>
    <w:p>
      <w:pPr>
        <w:widowControl w:val="0"/>
        <w:adjustRightInd w:val="0"/>
        <w:snapToGrid w:val="0"/>
        <w:spacing w:before="240" w:beforeLines="100" w:after="240" w:afterLines="100"/>
        <w:jc w:val="center"/>
        <w:outlineLvl w:val="0"/>
        <w:rPr>
          <w:rFonts w:eastAsia="黑体"/>
          <w:b/>
          <w:kern w:val="2"/>
          <w:sz w:val="44"/>
          <w:szCs w:val="44"/>
        </w:rPr>
      </w:pPr>
      <w:bookmarkStart w:id="358" w:name="_Toc396395457"/>
      <w:bookmarkStart w:id="359" w:name="_Toc32571"/>
      <w:bookmarkStart w:id="360" w:name="_Toc399150479"/>
      <w:bookmarkStart w:id="361" w:name="_Toc395801330"/>
      <w:r>
        <w:rPr>
          <w:rFonts w:eastAsia="黑体"/>
          <w:b/>
          <w:kern w:val="2"/>
          <w:sz w:val="44"/>
          <w:szCs w:val="44"/>
        </w:rPr>
        <w:t>第八章  环境管理与监测计划</w:t>
      </w:r>
      <w:bookmarkEnd w:id="358"/>
      <w:bookmarkEnd w:id="359"/>
      <w:bookmarkEnd w:id="360"/>
      <w:bookmarkEnd w:id="361"/>
    </w:p>
    <w:p>
      <w:pPr>
        <w:pStyle w:val="36"/>
        <w:ind w:firstLine="480"/>
        <w:rPr>
          <w:sz w:val="24"/>
        </w:rPr>
      </w:pPr>
      <w:bookmarkStart w:id="362" w:name="_Toc319509010"/>
      <w:r>
        <w:rPr>
          <w:sz w:val="24"/>
        </w:rPr>
        <w:t>环境管理是环境保护工作的一个重要组成部分，主要是以环境科学理论为基础，运用法律、经济、技术、行政、教育等手段对经济、社会发展过程中施加给环境的污染和破坏影响进行调节控制，实现企业经济、社会和环境效益的和谐统一。</w:t>
      </w:r>
    </w:p>
    <w:p>
      <w:pPr>
        <w:spacing w:line="440" w:lineRule="exact"/>
        <w:ind w:firstLine="480" w:firstLineChars="200"/>
        <w:jc w:val="both"/>
        <w:rPr>
          <w:bCs/>
        </w:rPr>
      </w:pPr>
      <w:r>
        <w:t>为全面贯彻和落实国家以及地方环境保护政策、法律、法规，加强企业内部环境管理和污染物排放监督控制，保证企业运营过程中各环保设施正常运行，实现污染物达标排放，企业内部必须建立行之有效的环境管理机构和制度。</w:t>
      </w:r>
    </w:p>
    <w:p>
      <w:pPr>
        <w:widowControl w:val="0"/>
        <w:adjustRightInd w:val="0"/>
        <w:snapToGrid w:val="0"/>
        <w:spacing w:before="120" w:beforeLines="50" w:after="120" w:afterLines="50"/>
        <w:jc w:val="both"/>
        <w:outlineLvl w:val="1"/>
        <w:rPr>
          <w:b/>
          <w:kern w:val="2"/>
          <w:sz w:val="28"/>
          <w:szCs w:val="28"/>
        </w:rPr>
      </w:pPr>
      <w:bookmarkStart w:id="363" w:name="_Toc9468"/>
      <w:bookmarkStart w:id="364" w:name="_Toc22946"/>
      <w:r>
        <w:rPr>
          <w:b/>
          <w:kern w:val="2"/>
          <w:sz w:val="28"/>
          <w:szCs w:val="28"/>
        </w:rPr>
        <w:t>8.1 环境管理</w:t>
      </w:r>
      <w:bookmarkEnd w:id="362"/>
      <w:bookmarkEnd w:id="363"/>
      <w:bookmarkEnd w:id="364"/>
    </w:p>
    <w:p>
      <w:pPr>
        <w:pStyle w:val="35"/>
        <w:spacing w:line="440" w:lineRule="exact"/>
        <w:ind w:firstLine="480" w:firstLineChars="200"/>
        <w:rPr>
          <w:bCs/>
          <w:sz w:val="24"/>
        </w:rPr>
      </w:pPr>
      <w:r>
        <w:rPr>
          <w:bCs/>
          <w:sz w:val="24"/>
        </w:rPr>
        <w:t>环境管理是对人类生产、生活和社会活动实行控制性的影响，使外界事物按照人们的决策和计划进行发展。随着我国环保法规的完善，环境污染问题将极大地影响着企业的生存与发展，因此，环境管理应作为企业管理工作中的重要组成部分，企业应积极并主动地预防和治理，提高全体职工的环境意识，避免因管理不善而可能造成的环境风险。</w:t>
      </w:r>
    </w:p>
    <w:p>
      <w:pPr>
        <w:widowControl w:val="0"/>
        <w:adjustRightInd w:val="0"/>
        <w:snapToGrid w:val="0"/>
        <w:spacing w:before="120" w:beforeLines="50" w:after="120" w:afterLines="50"/>
        <w:jc w:val="both"/>
        <w:outlineLvl w:val="2"/>
        <w:rPr>
          <w:b/>
          <w:kern w:val="2"/>
        </w:rPr>
      </w:pPr>
      <w:r>
        <w:rPr>
          <w:b/>
          <w:kern w:val="2"/>
        </w:rPr>
        <w:t>8.1.1环境管理</w:t>
      </w:r>
      <w:r>
        <w:rPr>
          <w:rFonts w:hint="eastAsia"/>
          <w:b/>
          <w:kern w:val="2"/>
        </w:rPr>
        <w:t>的必要性</w:t>
      </w:r>
    </w:p>
    <w:p>
      <w:pPr>
        <w:pStyle w:val="361"/>
        <w:spacing w:line="440" w:lineRule="exact"/>
        <w:ind w:firstLineChars="200"/>
        <w:jc w:val="both"/>
        <w:rPr>
          <w:rFonts w:eastAsia="宋体"/>
        </w:rPr>
      </w:pPr>
      <w:r>
        <w:rPr>
          <w:rFonts w:eastAsia="宋体"/>
        </w:rPr>
        <w:t>本项目在施工期和运营期均会对周围环境产生一定的影响</w:t>
      </w:r>
      <w:r>
        <w:rPr>
          <w:rFonts w:hint="eastAsia" w:eastAsia="宋体"/>
        </w:rPr>
        <w:t>，</w:t>
      </w:r>
      <w:r>
        <w:rPr>
          <w:rFonts w:eastAsia="宋体"/>
        </w:rPr>
        <w:t>为确保项目施工期和运营期环境保护措施的有效落实</w:t>
      </w:r>
      <w:r>
        <w:rPr>
          <w:rFonts w:hint="eastAsia" w:eastAsia="宋体"/>
        </w:rPr>
        <w:t>，</w:t>
      </w:r>
      <w:r>
        <w:rPr>
          <w:rFonts w:eastAsia="宋体"/>
        </w:rPr>
        <w:t>减轻或消除不利影响</w:t>
      </w:r>
      <w:r>
        <w:rPr>
          <w:rFonts w:hint="eastAsia" w:eastAsia="宋体"/>
        </w:rPr>
        <w:t>，</w:t>
      </w:r>
      <w:r>
        <w:rPr>
          <w:rFonts w:eastAsia="宋体"/>
        </w:rPr>
        <w:t>使项目的经济、社会和环境效益得以协调发展</w:t>
      </w:r>
      <w:r>
        <w:rPr>
          <w:rFonts w:hint="eastAsia" w:eastAsia="宋体"/>
        </w:rPr>
        <w:t>，</w:t>
      </w:r>
      <w:r>
        <w:rPr>
          <w:rFonts w:eastAsia="宋体"/>
        </w:rPr>
        <w:t>必须加强项目环境管理</w:t>
      </w:r>
      <w:r>
        <w:rPr>
          <w:rFonts w:hint="eastAsia" w:eastAsia="宋体"/>
        </w:rPr>
        <w:t>。</w:t>
      </w:r>
    </w:p>
    <w:p>
      <w:pPr>
        <w:widowControl w:val="0"/>
        <w:adjustRightInd w:val="0"/>
        <w:snapToGrid w:val="0"/>
        <w:spacing w:before="120" w:beforeLines="50" w:after="120" w:afterLines="50"/>
        <w:jc w:val="both"/>
        <w:outlineLvl w:val="2"/>
        <w:rPr>
          <w:b/>
          <w:kern w:val="2"/>
        </w:rPr>
      </w:pPr>
      <w:r>
        <w:rPr>
          <w:b/>
          <w:kern w:val="2"/>
        </w:rPr>
        <w:t>8.1.</w:t>
      </w:r>
      <w:r>
        <w:rPr>
          <w:rFonts w:hint="eastAsia"/>
          <w:b/>
          <w:kern w:val="2"/>
        </w:rPr>
        <w:t>2</w:t>
      </w:r>
      <w:r>
        <w:rPr>
          <w:b/>
          <w:kern w:val="2"/>
        </w:rPr>
        <w:t>环境管理</w:t>
      </w:r>
      <w:r>
        <w:rPr>
          <w:rFonts w:hint="eastAsia"/>
          <w:b/>
          <w:kern w:val="2"/>
        </w:rPr>
        <w:t>机构与职责</w:t>
      </w:r>
    </w:p>
    <w:p>
      <w:pPr>
        <w:spacing w:line="440" w:lineRule="atLeast"/>
        <w:ind w:firstLine="480" w:firstLineChars="200"/>
        <w:jc w:val="both"/>
      </w:pPr>
      <w:r>
        <w:rPr>
          <w:rFonts w:hint="eastAsia"/>
        </w:rPr>
        <w:t>1、</w:t>
      </w:r>
      <w:r>
        <w:t>环境管理机构</w:t>
      </w:r>
    </w:p>
    <w:p>
      <w:pPr>
        <w:pStyle w:val="361"/>
        <w:spacing w:line="440" w:lineRule="atLeast"/>
        <w:ind w:firstLineChars="200"/>
        <w:jc w:val="both"/>
        <w:rPr>
          <w:rFonts w:eastAsia="宋体"/>
        </w:rPr>
      </w:pPr>
      <w:r>
        <w:rPr>
          <w:rFonts w:eastAsia="宋体"/>
        </w:rPr>
        <w:t>对于生产企业来讲</w:t>
      </w:r>
      <w:r>
        <w:rPr>
          <w:rFonts w:hint="eastAsia" w:eastAsia="宋体"/>
        </w:rPr>
        <w:t>，</w:t>
      </w:r>
      <w:r>
        <w:rPr>
          <w:rFonts w:eastAsia="宋体"/>
        </w:rPr>
        <w:t>环境管理的主要目的有两个：一是尽可能减少污染物的排放</w:t>
      </w:r>
      <w:r>
        <w:rPr>
          <w:rFonts w:hint="eastAsia" w:eastAsia="宋体"/>
        </w:rPr>
        <w:t>，</w:t>
      </w:r>
      <w:r>
        <w:rPr>
          <w:rFonts w:eastAsia="宋体"/>
        </w:rPr>
        <w:t>二是最大程度的发挥污染治理措施的作用</w:t>
      </w:r>
      <w:r>
        <w:rPr>
          <w:rFonts w:hint="eastAsia" w:eastAsia="宋体"/>
        </w:rPr>
        <w:t>，</w:t>
      </w:r>
      <w:r>
        <w:rPr>
          <w:rFonts w:eastAsia="宋体"/>
        </w:rPr>
        <w:t>使污染物的治理在达标排放的基础上</w:t>
      </w:r>
      <w:r>
        <w:rPr>
          <w:rFonts w:hint="eastAsia" w:eastAsia="宋体"/>
        </w:rPr>
        <w:t>，</w:t>
      </w:r>
      <w:r>
        <w:rPr>
          <w:rFonts w:eastAsia="宋体"/>
        </w:rPr>
        <w:t>取得最佳的治理效果</w:t>
      </w:r>
      <w:r>
        <w:rPr>
          <w:rFonts w:hint="eastAsia" w:eastAsia="宋体"/>
        </w:rPr>
        <w:t>。</w:t>
      </w:r>
      <w:r>
        <w:rPr>
          <w:rFonts w:eastAsia="宋体"/>
        </w:rPr>
        <w:t>为达到上述目的</w:t>
      </w:r>
      <w:r>
        <w:rPr>
          <w:rFonts w:hint="eastAsia" w:eastAsia="宋体"/>
        </w:rPr>
        <w:t>，</w:t>
      </w:r>
      <w:r>
        <w:rPr>
          <w:rFonts w:eastAsia="宋体"/>
        </w:rPr>
        <w:t>就要成立一个专门的环保机构</w:t>
      </w:r>
      <w:r>
        <w:rPr>
          <w:rFonts w:hint="eastAsia" w:eastAsia="宋体"/>
        </w:rPr>
        <w:t>，</w:t>
      </w:r>
      <w:r>
        <w:rPr>
          <w:rFonts w:eastAsia="宋体"/>
        </w:rPr>
        <w:t>从事企业内部的环保工作</w:t>
      </w:r>
      <w:r>
        <w:rPr>
          <w:rFonts w:hint="eastAsia" w:eastAsia="宋体"/>
        </w:rPr>
        <w:t>，</w:t>
      </w:r>
      <w:r>
        <w:rPr>
          <w:rFonts w:eastAsia="宋体"/>
        </w:rPr>
        <w:t>并通过科学的管理</w:t>
      </w:r>
      <w:r>
        <w:rPr>
          <w:rFonts w:hint="eastAsia" w:eastAsia="宋体"/>
        </w:rPr>
        <w:t>，</w:t>
      </w:r>
      <w:r>
        <w:rPr>
          <w:rFonts w:eastAsia="宋体"/>
        </w:rPr>
        <w:t>严格控制污染物的达标排放</w:t>
      </w:r>
      <w:r>
        <w:rPr>
          <w:rFonts w:hint="eastAsia" w:eastAsia="宋体"/>
        </w:rPr>
        <w:t>；</w:t>
      </w:r>
      <w:r>
        <w:rPr>
          <w:rFonts w:eastAsia="宋体"/>
        </w:rPr>
        <w:t>促进企业减少原料、燃料、水资源等能源消耗</w:t>
      </w:r>
      <w:r>
        <w:rPr>
          <w:rFonts w:hint="eastAsia" w:eastAsia="宋体"/>
        </w:rPr>
        <w:t>，</w:t>
      </w:r>
      <w:r>
        <w:rPr>
          <w:rFonts w:eastAsia="宋体"/>
        </w:rPr>
        <w:t>提高产率、降低成本</w:t>
      </w:r>
      <w:r>
        <w:rPr>
          <w:rFonts w:hint="eastAsia" w:eastAsia="宋体"/>
        </w:rPr>
        <w:t>，</w:t>
      </w:r>
      <w:r>
        <w:rPr>
          <w:rFonts w:eastAsia="宋体"/>
        </w:rPr>
        <w:t>从而最大限度地减少污染物的排放</w:t>
      </w:r>
      <w:r>
        <w:rPr>
          <w:rFonts w:hint="eastAsia" w:eastAsia="宋体"/>
        </w:rPr>
        <w:t>，</w:t>
      </w:r>
      <w:r>
        <w:rPr>
          <w:rFonts w:eastAsia="宋体"/>
        </w:rPr>
        <w:t>减轻对环境的污染</w:t>
      </w:r>
      <w:r>
        <w:rPr>
          <w:rFonts w:hint="eastAsia" w:eastAsia="宋体"/>
        </w:rPr>
        <w:t>，</w:t>
      </w:r>
      <w:r>
        <w:rPr>
          <w:rFonts w:eastAsia="宋体"/>
        </w:rPr>
        <w:t>努力做到经济、社会和环境效益的和谐统一</w:t>
      </w:r>
      <w:r>
        <w:rPr>
          <w:rFonts w:hint="eastAsia" w:eastAsia="宋体"/>
        </w:rPr>
        <w:t>。</w:t>
      </w:r>
    </w:p>
    <w:p>
      <w:pPr>
        <w:pStyle w:val="361"/>
        <w:widowControl w:val="0"/>
        <w:spacing w:line="440" w:lineRule="atLeast"/>
        <w:ind w:firstLineChars="200"/>
        <w:jc w:val="both"/>
        <w:rPr>
          <w:rFonts w:eastAsia="宋体"/>
        </w:rPr>
      </w:pPr>
      <w:r>
        <w:rPr>
          <w:rFonts w:eastAsia="宋体"/>
        </w:rPr>
        <w:t>根据环境管理要求</w:t>
      </w:r>
      <w:r>
        <w:rPr>
          <w:rFonts w:hint="eastAsia" w:eastAsia="宋体"/>
        </w:rPr>
        <w:t>，</w:t>
      </w:r>
      <w:r>
        <w:rPr>
          <w:rFonts w:eastAsia="宋体"/>
        </w:rPr>
        <w:t>繁峙县</w:t>
      </w:r>
      <w:r>
        <w:rPr>
          <w:rFonts w:hint="eastAsia" w:eastAsia="宋体"/>
        </w:rPr>
        <w:t>东胜砖厂</w:t>
      </w:r>
      <w:r>
        <w:rPr>
          <w:rFonts w:eastAsia="宋体"/>
        </w:rPr>
        <w:t>应设置专门的环保机构</w:t>
      </w:r>
      <w:r>
        <w:rPr>
          <w:rFonts w:hint="eastAsia" w:eastAsia="宋体"/>
        </w:rPr>
        <w:t>，</w:t>
      </w:r>
      <w:r>
        <w:rPr>
          <w:rFonts w:eastAsia="宋体"/>
        </w:rPr>
        <w:t>负责研究、制定和管理单位内部的有关环保事宜</w:t>
      </w:r>
      <w:r>
        <w:rPr>
          <w:rFonts w:hint="eastAsia" w:eastAsia="宋体"/>
        </w:rPr>
        <w:t>。</w:t>
      </w:r>
      <w:r>
        <w:rPr>
          <w:rFonts w:eastAsia="宋体"/>
        </w:rPr>
        <w:t>繁峙县</w:t>
      </w:r>
      <w:r>
        <w:rPr>
          <w:rFonts w:hint="eastAsia" w:eastAsia="宋体"/>
        </w:rPr>
        <w:t>东胜砖厂</w:t>
      </w:r>
      <w:r>
        <w:rPr>
          <w:rFonts w:eastAsia="宋体"/>
        </w:rPr>
        <w:t>应建立有以</w:t>
      </w:r>
      <w:r>
        <w:rPr>
          <w:rFonts w:hint="eastAsia" w:eastAsia="宋体"/>
        </w:rPr>
        <w:t>厂长</w:t>
      </w:r>
      <w:r>
        <w:rPr>
          <w:rFonts w:eastAsia="宋体"/>
        </w:rPr>
        <w:t>负责</w:t>
      </w:r>
      <w:r>
        <w:rPr>
          <w:rFonts w:hint="eastAsia" w:eastAsia="宋体"/>
        </w:rPr>
        <w:t>，</w:t>
      </w:r>
      <w:r>
        <w:rPr>
          <w:rFonts w:eastAsia="宋体"/>
        </w:rPr>
        <w:t>副</w:t>
      </w:r>
      <w:r>
        <w:rPr>
          <w:rFonts w:hint="eastAsia" w:eastAsia="宋体"/>
        </w:rPr>
        <w:t>厂</w:t>
      </w:r>
      <w:r>
        <w:rPr>
          <w:rFonts w:eastAsia="宋体"/>
        </w:rPr>
        <w:t>长兼管环保工作</w:t>
      </w:r>
      <w:r>
        <w:rPr>
          <w:rFonts w:hint="eastAsia" w:eastAsia="宋体"/>
        </w:rPr>
        <w:t>，</w:t>
      </w:r>
      <w:r>
        <w:rPr>
          <w:rFonts w:eastAsia="宋体"/>
        </w:rPr>
        <w:t>各职能部门各负其职的环境管理体系</w:t>
      </w:r>
      <w:r>
        <w:rPr>
          <w:rFonts w:hint="eastAsia" w:eastAsia="宋体"/>
        </w:rPr>
        <w:t>。</w:t>
      </w:r>
      <w:r>
        <w:rPr>
          <w:rFonts w:eastAsia="宋体"/>
        </w:rPr>
        <w:t>设置环保科</w:t>
      </w:r>
      <w:r>
        <w:rPr>
          <w:rFonts w:hint="eastAsia" w:eastAsia="宋体"/>
        </w:rPr>
        <w:t>，</w:t>
      </w:r>
      <w:r>
        <w:rPr>
          <w:rFonts w:eastAsia="宋体"/>
        </w:rPr>
        <w:t>设科长一名</w:t>
      </w:r>
      <w:r>
        <w:rPr>
          <w:rFonts w:hint="eastAsia" w:eastAsia="宋体"/>
        </w:rPr>
        <w:t>，</w:t>
      </w:r>
      <w:r>
        <w:rPr>
          <w:rFonts w:eastAsia="宋体"/>
        </w:rPr>
        <w:t>科员二名</w:t>
      </w:r>
      <w:r>
        <w:rPr>
          <w:rFonts w:hint="eastAsia" w:eastAsia="宋体"/>
        </w:rPr>
        <w:t>，</w:t>
      </w:r>
      <w:r>
        <w:rPr>
          <w:rFonts w:eastAsia="宋体"/>
        </w:rPr>
        <w:t>共三人共同负责全矿的环境管理和监测及污染治理工作</w:t>
      </w:r>
      <w:r>
        <w:rPr>
          <w:rFonts w:hint="eastAsia" w:eastAsia="宋体"/>
        </w:rPr>
        <w:t>，</w:t>
      </w:r>
      <w:r>
        <w:rPr>
          <w:rFonts w:eastAsia="宋体"/>
        </w:rPr>
        <w:t>本厂环境管理组织结构见图8-1-1</w:t>
      </w:r>
      <w:r>
        <w:rPr>
          <w:rFonts w:hint="eastAsia" w:eastAsia="宋体"/>
        </w:rPr>
        <w:t>。</w:t>
      </w:r>
    </w:p>
    <w:p>
      <w:pPr>
        <w:tabs>
          <w:tab w:val="left" w:pos="4140"/>
        </w:tabs>
        <w:spacing w:line="440" w:lineRule="exact"/>
        <w:ind w:firstLine="480" w:firstLineChars="200"/>
        <w:jc w:val="center"/>
        <w:rPr>
          <w:rFonts w:eastAsiaTheme="minorEastAsia"/>
        </w:rPr>
      </w:pPr>
      <w:r>
        <mc:AlternateContent>
          <mc:Choice Requires="wpg">
            <w:drawing>
              <wp:anchor distT="0" distB="0" distL="114935" distR="114935" simplePos="0" relativeHeight="251662336" behindDoc="0" locked="0" layoutInCell="1" allowOverlap="1">
                <wp:simplePos x="0" y="0"/>
                <wp:positionH relativeFrom="column">
                  <wp:posOffset>660400</wp:posOffset>
                </wp:positionH>
                <wp:positionV relativeFrom="paragraph">
                  <wp:posOffset>118110</wp:posOffset>
                </wp:positionV>
                <wp:extent cx="4286250" cy="2453640"/>
                <wp:effectExtent l="0" t="0" r="0" b="0"/>
                <wp:wrapTopAndBottom/>
                <wp:docPr id="23" name="组合 23"/>
                <wp:cNvGraphicFramePr/>
                <a:graphic xmlns:a="http://schemas.openxmlformats.org/drawingml/2006/main">
                  <a:graphicData uri="http://schemas.microsoft.com/office/word/2010/wordprocessingGroup">
                    <wpg:wgp>
                      <wpg:cNvGrpSpPr/>
                      <wpg:grpSpPr>
                        <a:xfrm>
                          <a:off x="0" y="0"/>
                          <a:ext cx="4286250" cy="2453640"/>
                          <a:chOff x="2438" y="1590"/>
                          <a:chExt cx="6750" cy="3864"/>
                        </a:xfrm>
                      </wpg:grpSpPr>
                      <wps:wsp>
                        <wps:cNvPr id="5" name="直接连接符 5"/>
                        <wps:cNvCnPr/>
                        <wps:spPr>
                          <a:xfrm>
                            <a:off x="3413" y="4534"/>
                            <a:ext cx="0" cy="452"/>
                          </a:xfrm>
                          <a:prstGeom prst="line">
                            <a:avLst/>
                          </a:prstGeom>
                          <a:ln w="19050" cap="flat" cmpd="sng">
                            <a:solidFill>
                              <a:srgbClr val="000000"/>
                            </a:solidFill>
                            <a:prstDash val="solid"/>
                            <a:headEnd type="none" w="med" len="med"/>
                            <a:tailEnd type="triangle" w="med" len="med"/>
                          </a:ln>
                        </wps:spPr>
                        <wps:bodyPr/>
                      </wps:wsp>
                      <wps:wsp>
                        <wps:cNvPr id="10" name="直接连接符 10"/>
                        <wps:cNvCnPr/>
                        <wps:spPr>
                          <a:xfrm>
                            <a:off x="8138" y="4534"/>
                            <a:ext cx="0" cy="452"/>
                          </a:xfrm>
                          <a:prstGeom prst="line">
                            <a:avLst/>
                          </a:prstGeom>
                          <a:ln w="19050" cap="flat" cmpd="sng">
                            <a:solidFill>
                              <a:srgbClr val="000000"/>
                            </a:solidFill>
                            <a:prstDash val="solid"/>
                            <a:headEnd type="none" w="med" len="med"/>
                            <a:tailEnd type="triangle" w="med" len="med"/>
                          </a:ln>
                        </wps:spPr>
                        <wps:bodyPr/>
                      </wps:wsp>
                      <wps:wsp>
                        <wps:cNvPr id="11" name="直接连接符 11"/>
                        <wps:cNvCnPr/>
                        <wps:spPr>
                          <a:xfrm>
                            <a:off x="3413" y="4518"/>
                            <a:ext cx="4725" cy="0"/>
                          </a:xfrm>
                          <a:prstGeom prst="line">
                            <a:avLst/>
                          </a:prstGeom>
                          <a:ln w="19050" cap="flat" cmpd="sng">
                            <a:solidFill>
                              <a:srgbClr val="000000"/>
                            </a:solidFill>
                            <a:prstDash val="solid"/>
                            <a:headEnd type="none" w="med" len="med"/>
                            <a:tailEnd type="none" w="med" len="med"/>
                          </a:ln>
                        </wps:spPr>
                        <wps:bodyPr/>
                      </wps:wsp>
                      <wps:wsp>
                        <wps:cNvPr id="12" name="直接连接符 12"/>
                        <wps:cNvCnPr/>
                        <wps:spPr>
                          <a:xfrm>
                            <a:off x="5723" y="4050"/>
                            <a:ext cx="0" cy="468"/>
                          </a:xfrm>
                          <a:prstGeom prst="line">
                            <a:avLst/>
                          </a:prstGeom>
                          <a:ln w="19050" cap="flat" cmpd="sng">
                            <a:solidFill>
                              <a:srgbClr val="000000"/>
                            </a:solidFill>
                            <a:prstDash val="solid"/>
                            <a:headEnd type="none" w="med" len="med"/>
                            <a:tailEnd type="triangle" w="med" len="med"/>
                          </a:ln>
                        </wps:spPr>
                        <wps:bodyPr/>
                      </wps:wsp>
                      <wps:wsp>
                        <wps:cNvPr id="13" name="直接连接符 13"/>
                        <wps:cNvCnPr/>
                        <wps:spPr>
                          <a:xfrm flipH="1">
                            <a:off x="5703" y="2077"/>
                            <a:ext cx="10" cy="525"/>
                          </a:xfrm>
                          <a:prstGeom prst="line">
                            <a:avLst/>
                          </a:prstGeom>
                          <a:ln w="19050" cap="flat" cmpd="sng">
                            <a:solidFill>
                              <a:srgbClr val="000000"/>
                            </a:solidFill>
                            <a:prstDash val="solid"/>
                            <a:headEnd type="none" w="med" len="med"/>
                            <a:tailEnd type="triangle" w="med" len="med"/>
                          </a:ln>
                        </wps:spPr>
                        <wps:bodyPr/>
                      </wps:wsp>
                      <wps:wsp>
                        <wps:cNvPr id="14" name="直接连接符 14"/>
                        <wps:cNvCnPr/>
                        <wps:spPr>
                          <a:xfrm>
                            <a:off x="5703" y="3030"/>
                            <a:ext cx="0" cy="552"/>
                          </a:xfrm>
                          <a:prstGeom prst="line">
                            <a:avLst/>
                          </a:prstGeom>
                          <a:ln w="19050" cap="flat" cmpd="sng">
                            <a:solidFill>
                              <a:srgbClr val="000000"/>
                            </a:solidFill>
                            <a:prstDash val="solid"/>
                            <a:headEnd type="none" w="med" len="med"/>
                            <a:tailEnd type="triangle" w="med" len="med"/>
                          </a:ln>
                        </wps:spPr>
                        <wps:bodyPr/>
                      </wps:wsp>
                      <wps:wsp>
                        <wps:cNvPr id="15" name="文本框 15"/>
                        <wps:cNvSpPr txBox="1"/>
                        <wps:spPr>
                          <a:xfrm>
                            <a:off x="4778" y="1590"/>
                            <a:ext cx="1995"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80" w:lineRule="exact"/>
                                <w:jc w:val="center"/>
                                <w:rPr>
                                  <w:rFonts w:ascii="华文中宋" w:hAnsi="华文中宋" w:eastAsia="华文中宋"/>
                                </w:rPr>
                              </w:pPr>
                              <w:r>
                                <w:rPr>
                                  <w:rFonts w:hint="eastAsia" w:ascii="宋体" w:hAnsi="宋体" w:cs="宋体"/>
                                </w:rPr>
                                <w:t>厂  长</w:t>
                              </w:r>
                            </w:p>
                          </w:txbxContent>
                        </wps:txbx>
                        <wps:bodyPr upright="1"/>
                      </wps:wsp>
                      <wps:wsp>
                        <wps:cNvPr id="17" name="文本框 17"/>
                        <wps:cNvSpPr txBox="1"/>
                        <wps:spPr>
                          <a:xfrm>
                            <a:off x="4028" y="2616"/>
                            <a:ext cx="336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80" w:lineRule="exact"/>
                                <w:rPr>
                                  <w:rFonts w:ascii="宋体" w:hAnsi="宋体" w:cs="宋体"/>
                                </w:rPr>
                              </w:pPr>
                              <w:r>
                                <w:rPr>
                                  <w:rFonts w:hint="eastAsia" w:ascii="宋体" w:hAnsi="宋体" w:cs="宋体"/>
                                </w:rPr>
                                <w:t>生产副厂长、主管环保副厂长</w:t>
                              </w:r>
                            </w:p>
                          </w:txbxContent>
                        </wps:txbx>
                        <wps:bodyPr upright="1"/>
                      </wps:wsp>
                      <wps:wsp>
                        <wps:cNvPr id="18" name="文本框 18"/>
                        <wps:cNvSpPr txBox="1"/>
                        <wps:spPr>
                          <a:xfrm>
                            <a:off x="4673" y="3582"/>
                            <a:ext cx="1995"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80" w:lineRule="exact"/>
                                <w:jc w:val="center"/>
                                <w:rPr>
                                  <w:rFonts w:ascii="宋体" w:hAnsi="宋体" w:cs="宋体"/>
                                </w:rPr>
                              </w:pPr>
                              <w:r>
                                <w:rPr>
                                  <w:rFonts w:hint="eastAsia" w:ascii="宋体" w:hAnsi="宋体" w:cs="宋体"/>
                                </w:rPr>
                                <w:t>环保科科长</w:t>
                              </w:r>
                            </w:p>
                            <w:p>
                              <w:pPr>
                                <w:spacing w:line="280" w:lineRule="exact"/>
                                <w:rPr>
                                  <w:rFonts w:ascii="华文中宋" w:hAnsi="华文中宋" w:eastAsia="华文中宋"/>
                                </w:rPr>
                              </w:pPr>
                            </w:p>
                          </w:txbxContent>
                        </wps:txbx>
                        <wps:bodyPr upright="1"/>
                      </wps:wsp>
                      <wps:wsp>
                        <wps:cNvPr id="20" name="文本框 20"/>
                        <wps:cNvSpPr txBox="1"/>
                        <wps:spPr>
                          <a:xfrm>
                            <a:off x="2438" y="4986"/>
                            <a:ext cx="189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80" w:lineRule="exact"/>
                                <w:jc w:val="center"/>
                                <w:rPr>
                                  <w:rFonts w:ascii="宋体" w:hAnsi="宋体" w:cs="宋体"/>
                                  <w:bCs/>
                                </w:rPr>
                              </w:pPr>
                              <w:r>
                                <w:rPr>
                                  <w:rFonts w:hint="eastAsia" w:ascii="宋体" w:hAnsi="宋体" w:cs="宋体"/>
                                  <w:bCs/>
                                </w:rPr>
                                <w:t>日常环保工作</w:t>
                              </w:r>
                            </w:p>
                          </w:txbxContent>
                        </wps:txbx>
                        <wps:bodyPr upright="1"/>
                      </wps:wsp>
                      <wps:wsp>
                        <wps:cNvPr id="21" name="文本框 21"/>
                        <wps:cNvSpPr txBox="1"/>
                        <wps:spPr>
                          <a:xfrm>
                            <a:off x="7193" y="4986"/>
                            <a:ext cx="1995"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80" w:lineRule="exact"/>
                                <w:jc w:val="center"/>
                                <w:rPr>
                                  <w:rFonts w:ascii="宋体" w:hAnsi="宋体" w:cs="宋体"/>
                                  <w:bCs/>
                                </w:rPr>
                              </w:pPr>
                              <w:r>
                                <w:rPr>
                                  <w:rFonts w:hint="eastAsia" w:ascii="宋体" w:hAnsi="宋体" w:cs="宋体"/>
                                  <w:bCs/>
                                </w:rPr>
                                <w:t>日常环境监测</w:t>
                              </w:r>
                            </w:p>
                          </w:txbxContent>
                        </wps:txbx>
                        <wps:bodyPr upright="1"/>
                      </wps:wsp>
                    </wpg:wgp>
                  </a:graphicData>
                </a:graphic>
              </wp:anchor>
            </w:drawing>
          </mc:Choice>
          <mc:Fallback>
            <w:pict>
              <v:group id="_x0000_s1026" o:spid="_x0000_s1026" o:spt="203" style="position:absolute;left:0pt;margin-left:52pt;margin-top:9.3pt;height:193.2pt;width:337.5pt;mso-wrap-distance-bottom:0pt;mso-wrap-distance-top:0pt;z-index:251662336;mso-width-relative:page;mso-height-relative:page;" coordorigin="2438,1590" coordsize="6750,3864" o:gfxdata="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3raXdkAAAAKAQAADwAAAAAAAAABACAAAAAiAAAAZHJzL2Rvd25yZXYueG1sUEsBAhQA&#10;FAAAAAgAh07iQC1xDLUrBAAA8BoAAA4AAAAAAAAAAQAgAAAAKAEAAGRycy9lMm9Eb2MueG1sUEsF&#10;BgAAAAAGAAYAWQEAAMUHAAAAAA==&#10;">
                <o:lock v:ext="edit" aspectratio="f"/>
                <v:line id="_x0000_s1026" o:spid="_x0000_s1026" o:spt="20" style="position:absolute;left:3413;top:4534;height:452;width:0;" filled="f" stroked="t" coordsize="21600,21600" o:gfxdata="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9yegugAAANo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_x0000_s1026" o:spid="_x0000_s1026" o:spt="20" style="position:absolute;left:8138;top:4534;height:452;width:0;" filled="f" stroked="t" coordsize="21600,21600" o:gfxdata="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0gar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_x0000_s1026" o:spid="_x0000_s1026" o:spt="20" style="position:absolute;left:3413;top:4518;height:0;width:4725;" filled="f" stroked="t" coordsize="21600,21600" o:gfxdata="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tKVvQAA&#10;ANs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_x0000_s1026" o:spid="_x0000_s1026" o:spt="20" style="position:absolute;left:5723;top:4050;height:468;width:0;" filled="f" stroked="t" coordsize="21600,21600" o:gfxdata="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8xuG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_x0000_s1026" o:spid="_x0000_s1026" o:spt="20" style="position:absolute;left:5703;top:2077;flip:x;height:525;width:10;" filled="f" stroked="t" coordsize="21600,21600" o:gfxdata="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SjjX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_x0000_s1026" o:spid="_x0000_s1026" o:spt="20" style="position:absolute;left:5703;top:3030;height:552;width:0;" filled="f" stroked="t" coordsize="21600,21600" o:gfxdata="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1Ymab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v:shape id="_x0000_s1026" o:spid="_x0000_s1026" o:spt="202" type="#_x0000_t202" style="position:absolute;left:4778;top:1590;height:468;width:1995;" fillcolor="#FFFFFF" filled="t" stroked="t" coordsize="21600,21600" o:gfxdata="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vQA6ugAAANs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w:txbxContent>
                      <w:p>
                        <w:pPr>
                          <w:spacing w:line="280" w:lineRule="exact"/>
                          <w:jc w:val="center"/>
                          <w:rPr>
                            <w:rFonts w:ascii="华文中宋" w:hAnsi="华文中宋" w:eastAsia="华文中宋"/>
                          </w:rPr>
                        </w:pPr>
                        <w:r>
                          <w:rPr>
                            <w:rFonts w:hint="eastAsia" w:ascii="宋体" w:hAnsi="宋体" w:cs="宋体"/>
                          </w:rPr>
                          <w:t>厂  长</w:t>
                        </w:r>
                      </w:p>
                    </w:txbxContent>
                  </v:textbox>
                </v:shape>
                <v:shape id="_x0000_s1026" o:spid="_x0000_s1026" o:spt="202" type="#_x0000_t202" style="position:absolute;left:4028;top:2616;height:468;width:3360;" fillcolor="#FFFFFF" filled="t" stroked="t" coordsize="21600,21600" o:gfxdata="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jO9a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w:txbxContent>
                      <w:p>
                        <w:pPr>
                          <w:spacing w:line="280" w:lineRule="exact"/>
                          <w:rPr>
                            <w:rFonts w:ascii="宋体" w:hAnsi="宋体" w:cs="宋体"/>
                          </w:rPr>
                        </w:pPr>
                        <w:r>
                          <w:rPr>
                            <w:rFonts w:hint="eastAsia" w:ascii="宋体" w:hAnsi="宋体" w:cs="宋体"/>
                          </w:rPr>
                          <w:t>生产副厂长、主管环保副厂长</w:t>
                        </w:r>
                      </w:p>
                    </w:txbxContent>
                  </v:textbox>
                </v:shape>
                <v:shape id="_x0000_s1026" o:spid="_x0000_s1026" o:spt="202" type="#_x0000_t202" style="position:absolute;left:4673;top:3582;height:468;width:1995;" fillcolor="#FFFFFF" filled="t" stroked="t" coordsize="21600,21600" o:gfxdata="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yvpLsAAADb&#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w:txbxContent>
                      <w:p>
                        <w:pPr>
                          <w:spacing w:line="280" w:lineRule="exact"/>
                          <w:jc w:val="center"/>
                          <w:rPr>
                            <w:rFonts w:ascii="宋体" w:hAnsi="宋体" w:cs="宋体"/>
                          </w:rPr>
                        </w:pPr>
                        <w:r>
                          <w:rPr>
                            <w:rFonts w:hint="eastAsia" w:ascii="宋体" w:hAnsi="宋体" w:cs="宋体"/>
                          </w:rPr>
                          <w:t>环保科科长</w:t>
                        </w:r>
                      </w:p>
                      <w:p>
                        <w:pPr>
                          <w:spacing w:line="280" w:lineRule="exact"/>
                          <w:rPr>
                            <w:rFonts w:ascii="华文中宋" w:hAnsi="华文中宋" w:eastAsia="华文中宋"/>
                          </w:rPr>
                        </w:pPr>
                      </w:p>
                    </w:txbxContent>
                  </v:textbox>
                </v:shape>
                <v:shape id="_x0000_s1026" o:spid="_x0000_s1026" o:spt="202" type="#_x0000_t202" style="position:absolute;left:2438;top:4986;height:468;width:1890;" fillcolor="#FFFFFF" filled="t" stroked="t" coordsize="21600,21600" o:gfxdata="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maR+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w:txbxContent>
                      <w:p>
                        <w:pPr>
                          <w:spacing w:line="280" w:lineRule="exact"/>
                          <w:jc w:val="center"/>
                          <w:rPr>
                            <w:rFonts w:ascii="宋体" w:hAnsi="宋体" w:cs="宋体"/>
                            <w:bCs/>
                          </w:rPr>
                        </w:pPr>
                        <w:r>
                          <w:rPr>
                            <w:rFonts w:hint="eastAsia" w:ascii="宋体" w:hAnsi="宋体" w:cs="宋体"/>
                            <w:bCs/>
                          </w:rPr>
                          <w:t>日常环保工作</w:t>
                        </w:r>
                      </w:p>
                    </w:txbxContent>
                  </v:textbox>
                </v:shape>
                <v:shape id="_x0000_s1026" o:spid="_x0000_s1026" o:spt="202" type="#_x0000_t202" style="position:absolute;left:7193;top:4986;height:468;width:1995;" fillcolor="#FFFFFF" filled="t" stroked="t" coordsize="21600,21600" o:gfxdata="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qzIS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w:txbxContent>
                      <w:p>
                        <w:pPr>
                          <w:spacing w:line="280" w:lineRule="exact"/>
                          <w:jc w:val="center"/>
                          <w:rPr>
                            <w:rFonts w:ascii="宋体" w:hAnsi="宋体" w:cs="宋体"/>
                            <w:bCs/>
                          </w:rPr>
                        </w:pPr>
                        <w:r>
                          <w:rPr>
                            <w:rFonts w:hint="eastAsia" w:ascii="宋体" w:hAnsi="宋体" w:cs="宋体"/>
                            <w:bCs/>
                          </w:rPr>
                          <w:t>日常环境监测</w:t>
                        </w:r>
                      </w:p>
                    </w:txbxContent>
                  </v:textbox>
                </v:shape>
                <w10:wrap type="topAndBottom"/>
              </v:group>
            </w:pict>
          </mc:Fallback>
        </mc:AlternateContent>
      </w:r>
      <w:r>
        <w:rPr>
          <w:rFonts w:hint="eastAsia" w:eastAsiaTheme="minorEastAsia"/>
        </w:rPr>
        <w:t xml:space="preserve">图8-1-1 </w:t>
      </w:r>
      <w:r>
        <w:rPr>
          <w:bCs/>
        </w:rPr>
        <w:t>环境管理组织机构图</w:t>
      </w:r>
    </w:p>
    <w:p>
      <w:pPr>
        <w:widowControl w:val="0"/>
        <w:tabs>
          <w:tab w:val="left" w:pos="4140"/>
        </w:tabs>
        <w:spacing w:line="440" w:lineRule="exact"/>
        <w:ind w:firstLine="480" w:firstLineChars="200"/>
        <w:jc w:val="both"/>
        <w:rPr>
          <w:rFonts w:eastAsiaTheme="minorEastAsia"/>
        </w:rPr>
      </w:pPr>
      <w:r>
        <w:rPr>
          <w:rFonts w:hint="eastAsia" w:eastAsiaTheme="minorEastAsia"/>
        </w:rPr>
        <w:t>（2）主要职责和任务</w:t>
      </w:r>
    </w:p>
    <w:p>
      <w:pPr>
        <w:pStyle w:val="361"/>
        <w:widowControl w:val="0"/>
        <w:spacing w:line="440" w:lineRule="exact"/>
        <w:ind w:firstLineChars="200"/>
        <w:jc w:val="both"/>
        <w:rPr>
          <w:rFonts w:eastAsia="宋体"/>
        </w:rPr>
      </w:pPr>
      <w:bookmarkStart w:id="365" w:name="_Toc213838532"/>
      <w:r>
        <w:rPr>
          <w:rFonts w:eastAsia="宋体"/>
        </w:rPr>
        <w:t>1</w:t>
      </w:r>
      <w:r>
        <w:rPr>
          <w:rFonts w:hint="eastAsia" w:eastAsia="宋体"/>
        </w:rPr>
        <w:t>）</w:t>
      </w:r>
      <w:r>
        <w:rPr>
          <w:rFonts w:eastAsia="宋体"/>
        </w:rPr>
        <w:t>厂长</w:t>
      </w:r>
      <w:bookmarkEnd w:id="365"/>
    </w:p>
    <w:p>
      <w:pPr>
        <w:pStyle w:val="361"/>
        <w:widowControl w:val="0"/>
        <w:spacing w:line="440" w:lineRule="exact"/>
        <w:ind w:firstLineChars="200"/>
        <w:jc w:val="both"/>
        <w:rPr>
          <w:rFonts w:eastAsia="宋体"/>
        </w:rPr>
      </w:pPr>
      <w:r>
        <w:rPr>
          <w:rFonts w:eastAsia="宋体"/>
        </w:rPr>
        <w:t>①总体负责企业的环境保护工作</w:t>
      </w:r>
      <w:r>
        <w:rPr>
          <w:rFonts w:hint="eastAsia" w:eastAsia="宋体"/>
        </w:rPr>
        <w:t>，</w:t>
      </w:r>
      <w:r>
        <w:rPr>
          <w:rFonts w:eastAsia="宋体"/>
        </w:rPr>
        <w:t>领导各级部门执行国家的环境保护政策</w:t>
      </w:r>
      <w:r>
        <w:rPr>
          <w:rFonts w:hint="eastAsia" w:eastAsia="宋体"/>
        </w:rPr>
        <w:t>；</w:t>
      </w:r>
    </w:p>
    <w:p>
      <w:pPr>
        <w:pStyle w:val="361"/>
        <w:widowControl w:val="0"/>
        <w:spacing w:line="440" w:lineRule="exact"/>
        <w:ind w:firstLineChars="200"/>
        <w:jc w:val="both"/>
        <w:rPr>
          <w:rFonts w:eastAsia="宋体"/>
        </w:rPr>
      </w:pPr>
      <w:r>
        <w:rPr>
          <w:rFonts w:eastAsia="宋体"/>
        </w:rPr>
        <w:t>②负责上报和批准企业环境保护相关的规章制度</w:t>
      </w:r>
      <w:r>
        <w:rPr>
          <w:rFonts w:hint="eastAsia" w:eastAsia="宋体"/>
        </w:rPr>
        <w:t>；</w:t>
      </w:r>
    </w:p>
    <w:p>
      <w:pPr>
        <w:pStyle w:val="361"/>
        <w:widowControl w:val="0"/>
        <w:spacing w:line="440" w:lineRule="exact"/>
        <w:ind w:firstLineChars="200"/>
        <w:jc w:val="both"/>
        <w:rPr>
          <w:rFonts w:eastAsia="宋体"/>
        </w:rPr>
      </w:pPr>
      <w:r>
        <w:rPr>
          <w:rFonts w:eastAsia="宋体"/>
        </w:rPr>
        <w:t>③从企业管理、人事、计划、生产等方面为环境保护工作提供支持</w:t>
      </w:r>
      <w:r>
        <w:rPr>
          <w:rFonts w:hint="eastAsia" w:eastAsia="宋体"/>
        </w:rPr>
        <w:t>；</w:t>
      </w:r>
    </w:p>
    <w:p>
      <w:pPr>
        <w:pStyle w:val="361"/>
        <w:widowControl w:val="0"/>
        <w:spacing w:line="440" w:lineRule="exact"/>
        <w:ind w:firstLineChars="200"/>
        <w:jc w:val="both"/>
        <w:rPr>
          <w:rFonts w:eastAsia="宋体"/>
        </w:rPr>
      </w:pPr>
      <w:r>
        <w:rPr>
          <w:rFonts w:eastAsia="宋体"/>
        </w:rPr>
        <w:t>④从全局、长远的角度对本企业的环境保护工作提出拓展性的要求</w:t>
      </w:r>
      <w:r>
        <w:rPr>
          <w:rFonts w:hint="eastAsia" w:eastAsia="宋体"/>
        </w:rPr>
        <w:t>，</w:t>
      </w:r>
      <w:r>
        <w:rPr>
          <w:rFonts w:eastAsia="宋体"/>
        </w:rPr>
        <w:t>并协调资金支持</w:t>
      </w:r>
      <w:r>
        <w:rPr>
          <w:rFonts w:hint="eastAsia" w:eastAsia="宋体"/>
        </w:rPr>
        <w:t>；</w:t>
      </w:r>
    </w:p>
    <w:p>
      <w:pPr>
        <w:pStyle w:val="361"/>
        <w:widowControl w:val="0"/>
        <w:spacing w:line="440" w:lineRule="exact"/>
        <w:ind w:firstLineChars="200"/>
        <w:jc w:val="both"/>
        <w:rPr>
          <w:rFonts w:eastAsia="宋体"/>
        </w:rPr>
      </w:pPr>
      <w:r>
        <w:rPr>
          <w:rFonts w:eastAsia="宋体"/>
        </w:rPr>
        <w:t>⑤负责向有关行政管理部门汇报本企业环境管理工作</w:t>
      </w:r>
      <w:r>
        <w:rPr>
          <w:rFonts w:hint="eastAsia" w:eastAsia="宋体"/>
        </w:rPr>
        <w:t>。</w:t>
      </w:r>
    </w:p>
    <w:p>
      <w:pPr>
        <w:pStyle w:val="361"/>
        <w:widowControl w:val="0"/>
        <w:spacing w:line="440" w:lineRule="exact"/>
        <w:ind w:firstLineChars="200"/>
        <w:jc w:val="both"/>
        <w:rPr>
          <w:rFonts w:eastAsia="宋体"/>
        </w:rPr>
      </w:pPr>
      <w:r>
        <w:rPr>
          <w:rFonts w:eastAsia="宋体"/>
        </w:rPr>
        <w:t>2</w:t>
      </w:r>
      <w:bookmarkStart w:id="366" w:name="_Toc213838533"/>
      <w:r>
        <w:rPr>
          <w:rFonts w:hint="eastAsia" w:eastAsia="宋体"/>
        </w:rPr>
        <w:t>）</w:t>
      </w:r>
      <w:r>
        <w:rPr>
          <w:rFonts w:eastAsia="宋体"/>
        </w:rPr>
        <w:t>副厂长</w:t>
      </w:r>
      <w:r>
        <w:rPr>
          <w:rFonts w:hint="eastAsia" w:eastAsia="宋体"/>
        </w:rPr>
        <w:t>（</w:t>
      </w:r>
      <w:r>
        <w:rPr>
          <w:rFonts w:eastAsia="宋体"/>
        </w:rPr>
        <w:t>生产及环保</w:t>
      </w:r>
      <w:bookmarkEnd w:id="366"/>
      <w:r>
        <w:rPr>
          <w:rFonts w:hint="eastAsia" w:eastAsia="宋体"/>
        </w:rPr>
        <w:t>）</w:t>
      </w:r>
    </w:p>
    <w:p>
      <w:pPr>
        <w:pStyle w:val="361"/>
        <w:widowControl w:val="0"/>
        <w:spacing w:line="440" w:lineRule="exact"/>
        <w:ind w:firstLineChars="200"/>
        <w:jc w:val="both"/>
        <w:rPr>
          <w:rFonts w:eastAsia="宋体"/>
        </w:rPr>
      </w:pPr>
      <w:r>
        <w:rPr>
          <w:rFonts w:eastAsia="宋体"/>
        </w:rPr>
        <w:t>①协同工作</w:t>
      </w:r>
      <w:r>
        <w:rPr>
          <w:rFonts w:hint="eastAsia" w:eastAsia="宋体"/>
        </w:rPr>
        <w:t>，</w:t>
      </w:r>
      <w:r>
        <w:rPr>
          <w:rFonts w:eastAsia="宋体"/>
        </w:rPr>
        <w:t>领导和指挥制定各部门的环保方案</w:t>
      </w:r>
      <w:r>
        <w:rPr>
          <w:rFonts w:hint="eastAsia" w:eastAsia="宋体"/>
        </w:rPr>
        <w:t>，</w:t>
      </w:r>
      <w:r>
        <w:rPr>
          <w:rFonts w:eastAsia="宋体"/>
        </w:rPr>
        <w:t>同时在环保方案的实施中担任协调、维持、评审和深化的工作</w:t>
      </w:r>
      <w:r>
        <w:rPr>
          <w:rFonts w:hint="eastAsia" w:eastAsia="宋体"/>
        </w:rPr>
        <w:t>；</w:t>
      </w:r>
    </w:p>
    <w:p>
      <w:pPr>
        <w:pStyle w:val="361"/>
        <w:widowControl w:val="0"/>
        <w:spacing w:line="440" w:lineRule="exact"/>
        <w:ind w:firstLineChars="200"/>
        <w:jc w:val="both"/>
        <w:rPr>
          <w:rFonts w:eastAsia="宋体"/>
        </w:rPr>
      </w:pPr>
      <w:r>
        <w:rPr>
          <w:rFonts w:eastAsia="宋体"/>
        </w:rPr>
        <w:t>②在全厂内部推广和宣传环保方案</w:t>
      </w:r>
      <w:r>
        <w:rPr>
          <w:rFonts w:hint="eastAsia" w:eastAsia="宋体"/>
        </w:rPr>
        <w:t>，</w:t>
      </w:r>
      <w:r>
        <w:rPr>
          <w:rFonts w:eastAsia="宋体"/>
        </w:rPr>
        <w:t>收集员工意见和获得他们的支持</w:t>
      </w:r>
      <w:r>
        <w:rPr>
          <w:rFonts w:hint="eastAsia" w:eastAsia="宋体"/>
        </w:rPr>
        <w:t>；</w:t>
      </w:r>
    </w:p>
    <w:p>
      <w:pPr>
        <w:pStyle w:val="361"/>
        <w:widowControl w:val="0"/>
        <w:spacing w:line="440" w:lineRule="exact"/>
        <w:ind w:firstLineChars="200"/>
        <w:jc w:val="both"/>
        <w:rPr>
          <w:rFonts w:eastAsia="宋体"/>
        </w:rPr>
      </w:pPr>
      <w:r>
        <w:rPr>
          <w:rFonts w:eastAsia="宋体"/>
        </w:rPr>
        <w:t>③监督环保方案的进度和实施情况</w:t>
      </w:r>
      <w:r>
        <w:rPr>
          <w:rFonts w:hint="eastAsia" w:eastAsia="宋体"/>
        </w:rPr>
        <w:t>；</w:t>
      </w:r>
    </w:p>
    <w:p>
      <w:pPr>
        <w:pStyle w:val="361"/>
        <w:widowControl w:val="0"/>
        <w:spacing w:line="440" w:lineRule="exact"/>
        <w:ind w:firstLineChars="200"/>
        <w:jc w:val="both"/>
        <w:rPr>
          <w:rFonts w:eastAsia="宋体"/>
        </w:rPr>
      </w:pPr>
      <w:r>
        <w:rPr>
          <w:rFonts w:eastAsia="宋体"/>
        </w:rPr>
        <w:t>④负责组织外部联系</w:t>
      </w:r>
      <w:r>
        <w:rPr>
          <w:rFonts w:hint="eastAsia" w:eastAsia="宋体"/>
        </w:rPr>
        <w:t>，</w:t>
      </w:r>
      <w:r>
        <w:rPr>
          <w:rFonts w:eastAsia="宋体"/>
        </w:rPr>
        <w:t>及时了解、传达有关环保信息</w:t>
      </w:r>
      <w:r>
        <w:rPr>
          <w:rFonts w:hint="eastAsia" w:eastAsia="宋体"/>
        </w:rPr>
        <w:t>。</w:t>
      </w:r>
    </w:p>
    <w:p>
      <w:pPr>
        <w:pStyle w:val="361"/>
        <w:widowControl w:val="0"/>
        <w:spacing w:line="440" w:lineRule="exact"/>
        <w:ind w:firstLineChars="200"/>
        <w:jc w:val="both"/>
        <w:rPr>
          <w:rFonts w:eastAsia="宋体"/>
        </w:rPr>
      </w:pPr>
      <w:r>
        <w:rPr>
          <w:rFonts w:eastAsia="宋体"/>
        </w:rPr>
        <w:t>3</w:t>
      </w:r>
      <w:r>
        <w:rPr>
          <w:rFonts w:hint="eastAsia" w:eastAsia="宋体"/>
        </w:rPr>
        <w:t>）</w:t>
      </w:r>
      <w:r>
        <w:rPr>
          <w:rFonts w:eastAsia="宋体"/>
        </w:rPr>
        <w:t>环保科</w:t>
      </w:r>
    </w:p>
    <w:p>
      <w:pPr>
        <w:pStyle w:val="361"/>
        <w:widowControl w:val="0"/>
        <w:spacing w:line="440" w:lineRule="exact"/>
        <w:ind w:firstLineChars="200"/>
        <w:jc w:val="both"/>
        <w:rPr>
          <w:rFonts w:eastAsia="宋体"/>
        </w:rPr>
      </w:pPr>
      <w:r>
        <w:rPr>
          <w:rFonts w:eastAsia="宋体"/>
        </w:rPr>
        <w:t>负责全厂废气、噪声的监测和固废的管理</w:t>
      </w:r>
      <w:r>
        <w:rPr>
          <w:rFonts w:hint="eastAsia" w:eastAsia="宋体"/>
        </w:rPr>
        <w:t>，</w:t>
      </w:r>
      <w:r>
        <w:rPr>
          <w:rFonts w:eastAsia="宋体"/>
        </w:rPr>
        <w:t>环保科定员2人</w:t>
      </w:r>
      <w:r>
        <w:rPr>
          <w:rFonts w:hint="eastAsia" w:eastAsia="宋体"/>
        </w:rPr>
        <w:t>，</w:t>
      </w:r>
      <w:r>
        <w:rPr>
          <w:rFonts w:eastAsia="宋体"/>
        </w:rPr>
        <w:t>具体职能为：</w:t>
      </w:r>
    </w:p>
    <w:p>
      <w:pPr>
        <w:pStyle w:val="361"/>
        <w:widowControl w:val="0"/>
        <w:spacing w:line="440" w:lineRule="exact"/>
        <w:ind w:firstLineChars="200"/>
        <w:jc w:val="both"/>
        <w:rPr>
          <w:rFonts w:eastAsia="宋体"/>
        </w:rPr>
      </w:pPr>
      <w:r>
        <w:rPr>
          <w:rFonts w:eastAsia="宋体"/>
        </w:rPr>
        <w:t>①全面贯彻落实环保政策</w:t>
      </w:r>
      <w:r>
        <w:rPr>
          <w:rFonts w:hint="eastAsia" w:eastAsia="宋体"/>
        </w:rPr>
        <w:t>，</w:t>
      </w:r>
      <w:r>
        <w:rPr>
          <w:rFonts w:eastAsia="宋体"/>
        </w:rPr>
        <w:t>监督项目的各项环境保护工作</w:t>
      </w:r>
      <w:r>
        <w:rPr>
          <w:rFonts w:hint="eastAsia" w:eastAsia="宋体"/>
        </w:rPr>
        <w:t>；</w:t>
      </w:r>
    </w:p>
    <w:p>
      <w:pPr>
        <w:pStyle w:val="361"/>
        <w:widowControl w:val="0"/>
        <w:spacing w:line="440" w:lineRule="exact"/>
        <w:ind w:firstLineChars="200"/>
        <w:jc w:val="both"/>
        <w:rPr>
          <w:rFonts w:eastAsia="宋体"/>
        </w:rPr>
      </w:pPr>
      <w:r>
        <w:rPr>
          <w:rFonts w:eastAsia="宋体"/>
        </w:rPr>
        <w:t>②制定本企业环境保护的近、远期发展规划和年度工作计划</w:t>
      </w:r>
      <w:r>
        <w:rPr>
          <w:rFonts w:hint="eastAsia" w:eastAsia="宋体"/>
        </w:rPr>
        <w:t>，</w:t>
      </w:r>
      <w:r>
        <w:rPr>
          <w:rFonts w:eastAsia="宋体"/>
        </w:rPr>
        <w:t>制定并检查各项环境保护管理制度及其执行情况</w:t>
      </w:r>
      <w:r>
        <w:rPr>
          <w:rFonts w:hint="eastAsia" w:eastAsia="宋体"/>
        </w:rPr>
        <w:t>；</w:t>
      </w:r>
    </w:p>
    <w:p>
      <w:pPr>
        <w:pStyle w:val="361"/>
        <w:widowControl w:val="0"/>
        <w:spacing w:line="440" w:lineRule="exact"/>
        <w:ind w:firstLineChars="200"/>
        <w:jc w:val="both"/>
        <w:rPr>
          <w:rFonts w:eastAsia="宋体"/>
        </w:rPr>
      </w:pPr>
      <w:r>
        <w:rPr>
          <w:rFonts w:eastAsia="宋体"/>
        </w:rPr>
        <w:t>③根据当地环保部门下达给本企业的环境保护目标和本企业的具体情况</w:t>
      </w:r>
      <w:r>
        <w:rPr>
          <w:rFonts w:hint="eastAsia" w:eastAsia="宋体"/>
        </w:rPr>
        <w:t>，</w:t>
      </w:r>
      <w:r>
        <w:rPr>
          <w:rFonts w:eastAsia="宋体"/>
        </w:rPr>
        <w:t>制定本企业的环境保护目标和实施措施</w:t>
      </w:r>
      <w:r>
        <w:rPr>
          <w:rFonts w:hint="eastAsia" w:eastAsia="宋体"/>
        </w:rPr>
        <w:t>，</w:t>
      </w:r>
      <w:r>
        <w:rPr>
          <w:rFonts w:eastAsia="宋体"/>
        </w:rPr>
        <w:t>并在年度中予以落实</w:t>
      </w:r>
      <w:r>
        <w:rPr>
          <w:rFonts w:hint="eastAsia" w:eastAsia="宋体"/>
        </w:rPr>
        <w:t>；</w:t>
      </w:r>
    </w:p>
    <w:p>
      <w:pPr>
        <w:pStyle w:val="361"/>
        <w:spacing w:line="440" w:lineRule="exact"/>
        <w:ind w:firstLineChars="200"/>
        <w:jc w:val="both"/>
        <w:rPr>
          <w:rFonts w:eastAsia="宋体"/>
        </w:rPr>
      </w:pPr>
      <w:r>
        <w:rPr>
          <w:rFonts w:eastAsia="宋体"/>
        </w:rPr>
        <w:t>④负责建立企业内部环境保护责任制度和考核制度</w:t>
      </w:r>
      <w:r>
        <w:rPr>
          <w:rFonts w:hint="eastAsia" w:eastAsia="宋体"/>
        </w:rPr>
        <w:t>，</w:t>
      </w:r>
      <w:r>
        <w:rPr>
          <w:rFonts w:eastAsia="宋体"/>
        </w:rPr>
        <w:t>协助企业完成围绕环境保护的各项考核指标</w:t>
      </w:r>
      <w:r>
        <w:rPr>
          <w:rFonts w:hint="eastAsia" w:eastAsia="宋体"/>
        </w:rPr>
        <w:t>；</w:t>
      </w:r>
    </w:p>
    <w:p>
      <w:pPr>
        <w:pStyle w:val="361"/>
        <w:spacing w:line="440" w:lineRule="exact"/>
        <w:ind w:firstLineChars="200"/>
        <w:jc w:val="both"/>
        <w:rPr>
          <w:rFonts w:eastAsia="宋体"/>
        </w:rPr>
      </w:pPr>
      <w:r>
        <w:rPr>
          <w:rFonts w:eastAsia="宋体"/>
        </w:rPr>
        <w:t>⑤做好环保设施管理工作</w:t>
      </w:r>
      <w:r>
        <w:rPr>
          <w:rFonts w:hint="eastAsia" w:eastAsia="宋体"/>
        </w:rPr>
        <w:t>，</w:t>
      </w:r>
      <w:r>
        <w:rPr>
          <w:rFonts w:eastAsia="宋体"/>
        </w:rPr>
        <w:t>建立环保设施档案</w:t>
      </w:r>
      <w:r>
        <w:rPr>
          <w:rFonts w:hint="eastAsia" w:eastAsia="宋体"/>
        </w:rPr>
        <w:t>，</w:t>
      </w:r>
      <w:r>
        <w:rPr>
          <w:rFonts w:eastAsia="宋体"/>
        </w:rPr>
        <w:t>保证环保设施按照设计要求运行</w:t>
      </w:r>
      <w:r>
        <w:rPr>
          <w:rFonts w:hint="eastAsia" w:eastAsia="宋体"/>
        </w:rPr>
        <w:t>，</w:t>
      </w:r>
      <w:r>
        <w:rPr>
          <w:rFonts w:eastAsia="宋体"/>
        </w:rPr>
        <w:t>定期检查、定期上报、杜绝擅自拆除和闲置不用的现象发生</w:t>
      </w:r>
      <w:r>
        <w:rPr>
          <w:rFonts w:hint="eastAsia" w:eastAsia="宋体"/>
        </w:rPr>
        <w:t>；</w:t>
      </w:r>
    </w:p>
    <w:p>
      <w:pPr>
        <w:pStyle w:val="361"/>
        <w:spacing w:line="440" w:lineRule="exact"/>
        <w:ind w:firstLineChars="200"/>
        <w:jc w:val="both"/>
        <w:rPr>
          <w:rFonts w:eastAsia="宋体"/>
        </w:rPr>
      </w:pPr>
      <w:r>
        <w:rPr>
          <w:rFonts w:eastAsia="宋体"/>
        </w:rPr>
        <w:t>⑥负责企业环境保护的宣传教育工作</w:t>
      </w:r>
      <w:r>
        <w:rPr>
          <w:rFonts w:hint="eastAsia" w:eastAsia="宋体"/>
        </w:rPr>
        <w:t>，</w:t>
      </w:r>
      <w:r>
        <w:rPr>
          <w:rFonts w:eastAsia="宋体"/>
        </w:rPr>
        <w:t>做好普及环境科学知识和环保法规的宣传</w:t>
      </w:r>
      <w:r>
        <w:rPr>
          <w:rFonts w:hint="eastAsia" w:eastAsia="宋体"/>
        </w:rPr>
        <w:t>，</w:t>
      </w:r>
      <w:r>
        <w:rPr>
          <w:rFonts w:eastAsia="宋体"/>
        </w:rPr>
        <w:t>树立环保法制观念</w:t>
      </w:r>
      <w:r>
        <w:rPr>
          <w:rFonts w:hint="eastAsia" w:eastAsia="宋体"/>
        </w:rPr>
        <w:t>；</w:t>
      </w:r>
    </w:p>
    <w:p>
      <w:pPr>
        <w:pStyle w:val="361"/>
        <w:spacing w:line="440" w:lineRule="exact"/>
        <w:ind w:firstLineChars="200"/>
        <w:jc w:val="both"/>
        <w:rPr>
          <w:rFonts w:eastAsia="宋体"/>
        </w:rPr>
      </w:pPr>
      <w:r>
        <w:rPr>
          <w:rFonts w:eastAsia="宋体"/>
        </w:rPr>
        <w:t>⑦制定环境监测方案并组织实施</w:t>
      </w:r>
      <w:r>
        <w:rPr>
          <w:rFonts w:hint="eastAsia" w:eastAsia="宋体"/>
        </w:rPr>
        <w:t>，</w:t>
      </w:r>
      <w:r>
        <w:rPr>
          <w:rFonts w:eastAsia="宋体"/>
        </w:rPr>
        <w:t>编制监测数据报表</w:t>
      </w:r>
      <w:r>
        <w:rPr>
          <w:rFonts w:hint="eastAsia" w:eastAsia="宋体"/>
        </w:rPr>
        <w:t>，</w:t>
      </w:r>
      <w:r>
        <w:rPr>
          <w:rFonts w:eastAsia="宋体"/>
        </w:rPr>
        <w:t>及时总结上报</w:t>
      </w:r>
      <w:r>
        <w:rPr>
          <w:rFonts w:hint="eastAsia" w:eastAsia="宋体"/>
        </w:rPr>
        <w:t>；</w:t>
      </w:r>
    </w:p>
    <w:p>
      <w:pPr>
        <w:pStyle w:val="361"/>
        <w:spacing w:line="440" w:lineRule="exact"/>
        <w:ind w:firstLineChars="200"/>
        <w:jc w:val="both"/>
        <w:rPr>
          <w:rFonts w:eastAsia="宋体"/>
        </w:rPr>
      </w:pPr>
      <w:r>
        <w:rPr>
          <w:rFonts w:eastAsia="宋体"/>
        </w:rPr>
        <w:t>⑧负责与地方各级环保部门的联系</w:t>
      </w:r>
      <w:r>
        <w:rPr>
          <w:rFonts w:hint="eastAsia" w:eastAsia="宋体"/>
        </w:rPr>
        <w:t>，</w:t>
      </w:r>
      <w:r>
        <w:rPr>
          <w:rFonts w:eastAsia="宋体"/>
        </w:rPr>
        <w:t>按要求上报各项环保报表</w:t>
      </w:r>
      <w:r>
        <w:rPr>
          <w:rFonts w:hint="eastAsia" w:eastAsia="宋体"/>
        </w:rPr>
        <w:t>，</w:t>
      </w:r>
      <w:r>
        <w:rPr>
          <w:rFonts w:eastAsia="宋体"/>
        </w:rPr>
        <w:t>并定时向上级主管部门汇报环保工作情况</w:t>
      </w:r>
      <w:r>
        <w:rPr>
          <w:rFonts w:hint="eastAsia" w:eastAsia="宋体"/>
        </w:rPr>
        <w:t>；</w:t>
      </w:r>
    </w:p>
    <w:p>
      <w:pPr>
        <w:pStyle w:val="361"/>
        <w:spacing w:line="440" w:lineRule="exact"/>
        <w:ind w:firstLineChars="200"/>
        <w:jc w:val="both"/>
        <w:rPr>
          <w:rFonts w:eastAsia="宋体"/>
        </w:rPr>
      </w:pPr>
      <w:r>
        <w:rPr>
          <w:rFonts w:eastAsia="宋体"/>
        </w:rPr>
        <w:t>⑨组织进行企业日常环境保护的管理</w:t>
      </w:r>
      <w:r>
        <w:rPr>
          <w:rFonts w:hint="eastAsia" w:eastAsia="宋体"/>
        </w:rPr>
        <w:t>，</w:t>
      </w:r>
      <w:r>
        <w:rPr>
          <w:rFonts w:eastAsia="宋体"/>
        </w:rPr>
        <w:t>基础设施维护等方面的工作</w:t>
      </w:r>
      <w:r>
        <w:rPr>
          <w:rFonts w:hint="eastAsia" w:eastAsia="宋体"/>
        </w:rPr>
        <w:t>，</w:t>
      </w:r>
      <w:r>
        <w:rPr>
          <w:rFonts w:eastAsia="宋体"/>
        </w:rPr>
        <w:t>包括绿化管理、维护、环境保护设施日常检查、场地内污染防治设施的操作监督等</w:t>
      </w:r>
      <w:r>
        <w:rPr>
          <w:rFonts w:hint="eastAsia" w:eastAsia="宋体"/>
        </w:rPr>
        <w:t>。</w:t>
      </w:r>
    </w:p>
    <w:p>
      <w:pPr>
        <w:pStyle w:val="361"/>
        <w:spacing w:line="440" w:lineRule="exact"/>
        <w:ind w:firstLineChars="200"/>
        <w:jc w:val="both"/>
        <w:rPr>
          <w:rFonts w:eastAsia="宋体"/>
        </w:rPr>
      </w:pPr>
      <w:r>
        <w:rPr>
          <w:rFonts w:eastAsia="宋体"/>
        </w:rPr>
        <w:t>4</w:t>
      </w:r>
      <w:r>
        <w:rPr>
          <w:rFonts w:hint="eastAsia" w:eastAsia="宋体"/>
        </w:rPr>
        <w:t>）</w:t>
      </w:r>
      <w:r>
        <w:rPr>
          <w:rFonts w:eastAsia="宋体"/>
        </w:rPr>
        <w:t>具体生产单位及工作人员</w:t>
      </w:r>
    </w:p>
    <w:p>
      <w:pPr>
        <w:pStyle w:val="361"/>
        <w:spacing w:line="440" w:lineRule="exact"/>
        <w:ind w:firstLineChars="200"/>
        <w:jc w:val="both"/>
        <w:rPr>
          <w:rFonts w:eastAsia="宋体"/>
        </w:rPr>
      </w:pPr>
      <w:r>
        <w:rPr>
          <w:rFonts w:eastAsia="宋体"/>
        </w:rPr>
        <w:t>①严格按照设备操作规程进行操作</w:t>
      </w:r>
      <w:r>
        <w:rPr>
          <w:rFonts w:hint="eastAsia" w:eastAsia="宋体"/>
        </w:rPr>
        <w:t>，</w:t>
      </w:r>
      <w:r>
        <w:rPr>
          <w:rFonts w:eastAsia="宋体"/>
        </w:rPr>
        <w:t>防止生产意外事故的发生</w:t>
      </w:r>
      <w:r>
        <w:rPr>
          <w:rFonts w:hint="eastAsia" w:eastAsia="宋体"/>
        </w:rPr>
        <w:t>；</w:t>
      </w:r>
    </w:p>
    <w:p>
      <w:pPr>
        <w:pStyle w:val="361"/>
        <w:spacing w:line="440" w:lineRule="exact"/>
        <w:ind w:firstLineChars="200"/>
        <w:jc w:val="both"/>
        <w:rPr>
          <w:rFonts w:eastAsia="宋体"/>
        </w:rPr>
      </w:pPr>
      <w:r>
        <w:rPr>
          <w:rFonts w:eastAsia="宋体"/>
        </w:rPr>
        <w:t>②保证环保设备正常高效运行</w:t>
      </w:r>
      <w:r>
        <w:rPr>
          <w:rFonts w:hint="eastAsia" w:eastAsia="宋体"/>
        </w:rPr>
        <w:t>，</w:t>
      </w:r>
      <w:r>
        <w:rPr>
          <w:rFonts w:eastAsia="宋体"/>
        </w:rPr>
        <w:t>按规定进行日常的维护</w:t>
      </w:r>
      <w:r>
        <w:rPr>
          <w:rFonts w:hint="eastAsia" w:eastAsia="宋体"/>
        </w:rPr>
        <w:t>；</w:t>
      </w:r>
    </w:p>
    <w:p>
      <w:pPr>
        <w:pStyle w:val="361"/>
        <w:spacing w:line="440" w:lineRule="exact"/>
        <w:ind w:firstLineChars="200"/>
        <w:jc w:val="both"/>
        <w:rPr>
          <w:rFonts w:eastAsia="宋体"/>
        </w:rPr>
      </w:pPr>
      <w:r>
        <w:rPr>
          <w:rFonts w:eastAsia="宋体"/>
        </w:rPr>
        <w:t>③积极执行上级领导和环保管理部门提出的相关决定</w:t>
      </w:r>
      <w:r>
        <w:rPr>
          <w:rFonts w:hint="eastAsia" w:eastAsia="宋体"/>
        </w:rPr>
        <w:t>；</w:t>
      </w:r>
    </w:p>
    <w:p>
      <w:pPr>
        <w:pStyle w:val="361"/>
        <w:spacing w:line="440" w:lineRule="exact"/>
        <w:ind w:firstLineChars="200"/>
        <w:jc w:val="both"/>
        <w:rPr>
          <w:rFonts w:eastAsia="宋体"/>
        </w:rPr>
      </w:pPr>
      <w:r>
        <w:rPr>
          <w:rFonts w:eastAsia="宋体"/>
        </w:rPr>
        <w:t>④鼓励提出新方法、新思路、新建议</w:t>
      </w:r>
      <w:r>
        <w:rPr>
          <w:rFonts w:hint="eastAsia" w:eastAsia="宋体"/>
        </w:rPr>
        <w:t>，</w:t>
      </w:r>
      <w:r>
        <w:rPr>
          <w:rFonts w:eastAsia="宋体"/>
        </w:rPr>
        <w:t>提倡参与企业环境保护决策</w:t>
      </w:r>
      <w:r>
        <w:rPr>
          <w:rFonts w:hint="eastAsia" w:eastAsia="宋体"/>
        </w:rPr>
        <w:t>；</w:t>
      </w:r>
    </w:p>
    <w:p>
      <w:pPr>
        <w:pStyle w:val="361"/>
        <w:spacing w:line="440" w:lineRule="exact"/>
        <w:ind w:firstLineChars="200"/>
        <w:jc w:val="both"/>
        <w:rPr>
          <w:rFonts w:eastAsia="宋体"/>
        </w:rPr>
      </w:pPr>
      <w:r>
        <w:rPr>
          <w:rFonts w:eastAsia="宋体"/>
        </w:rPr>
        <w:t>⑤特殊情况、特殊问题要及时汇报</w:t>
      </w:r>
      <w:r>
        <w:rPr>
          <w:rFonts w:hint="eastAsia" w:eastAsia="宋体"/>
        </w:rPr>
        <w:t>，</w:t>
      </w:r>
      <w:r>
        <w:rPr>
          <w:rFonts w:eastAsia="宋体"/>
        </w:rPr>
        <w:t>并及时解决</w:t>
      </w:r>
      <w:r>
        <w:rPr>
          <w:rFonts w:hint="eastAsia" w:eastAsia="宋体"/>
        </w:rPr>
        <w:t>。</w:t>
      </w:r>
    </w:p>
    <w:p>
      <w:pPr>
        <w:widowControl w:val="0"/>
        <w:adjustRightInd w:val="0"/>
        <w:snapToGrid w:val="0"/>
        <w:spacing w:before="120" w:beforeLines="50" w:after="120" w:afterLines="50"/>
        <w:jc w:val="both"/>
        <w:outlineLvl w:val="2"/>
        <w:rPr>
          <w:b/>
          <w:kern w:val="2"/>
        </w:rPr>
      </w:pPr>
      <w:r>
        <w:rPr>
          <w:b/>
          <w:kern w:val="2"/>
        </w:rPr>
        <w:t>8.1.</w:t>
      </w:r>
      <w:r>
        <w:rPr>
          <w:rFonts w:hint="eastAsia"/>
          <w:b/>
          <w:kern w:val="2"/>
        </w:rPr>
        <w:t>3</w:t>
      </w:r>
      <w:r>
        <w:rPr>
          <w:b/>
          <w:kern w:val="2"/>
        </w:rPr>
        <w:t>环境管理工作计划</w:t>
      </w:r>
    </w:p>
    <w:p>
      <w:pPr>
        <w:pStyle w:val="361"/>
        <w:widowControl w:val="0"/>
        <w:spacing w:line="440" w:lineRule="exact"/>
        <w:ind w:firstLineChars="200"/>
        <w:jc w:val="both"/>
        <w:rPr>
          <w:rFonts w:eastAsia="宋体"/>
        </w:rPr>
      </w:pPr>
      <w:r>
        <w:rPr>
          <w:rFonts w:eastAsia="宋体"/>
        </w:rPr>
        <w:t>环境管理应贯穿于建设项目从筹建到运行的整个过程</w:t>
      </w:r>
      <w:r>
        <w:rPr>
          <w:rFonts w:hint="eastAsia" w:eastAsia="宋体"/>
        </w:rPr>
        <w:t>，</w:t>
      </w:r>
      <w:r>
        <w:rPr>
          <w:rFonts w:eastAsia="宋体"/>
        </w:rPr>
        <w:t>并对建设项目的不同阶段规定不同阶段的环保内容</w:t>
      </w:r>
      <w:r>
        <w:rPr>
          <w:rFonts w:hint="eastAsia" w:eastAsia="宋体"/>
        </w:rPr>
        <w:t>，</w:t>
      </w:r>
      <w:r>
        <w:rPr>
          <w:rFonts w:eastAsia="宋体"/>
        </w:rPr>
        <w:t>明确不同部门的工作职责</w:t>
      </w:r>
      <w:r>
        <w:rPr>
          <w:rFonts w:hint="eastAsia" w:eastAsia="宋体"/>
        </w:rPr>
        <w:t>。</w:t>
      </w:r>
      <w:r>
        <w:rPr>
          <w:rFonts w:eastAsia="宋体"/>
        </w:rPr>
        <w:t>环境管理工作计划如下：</w:t>
      </w:r>
    </w:p>
    <w:p>
      <w:pPr>
        <w:pStyle w:val="361"/>
        <w:widowControl w:val="0"/>
        <w:spacing w:line="440" w:lineRule="exact"/>
        <w:ind w:firstLineChars="200"/>
        <w:jc w:val="both"/>
        <w:rPr>
          <w:rFonts w:eastAsia="宋体"/>
        </w:rPr>
      </w:pPr>
      <w:r>
        <w:rPr>
          <w:rFonts w:eastAsia="宋体"/>
        </w:rPr>
        <w:t>1</w:t>
      </w:r>
      <w:r>
        <w:rPr>
          <w:rFonts w:hint="eastAsia" w:eastAsia="宋体"/>
        </w:rPr>
        <w:t>）</w:t>
      </w:r>
      <w:r>
        <w:rPr>
          <w:rFonts w:eastAsia="宋体"/>
        </w:rPr>
        <w:t>项目建设前期</w:t>
      </w:r>
    </w:p>
    <w:p>
      <w:pPr>
        <w:pStyle w:val="361"/>
        <w:widowControl w:val="0"/>
        <w:spacing w:line="440" w:lineRule="exact"/>
        <w:ind w:firstLineChars="200"/>
        <w:jc w:val="both"/>
        <w:rPr>
          <w:rFonts w:eastAsia="宋体"/>
        </w:rPr>
      </w:pPr>
      <w:r>
        <w:rPr>
          <w:rFonts w:eastAsia="宋体"/>
        </w:rPr>
        <w:t>①与项目可行性研究同期</w:t>
      </w:r>
      <w:r>
        <w:rPr>
          <w:rFonts w:hint="eastAsia" w:eastAsia="宋体"/>
        </w:rPr>
        <w:t>，</w:t>
      </w:r>
      <w:r>
        <w:rPr>
          <w:rFonts w:eastAsia="宋体"/>
        </w:rPr>
        <w:t>委托进行项目的环境影响评价工作</w:t>
      </w:r>
      <w:r>
        <w:rPr>
          <w:rFonts w:hint="eastAsia" w:eastAsia="宋体"/>
        </w:rPr>
        <w:t>；</w:t>
      </w:r>
    </w:p>
    <w:p>
      <w:pPr>
        <w:pStyle w:val="361"/>
        <w:widowControl w:val="0"/>
        <w:spacing w:line="440" w:lineRule="exact"/>
        <w:ind w:firstLineChars="200"/>
        <w:jc w:val="both"/>
        <w:rPr>
          <w:rFonts w:eastAsia="宋体"/>
        </w:rPr>
      </w:pPr>
      <w:r>
        <w:rPr>
          <w:rFonts w:eastAsia="宋体"/>
        </w:rPr>
        <w:t>②积极配合可研和环评工作所需进行现场调研</w:t>
      </w:r>
      <w:r>
        <w:rPr>
          <w:rFonts w:hint="eastAsia" w:eastAsia="宋体"/>
        </w:rPr>
        <w:t>；</w:t>
      </w:r>
    </w:p>
    <w:p>
      <w:pPr>
        <w:pStyle w:val="361"/>
        <w:widowControl w:val="0"/>
        <w:spacing w:line="440" w:lineRule="exact"/>
        <w:ind w:firstLineChars="200"/>
        <w:jc w:val="both"/>
        <w:rPr>
          <w:rFonts w:eastAsia="宋体"/>
        </w:rPr>
      </w:pPr>
      <w:r>
        <w:rPr>
          <w:rFonts w:eastAsia="宋体"/>
        </w:rPr>
        <w:t>③针对项目的具体情况</w:t>
      </w:r>
      <w:r>
        <w:rPr>
          <w:rFonts w:hint="eastAsia" w:eastAsia="宋体"/>
        </w:rPr>
        <w:t>，</w:t>
      </w:r>
      <w:r>
        <w:rPr>
          <w:rFonts w:eastAsia="宋体"/>
        </w:rPr>
        <w:t>补充完善环境管理与监测制度</w:t>
      </w:r>
      <w:r>
        <w:rPr>
          <w:rFonts w:hint="eastAsia" w:eastAsia="宋体"/>
        </w:rPr>
        <w:t>；</w:t>
      </w:r>
    </w:p>
    <w:p>
      <w:pPr>
        <w:pStyle w:val="361"/>
        <w:widowControl w:val="0"/>
        <w:spacing w:line="440" w:lineRule="exact"/>
        <w:ind w:firstLineChars="200"/>
        <w:jc w:val="both"/>
        <w:rPr>
          <w:rFonts w:eastAsia="宋体"/>
        </w:rPr>
      </w:pPr>
      <w:r>
        <w:rPr>
          <w:rFonts w:eastAsia="宋体"/>
        </w:rPr>
        <w:t>④与设计单位联系</w:t>
      </w:r>
      <w:r>
        <w:rPr>
          <w:rFonts w:hint="eastAsia" w:eastAsia="宋体"/>
        </w:rPr>
        <w:t>，</w:t>
      </w:r>
      <w:r>
        <w:rPr>
          <w:rFonts w:eastAsia="宋体"/>
        </w:rPr>
        <w:t>确定环保设施实施的具体计划</w:t>
      </w:r>
      <w:r>
        <w:rPr>
          <w:rFonts w:hint="eastAsia" w:eastAsia="宋体"/>
        </w:rPr>
        <w:t>。</w:t>
      </w:r>
    </w:p>
    <w:p>
      <w:pPr>
        <w:pStyle w:val="361"/>
        <w:widowControl w:val="0"/>
        <w:spacing w:line="440" w:lineRule="exact"/>
        <w:ind w:firstLineChars="200"/>
        <w:jc w:val="both"/>
        <w:rPr>
          <w:rFonts w:eastAsia="宋体"/>
        </w:rPr>
      </w:pPr>
      <w:r>
        <w:rPr>
          <w:rFonts w:eastAsia="宋体"/>
        </w:rPr>
        <w:t>2</w:t>
      </w:r>
      <w:r>
        <w:rPr>
          <w:rFonts w:hint="eastAsia" w:eastAsia="宋体"/>
        </w:rPr>
        <w:t>）</w:t>
      </w:r>
      <w:r>
        <w:rPr>
          <w:rFonts w:eastAsia="宋体"/>
        </w:rPr>
        <w:t>施工期</w:t>
      </w:r>
    </w:p>
    <w:p>
      <w:pPr>
        <w:pStyle w:val="361"/>
        <w:widowControl w:val="0"/>
        <w:spacing w:line="440" w:lineRule="exact"/>
        <w:ind w:firstLineChars="200"/>
        <w:jc w:val="both"/>
        <w:rPr>
          <w:rFonts w:eastAsia="宋体"/>
        </w:rPr>
      </w:pPr>
      <w:r>
        <w:rPr>
          <w:rFonts w:eastAsia="宋体"/>
        </w:rPr>
        <w:t>①严格执行</w:t>
      </w:r>
      <w:r>
        <w:rPr>
          <w:rFonts w:hint="eastAsia" w:eastAsia="宋体"/>
        </w:rPr>
        <w:t>“</w:t>
      </w:r>
      <w:r>
        <w:rPr>
          <w:rFonts w:eastAsia="宋体"/>
        </w:rPr>
        <w:t>三同时</w:t>
      </w:r>
      <w:r>
        <w:rPr>
          <w:rFonts w:hint="eastAsia" w:eastAsia="宋体"/>
        </w:rPr>
        <w:t>”</w:t>
      </w:r>
      <w:r>
        <w:rPr>
          <w:rFonts w:eastAsia="宋体"/>
        </w:rPr>
        <w:t>制度</w:t>
      </w:r>
      <w:r>
        <w:rPr>
          <w:rFonts w:hint="eastAsia" w:eastAsia="宋体"/>
        </w:rPr>
        <w:t>，</w:t>
      </w:r>
      <w:r>
        <w:rPr>
          <w:rFonts w:eastAsia="宋体"/>
        </w:rPr>
        <w:t>委托进行施工期环境监理工作</w:t>
      </w:r>
      <w:r>
        <w:rPr>
          <w:rFonts w:hint="eastAsia" w:eastAsia="宋体"/>
        </w:rPr>
        <w:t>；</w:t>
      </w:r>
    </w:p>
    <w:p>
      <w:pPr>
        <w:pStyle w:val="361"/>
        <w:widowControl w:val="0"/>
        <w:spacing w:line="440" w:lineRule="exact"/>
        <w:ind w:firstLineChars="200"/>
        <w:jc w:val="both"/>
        <w:rPr>
          <w:rFonts w:eastAsia="宋体"/>
        </w:rPr>
      </w:pPr>
      <w:r>
        <w:rPr>
          <w:rFonts w:eastAsia="宋体"/>
        </w:rPr>
        <w:t>②按照环评报告中提出的要求</w:t>
      </w:r>
      <w:r>
        <w:rPr>
          <w:rFonts w:hint="eastAsia" w:eastAsia="宋体"/>
        </w:rPr>
        <w:t>，</w:t>
      </w:r>
      <w:r>
        <w:rPr>
          <w:rFonts w:eastAsia="宋体"/>
        </w:rPr>
        <w:t>制定出施工期间各项污染的防治计划</w:t>
      </w:r>
      <w:r>
        <w:rPr>
          <w:rFonts w:hint="eastAsia" w:eastAsia="宋体"/>
        </w:rPr>
        <w:t>，</w:t>
      </w:r>
      <w:r>
        <w:rPr>
          <w:rFonts w:eastAsia="宋体"/>
        </w:rPr>
        <w:t>列出污染防治措施实施计划表</w:t>
      </w:r>
      <w:r>
        <w:rPr>
          <w:rFonts w:hint="eastAsia" w:eastAsia="宋体"/>
        </w:rPr>
        <w:t>，</w:t>
      </w:r>
      <w:r>
        <w:rPr>
          <w:rFonts w:eastAsia="宋体"/>
        </w:rPr>
        <w:t>并与当地环保部门签订落实计划的目标责任书</w:t>
      </w:r>
      <w:r>
        <w:rPr>
          <w:rFonts w:hint="eastAsia" w:eastAsia="宋体"/>
        </w:rPr>
        <w:t>；</w:t>
      </w:r>
    </w:p>
    <w:p>
      <w:pPr>
        <w:pStyle w:val="361"/>
        <w:widowControl w:val="0"/>
        <w:spacing w:line="440" w:lineRule="exact"/>
        <w:ind w:firstLineChars="200"/>
        <w:jc w:val="both"/>
        <w:rPr>
          <w:rFonts w:eastAsia="宋体"/>
        </w:rPr>
      </w:pPr>
      <w:r>
        <w:rPr>
          <w:rFonts w:eastAsia="宋体"/>
        </w:rPr>
        <w:t>③切实保证环保治理设施与主体工程同步进行</w:t>
      </w:r>
      <w:r>
        <w:rPr>
          <w:rFonts w:hint="eastAsia" w:eastAsia="宋体"/>
        </w:rPr>
        <w:t>，</w:t>
      </w:r>
      <w:r>
        <w:rPr>
          <w:rFonts w:eastAsia="宋体"/>
        </w:rPr>
        <w:t>建立环保设施施工进度档案</w:t>
      </w:r>
      <w:r>
        <w:rPr>
          <w:rFonts w:hint="eastAsia" w:eastAsia="宋体"/>
        </w:rPr>
        <w:t>，</w:t>
      </w:r>
      <w:r>
        <w:rPr>
          <w:rFonts w:eastAsia="宋体"/>
        </w:rPr>
        <w:t>确保环保工程的正常投产运行</w:t>
      </w:r>
      <w:r>
        <w:rPr>
          <w:rFonts w:hint="eastAsia" w:eastAsia="宋体"/>
        </w:rPr>
        <w:t>；</w:t>
      </w:r>
    </w:p>
    <w:p>
      <w:pPr>
        <w:pStyle w:val="361"/>
        <w:spacing w:line="440" w:lineRule="exact"/>
        <w:ind w:firstLineChars="200"/>
        <w:jc w:val="both"/>
        <w:rPr>
          <w:rFonts w:eastAsia="宋体"/>
        </w:rPr>
      </w:pPr>
      <w:r>
        <w:rPr>
          <w:rFonts w:eastAsia="宋体"/>
        </w:rPr>
        <w:t>④会同施工单位做好工程设施的施工建设、施工档案文件的整理归档等工作</w:t>
      </w:r>
      <w:r>
        <w:rPr>
          <w:rFonts w:hint="eastAsia" w:eastAsia="宋体"/>
        </w:rPr>
        <w:t>，</w:t>
      </w:r>
      <w:r>
        <w:rPr>
          <w:rFonts w:eastAsia="宋体"/>
        </w:rPr>
        <w:t>并将环保工程的施工进度情况上报环保部门</w:t>
      </w:r>
      <w:r>
        <w:rPr>
          <w:rFonts w:hint="eastAsia" w:eastAsia="宋体"/>
        </w:rPr>
        <w:t>；</w:t>
      </w:r>
    </w:p>
    <w:p>
      <w:pPr>
        <w:pStyle w:val="361"/>
        <w:spacing w:line="440" w:lineRule="exact"/>
        <w:ind w:firstLineChars="200"/>
        <w:jc w:val="both"/>
        <w:rPr>
          <w:rFonts w:eastAsia="宋体"/>
        </w:rPr>
      </w:pPr>
      <w:r>
        <w:rPr>
          <w:rFonts w:eastAsia="宋体"/>
        </w:rPr>
        <w:t>⑤项目竣工后</w:t>
      </w:r>
      <w:r>
        <w:rPr>
          <w:rFonts w:hint="eastAsia" w:eastAsia="宋体"/>
        </w:rPr>
        <w:t>，</w:t>
      </w:r>
      <w:r>
        <w:rPr>
          <w:rFonts w:eastAsia="宋体"/>
        </w:rPr>
        <w:t>应督促施工单位及时修整和恢复建设过程中受到破坏的环境</w:t>
      </w:r>
      <w:r>
        <w:rPr>
          <w:rFonts w:hint="eastAsia" w:eastAsia="宋体"/>
        </w:rPr>
        <w:t>。</w:t>
      </w:r>
    </w:p>
    <w:p>
      <w:pPr>
        <w:pStyle w:val="361"/>
        <w:spacing w:line="440" w:lineRule="exact"/>
        <w:ind w:firstLineChars="200"/>
        <w:jc w:val="both"/>
        <w:rPr>
          <w:rFonts w:eastAsia="宋体"/>
        </w:rPr>
      </w:pPr>
      <w:r>
        <w:rPr>
          <w:rFonts w:eastAsia="宋体"/>
        </w:rPr>
        <w:t>3</w:t>
      </w:r>
      <w:r>
        <w:rPr>
          <w:rFonts w:hint="eastAsia" w:eastAsia="宋体"/>
        </w:rPr>
        <w:t>）</w:t>
      </w:r>
      <w:r>
        <w:rPr>
          <w:rFonts w:eastAsia="宋体"/>
        </w:rPr>
        <w:t>运营期</w:t>
      </w:r>
    </w:p>
    <w:p>
      <w:pPr>
        <w:pStyle w:val="361"/>
        <w:spacing w:line="440" w:lineRule="exact"/>
        <w:ind w:firstLineChars="200"/>
        <w:jc w:val="both"/>
        <w:rPr>
          <w:rFonts w:eastAsia="宋体"/>
        </w:rPr>
      </w:pPr>
      <w:r>
        <w:rPr>
          <w:rFonts w:eastAsia="宋体"/>
        </w:rPr>
        <w:t>①严格执行各项环境管理制度</w:t>
      </w:r>
      <w:r>
        <w:rPr>
          <w:rFonts w:hint="eastAsia" w:eastAsia="宋体"/>
        </w:rPr>
        <w:t>，</w:t>
      </w:r>
      <w:r>
        <w:rPr>
          <w:rFonts w:eastAsia="宋体"/>
        </w:rPr>
        <w:t>保证环保设施的正常进行</w:t>
      </w:r>
      <w:r>
        <w:rPr>
          <w:rFonts w:hint="eastAsia" w:eastAsia="宋体"/>
        </w:rPr>
        <w:t>。</w:t>
      </w:r>
    </w:p>
    <w:p>
      <w:pPr>
        <w:pStyle w:val="361"/>
        <w:spacing w:line="440" w:lineRule="exact"/>
        <w:ind w:firstLineChars="200"/>
        <w:jc w:val="both"/>
        <w:rPr>
          <w:rFonts w:eastAsia="宋体"/>
        </w:rPr>
      </w:pPr>
      <w:r>
        <w:rPr>
          <w:rFonts w:eastAsia="宋体"/>
        </w:rPr>
        <w:t>②设立环保设施档案</w:t>
      </w:r>
      <w:r>
        <w:rPr>
          <w:rFonts w:hint="eastAsia" w:eastAsia="宋体"/>
        </w:rPr>
        <w:t>，</w:t>
      </w:r>
      <w:r>
        <w:rPr>
          <w:rFonts w:eastAsia="宋体"/>
        </w:rPr>
        <w:t>对环保设施定期进行检查、维护</w:t>
      </w:r>
      <w:r>
        <w:rPr>
          <w:rFonts w:hint="eastAsia" w:eastAsia="宋体"/>
        </w:rPr>
        <w:t>，</w:t>
      </w:r>
      <w:r>
        <w:rPr>
          <w:rFonts w:eastAsia="宋体"/>
        </w:rPr>
        <w:t>做到勤查、勤记、勤养护</w:t>
      </w:r>
      <w:r>
        <w:rPr>
          <w:rFonts w:hint="eastAsia" w:eastAsia="宋体"/>
        </w:rPr>
        <w:t>；</w:t>
      </w:r>
    </w:p>
    <w:p>
      <w:pPr>
        <w:pStyle w:val="361"/>
        <w:spacing w:line="440" w:lineRule="exact"/>
        <w:ind w:firstLineChars="200"/>
        <w:jc w:val="both"/>
        <w:rPr>
          <w:rFonts w:eastAsia="宋体"/>
        </w:rPr>
      </w:pPr>
      <w:r>
        <w:rPr>
          <w:rFonts w:eastAsia="宋体"/>
        </w:rPr>
        <w:t>③按照监测计划定期组织环境监测</w:t>
      </w:r>
      <w:r>
        <w:rPr>
          <w:rFonts w:hint="eastAsia" w:eastAsia="宋体"/>
        </w:rPr>
        <w:t>，</w:t>
      </w:r>
      <w:r>
        <w:rPr>
          <w:rFonts w:eastAsia="宋体"/>
        </w:rPr>
        <w:t>对污染立即寻找原因</w:t>
      </w:r>
      <w:r>
        <w:rPr>
          <w:rFonts w:hint="eastAsia" w:eastAsia="宋体"/>
        </w:rPr>
        <w:t>，</w:t>
      </w:r>
      <w:r>
        <w:rPr>
          <w:rFonts w:eastAsia="宋体"/>
        </w:rPr>
        <w:t>及时处理</w:t>
      </w:r>
      <w:r>
        <w:rPr>
          <w:rFonts w:hint="eastAsia" w:eastAsia="宋体"/>
        </w:rPr>
        <w:t>；</w:t>
      </w:r>
    </w:p>
    <w:p>
      <w:pPr>
        <w:pStyle w:val="361"/>
        <w:spacing w:line="440" w:lineRule="exact"/>
        <w:ind w:firstLineChars="200"/>
        <w:jc w:val="both"/>
        <w:rPr>
          <w:rFonts w:eastAsia="宋体"/>
        </w:rPr>
      </w:pPr>
      <w:r>
        <w:rPr>
          <w:rFonts w:eastAsia="宋体"/>
        </w:rPr>
        <w:t>④积极配合环保部门的检查、验收</w:t>
      </w:r>
      <w:r>
        <w:rPr>
          <w:rFonts w:hint="eastAsia" w:eastAsia="宋体"/>
        </w:rPr>
        <w:t>。</w:t>
      </w:r>
    </w:p>
    <w:p>
      <w:pPr>
        <w:pStyle w:val="361"/>
        <w:spacing w:line="440" w:lineRule="exact"/>
        <w:ind w:firstLineChars="200"/>
        <w:jc w:val="both"/>
        <w:rPr>
          <w:rFonts w:eastAsia="宋体"/>
        </w:rPr>
      </w:pPr>
      <w:r>
        <w:rPr>
          <w:rFonts w:eastAsia="宋体"/>
        </w:rPr>
        <w:t>在环境管理大方案下</w:t>
      </w:r>
      <w:r>
        <w:rPr>
          <w:rFonts w:hint="eastAsia" w:eastAsia="宋体"/>
        </w:rPr>
        <w:t>，</w:t>
      </w:r>
      <w:r>
        <w:rPr>
          <w:rFonts w:eastAsia="宋体"/>
        </w:rPr>
        <w:t>本项目环境管理工作还应从控制污染物排放</w:t>
      </w:r>
      <w:r>
        <w:rPr>
          <w:rFonts w:hint="eastAsia" w:eastAsia="宋体"/>
        </w:rPr>
        <w:t>，</w:t>
      </w:r>
      <w:r>
        <w:rPr>
          <w:rFonts w:eastAsia="宋体"/>
        </w:rPr>
        <w:t>降低对生态环境影响等方面进行分项控制</w:t>
      </w:r>
      <w:r>
        <w:rPr>
          <w:rFonts w:hint="eastAsia" w:eastAsia="宋体"/>
        </w:rPr>
        <w:t>，</w:t>
      </w:r>
      <w:r>
        <w:rPr>
          <w:rFonts w:eastAsia="宋体"/>
        </w:rPr>
        <w:t>具体方案见表8</w:t>
      </w:r>
      <w:r>
        <w:rPr>
          <w:rFonts w:hint="eastAsia" w:eastAsia="宋体"/>
        </w:rPr>
        <w:t>.</w:t>
      </w:r>
      <w:r>
        <w:rPr>
          <w:rFonts w:eastAsia="宋体"/>
        </w:rPr>
        <w:t>1-1</w:t>
      </w:r>
      <w:r>
        <w:rPr>
          <w:rFonts w:hint="eastAsia" w:eastAsia="宋体"/>
        </w:rPr>
        <w:t>。</w:t>
      </w:r>
    </w:p>
    <w:p>
      <w:pPr>
        <w:pStyle w:val="362"/>
        <w:spacing w:before="120"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 xml:space="preserve">8.1-1 </w:t>
      </w:r>
      <w:r>
        <w:rPr>
          <w:rFonts w:hint="eastAsia" w:ascii="黑体" w:hAnsi="黑体" w:eastAsia="黑体" w:cs="黑体"/>
          <w:sz w:val="21"/>
          <w:szCs w:val="21"/>
        </w:rPr>
        <w:t xml:space="preserve"> 本项目主要环境管理方案表</w:t>
      </w:r>
    </w:p>
    <w:tbl>
      <w:tblPr>
        <w:tblStyle w:val="8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4778"/>
        <w:gridCol w:w="1849"/>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3" w:type="pct"/>
            <w:vAlign w:val="center"/>
          </w:tcPr>
          <w:p>
            <w:pPr>
              <w:pStyle w:val="363"/>
              <w:rPr>
                <w:rFonts w:eastAsia="宋体"/>
              </w:rPr>
            </w:pPr>
            <w:r>
              <w:rPr>
                <w:rFonts w:eastAsia="宋体"/>
              </w:rPr>
              <w:t>环境问题</w:t>
            </w:r>
          </w:p>
        </w:tc>
        <w:tc>
          <w:tcPr>
            <w:tcW w:w="2573" w:type="pct"/>
            <w:vAlign w:val="center"/>
          </w:tcPr>
          <w:p>
            <w:pPr>
              <w:pStyle w:val="363"/>
              <w:rPr>
                <w:rFonts w:eastAsia="宋体"/>
              </w:rPr>
            </w:pPr>
            <w:r>
              <w:rPr>
                <w:rFonts w:eastAsia="宋体"/>
              </w:rPr>
              <w:t>防治措施</w:t>
            </w:r>
          </w:p>
        </w:tc>
        <w:tc>
          <w:tcPr>
            <w:tcW w:w="996" w:type="pct"/>
            <w:vAlign w:val="center"/>
          </w:tcPr>
          <w:p>
            <w:pPr>
              <w:pStyle w:val="363"/>
              <w:rPr>
                <w:rFonts w:eastAsia="宋体"/>
              </w:rPr>
            </w:pPr>
            <w:r>
              <w:rPr>
                <w:rFonts w:eastAsia="宋体"/>
              </w:rPr>
              <w:t>经费</w:t>
            </w:r>
          </w:p>
        </w:tc>
        <w:tc>
          <w:tcPr>
            <w:tcW w:w="796" w:type="pct"/>
            <w:vAlign w:val="center"/>
          </w:tcPr>
          <w:p>
            <w:pPr>
              <w:pStyle w:val="363"/>
              <w:rPr>
                <w:rFonts w:eastAsia="宋体"/>
              </w:rPr>
            </w:pPr>
            <w:r>
              <w:rPr>
                <w:rFonts w:eastAsia="宋体"/>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3" w:type="pct"/>
            <w:vMerge w:val="restart"/>
            <w:vAlign w:val="center"/>
          </w:tcPr>
          <w:p>
            <w:pPr>
              <w:pStyle w:val="363"/>
              <w:rPr>
                <w:rFonts w:eastAsia="宋体"/>
              </w:rPr>
            </w:pPr>
            <w:r>
              <w:rPr>
                <w:rFonts w:eastAsia="宋体"/>
              </w:rPr>
              <w:t>废气排放</w:t>
            </w:r>
          </w:p>
        </w:tc>
        <w:tc>
          <w:tcPr>
            <w:tcW w:w="2573" w:type="pct"/>
            <w:vAlign w:val="center"/>
          </w:tcPr>
          <w:p>
            <w:pPr>
              <w:pStyle w:val="363"/>
              <w:rPr>
                <w:rFonts w:eastAsia="宋体"/>
              </w:rPr>
            </w:pPr>
            <w:r>
              <w:rPr>
                <w:rFonts w:eastAsia="宋体"/>
              </w:rPr>
              <w:t>加强洒水抑尘管理</w:t>
            </w:r>
            <w:r>
              <w:rPr>
                <w:rFonts w:hint="eastAsia" w:eastAsia="宋体"/>
              </w:rPr>
              <w:t>，</w:t>
            </w:r>
            <w:r>
              <w:rPr>
                <w:rFonts w:eastAsia="宋体"/>
              </w:rPr>
              <w:t>减少粉尘排放</w:t>
            </w:r>
          </w:p>
        </w:tc>
        <w:tc>
          <w:tcPr>
            <w:tcW w:w="996" w:type="pct"/>
            <w:vAlign w:val="center"/>
          </w:tcPr>
          <w:p>
            <w:pPr>
              <w:pStyle w:val="363"/>
              <w:rPr>
                <w:rFonts w:eastAsia="宋体"/>
              </w:rPr>
            </w:pPr>
            <w:r>
              <w:rPr>
                <w:rFonts w:eastAsia="宋体"/>
              </w:rPr>
              <w:t>列入环保</w:t>
            </w:r>
            <w:r>
              <w:rPr>
                <w:rFonts w:hint="eastAsia" w:eastAsia="宋体"/>
              </w:rPr>
              <w:t>资金</w:t>
            </w:r>
          </w:p>
        </w:tc>
        <w:tc>
          <w:tcPr>
            <w:tcW w:w="796" w:type="pct"/>
            <w:vAlign w:val="center"/>
          </w:tcPr>
          <w:p>
            <w:pPr>
              <w:pStyle w:val="363"/>
              <w:rPr>
                <w:rFonts w:eastAsia="宋体"/>
              </w:rPr>
            </w:pPr>
            <w:r>
              <w:rPr>
                <w:rFonts w:hint="eastAsia" w:eastAsia="宋体"/>
              </w:rPr>
              <w:t>施工</w:t>
            </w:r>
            <w:r>
              <w:rPr>
                <w:rFonts w:eastAsia="宋体"/>
              </w:rPr>
              <w:t>期</w:t>
            </w:r>
          </w:p>
          <w:p>
            <w:pPr>
              <w:pStyle w:val="363"/>
              <w:rPr>
                <w:rFonts w:eastAsia="宋体"/>
              </w:rPr>
            </w:pPr>
            <w:r>
              <w:rPr>
                <w:rFonts w:hint="eastAsia" w:eastAsia="宋体"/>
              </w:rPr>
              <w:t>运营</w:t>
            </w:r>
            <w:r>
              <w:rPr>
                <w:rFonts w:eastAsia="宋体"/>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3" w:type="pct"/>
            <w:vMerge w:val="continue"/>
            <w:vAlign w:val="center"/>
          </w:tcPr>
          <w:p>
            <w:pPr>
              <w:pStyle w:val="363"/>
              <w:rPr>
                <w:rFonts w:eastAsia="宋体"/>
              </w:rPr>
            </w:pPr>
          </w:p>
        </w:tc>
        <w:tc>
          <w:tcPr>
            <w:tcW w:w="2573" w:type="pct"/>
            <w:vAlign w:val="center"/>
          </w:tcPr>
          <w:p>
            <w:pPr>
              <w:pStyle w:val="363"/>
              <w:rPr>
                <w:rFonts w:eastAsia="宋体"/>
              </w:rPr>
            </w:pPr>
            <w:r>
              <w:rPr>
                <w:rFonts w:eastAsia="宋体"/>
              </w:rPr>
              <w:t>定期性进行生产知识强化</w:t>
            </w:r>
            <w:r>
              <w:rPr>
                <w:rFonts w:hint="eastAsia" w:eastAsia="宋体"/>
              </w:rPr>
              <w:t>，</w:t>
            </w:r>
            <w:r>
              <w:rPr>
                <w:rFonts w:eastAsia="宋体"/>
              </w:rPr>
              <w:t>提高操作人员文化素质及环保意识</w:t>
            </w:r>
          </w:p>
        </w:tc>
        <w:tc>
          <w:tcPr>
            <w:tcW w:w="996" w:type="pct"/>
            <w:vAlign w:val="center"/>
          </w:tcPr>
          <w:p>
            <w:pPr>
              <w:pStyle w:val="363"/>
              <w:rPr>
                <w:rFonts w:eastAsia="宋体"/>
              </w:rPr>
            </w:pPr>
            <w:r>
              <w:rPr>
                <w:rFonts w:hint="eastAsia" w:eastAsia="宋体"/>
              </w:rPr>
              <w:t>基建资金</w:t>
            </w:r>
          </w:p>
        </w:tc>
        <w:tc>
          <w:tcPr>
            <w:tcW w:w="796" w:type="pct"/>
            <w:vAlign w:val="center"/>
          </w:tcPr>
          <w:p>
            <w:pPr>
              <w:pStyle w:val="363"/>
              <w:rPr>
                <w:rFonts w:eastAsia="宋体"/>
              </w:rPr>
            </w:pPr>
            <w:r>
              <w:rPr>
                <w:rFonts w:hint="eastAsia" w:eastAsia="宋体"/>
              </w:rPr>
              <w:t>施工</w:t>
            </w:r>
            <w:r>
              <w:rPr>
                <w:rFonts w:eastAsia="宋体"/>
              </w:rPr>
              <w:t>期</w:t>
            </w:r>
          </w:p>
          <w:p>
            <w:pPr>
              <w:pStyle w:val="363"/>
              <w:rPr>
                <w:rFonts w:eastAsia="宋体"/>
              </w:rPr>
            </w:pPr>
            <w:r>
              <w:rPr>
                <w:rFonts w:hint="eastAsia" w:eastAsia="宋体"/>
              </w:rPr>
              <w:t>运营</w:t>
            </w:r>
            <w:r>
              <w:rPr>
                <w:rFonts w:eastAsia="宋体"/>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3" w:type="pct"/>
            <w:vMerge w:val="continue"/>
            <w:vAlign w:val="center"/>
          </w:tcPr>
          <w:p>
            <w:pPr>
              <w:pStyle w:val="363"/>
              <w:rPr>
                <w:rFonts w:eastAsia="宋体"/>
              </w:rPr>
            </w:pPr>
          </w:p>
        </w:tc>
        <w:tc>
          <w:tcPr>
            <w:tcW w:w="2573" w:type="pct"/>
            <w:vAlign w:val="center"/>
          </w:tcPr>
          <w:p>
            <w:pPr>
              <w:pStyle w:val="363"/>
              <w:rPr>
                <w:rFonts w:eastAsia="宋体"/>
              </w:rPr>
            </w:pPr>
            <w:r>
              <w:rPr>
                <w:rFonts w:eastAsia="宋体"/>
              </w:rPr>
              <w:t>选择滞尘、降噪、对生产中排放污染物有较强抵抗和吸收能力的树种进行种值</w:t>
            </w:r>
            <w:r>
              <w:rPr>
                <w:rFonts w:hint="eastAsia" w:eastAsia="宋体"/>
              </w:rPr>
              <w:t>。</w:t>
            </w:r>
          </w:p>
        </w:tc>
        <w:tc>
          <w:tcPr>
            <w:tcW w:w="996" w:type="pct"/>
            <w:vAlign w:val="center"/>
          </w:tcPr>
          <w:p>
            <w:pPr>
              <w:pStyle w:val="363"/>
              <w:rPr>
                <w:rFonts w:eastAsia="宋体"/>
              </w:rPr>
            </w:pPr>
            <w:r>
              <w:rPr>
                <w:rFonts w:eastAsia="宋体"/>
              </w:rPr>
              <w:t>列入环保</w:t>
            </w:r>
            <w:r>
              <w:rPr>
                <w:rFonts w:hint="eastAsia" w:eastAsia="宋体"/>
              </w:rPr>
              <w:t>资金</w:t>
            </w:r>
          </w:p>
        </w:tc>
        <w:tc>
          <w:tcPr>
            <w:tcW w:w="796" w:type="pct"/>
            <w:vAlign w:val="center"/>
          </w:tcPr>
          <w:p>
            <w:pPr>
              <w:pStyle w:val="363"/>
              <w:rPr>
                <w:rFonts w:eastAsia="宋体"/>
              </w:rPr>
            </w:pPr>
            <w:r>
              <w:rPr>
                <w:rFonts w:hint="eastAsia" w:eastAsia="宋体"/>
              </w:rPr>
              <w:t>施工</w:t>
            </w:r>
            <w:r>
              <w:rPr>
                <w:rFonts w:eastAsia="宋体"/>
              </w:rPr>
              <w:t>期</w:t>
            </w:r>
          </w:p>
          <w:p>
            <w:pPr>
              <w:pStyle w:val="363"/>
              <w:rPr>
                <w:rFonts w:eastAsia="宋体"/>
              </w:rPr>
            </w:pPr>
            <w:r>
              <w:rPr>
                <w:rFonts w:hint="eastAsia" w:eastAsia="宋体"/>
              </w:rPr>
              <w:t>运营</w:t>
            </w:r>
            <w:r>
              <w:rPr>
                <w:rFonts w:eastAsia="宋体"/>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3" w:type="pct"/>
            <w:vAlign w:val="center"/>
          </w:tcPr>
          <w:p>
            <w:pPr>
              <w:pStyle w:val="363"/>
              <w:rPr>
                <w:rFonts w:eastAsia="宋体"/>
              </w:rPr>
            </w:pPr>
            <w:r>
              <w:rPr>
                <w:rFonts w:eastAsia="宋体"/>
              </w:rPr>
              <w:t>废水排放</w:t>
            </w:r>
          </w:p>
        </w:tc>
        <w:tc>
          <w:tcPr>
            <w:tcW w:w="2573" w:type="pct"/>
            <w:vAlign w:val="center"/>
          </w:tcPr>
          <w:p>
            <w:pPr>
              <w:pStyle w:val="363"/>
              <w:rPr>
                <w:rFonts w:eastAsia="宋体"/>
              </w:rPr>
            </w:pPr>
            <w:r>
              <w:rPr>
                <w:rFonts w:eastAsia="宋体"/>
              </w:rPr>
              <w:t>保证废水不外排</w:t>
            </w:r>
            <w:r>
              <w:rPr>
                <w:rFonts w:hint="eastAsia" w:eastAsia="宋体"/>
              </w:rPr>
              <w:t>，</w:t>
            </w:r>
            <w:r>
              <w:rPr>
                <w:rFonts w:eastAsia="宋体"/>
              </w:rPr>
              <w:t>避免污水对周围环境造成影响</w:t>
            </w:r>
          </w:p>
        </w:tc>
        <w:tc>
          <w:tcPr>
            <w:tcW w:w="996" w:type="pct"/>
            <w:vAlign w:val="center"/>
          </w:tcPr>
          <w:p>
            <w:pPr>
              <w:pStyle w:val="363"/>
              <w:rPr>
                <w:rFonts w:eastAsia="宋体"/>
              </w:rPr>
            </w:pPr>
            <w:r>
              <w:rPr>
                <w:rFonts w:hint="eastAsia" w:eastAsia="宋体"/>
              </w:rPr>
              <w:t>列入环保资金</w:t>
            </w:r>
          </w:p>
        </w:tc>
        <w:tc>
          <w:tcPr>
            <w:tcW w:w="796" w:type="pct"/>
            <w:vAlign w:val="center"/>
          </w:tcPr>
          <w:p>
            <w:pPr>
              <w:pStyle w:val="363"/>
              <w:rPr>
                <w:rFonts w:eastAsia="宋体"/>
              </w:rPr>
            </w:pPr>
            <w:r>
              <w:rPr>
                <w:rFonts w:eastAsia="宋体"/>
              </w:rPr>
              <w:t>施工期</w:t>
            </w:r>
          </w:p>
          <w:p>
            <w:pPr>
              <w:pStyle w:val="363"/>
              <w:rPr>
                <w:rFonts w:eastAsia="宋体"/>
              </w:rPr>
            </w:pPr>
            <w:r>
              <w:rPr>
                <w:rFonts w:hint="eastAsia" w:eastAsia="宋体"/>
              </w:rPr>
              <w:t>运营</w:t>
            </w:r>
            <w:r>
              <w:rPr>
                <w:rFonts w:eastAsia="宋体"/>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3" w:type="pct"/>
            <w:vAlign w:val="center"/>
          </w:tcPr>
          <w:p>
            <w:pPr>
              <w:pStyle w:val="363"/>
              <w:rPr>
                <w:rFonts w:eastAsia="宋体"/>
              </w:rPr>
            </w:pPr>
            <w:r>
              <w:rPr>
                <w:rFonts w:eastAsia="宋体"/>
              </w:rPr>
              <w:t>固体废物</w:t>
            </w:r>
          </w:p>
        </w:tc>
        <w:tc>
          <w:tcPr>
            <w:tcW w:w="2573" w:type="pct"/>
            <w:vAlign w:val="center"/>
          </w:tcPr>
          <w:p>
            <w:pPr>
              <w:pStyle w:val="363"/>
              <w:rPr>
                <w:rFonts w:eastAsia="宋体"/>
              </w:rPr>
            </w:pPr>
            <w:r>
              <w:rPr>
                <w:rFonts w:eastAsia="宋体"/>
              </w:rPr>
              <w:t>定期运往</w:t>
            </w:r>
            <w:r>
              <w:rPr>
                <w:rFonts w:hint="eastAsia" w:eastAsia="宋体"/>
              </w:rPr>
              <w:t>指定地点</w:t>
            </w:r>
          </w:p>
        </w:tc>
        <w:tc>
          <w:tcPr>
            <w:tcW w:w="996" w:type="pct"/>
            <w:vAlign w:val="center"/>
          </w:tcPr>
          <w:p>
            <w:pPr>
              <w:pStyle w:val="363"/>
              <w:rPr>
                <w:rFonts w:eastAsia="宋体"/>
              </w:rPr>
            </w:pPr>
            <w:r>
              <w:rPr>
                <w:rFonts w:eastAsia="宋体"/>
              </w:rPr>
              <w:t>列入环保资金</w:t>
            </w:r>
          </w:p>
        </w:tc>
        <w:tc>
          <w:tcPr>
            <w:tcW w:w="796" w:type="pct"/>
            <w:vAlign w:val="center"/>
          </w:tcPr>
          <w:p>
            <w:pPr>
              <w:pStyle w:val="363"/>
              <w:rPr>
                <w:rFonts w:eastAsia="宋体"/>
              </w:rPr>
            </w:pPr>
            <w:r>
              <w:rPr>
                <w:rFonts w:eastAsia="宋体"/>
              </w:rPr>
              <w:t>施工期</w:t>
            </w:r>
          </w:p>
          <w:p>
            <w:pPr>
              <w:pStyle w:val="363"/>
              <w:rPr>
                <w:rFonts w:eastAsia="宋体"/>
              </w:rPr>
            </w:pPr>
            <w:r>
              <w:rPr>
                <w:rFonts w:hint="eastAsia" w:eastAsia="宋体"/>
              </w:rPr>
              <w:t>运营</w:t>
            </w:r>
            <w:r>
              <w:rPr>
                <w:rFonts w:eastAsia="宋体"/>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3" w:type="pct"/>
            <w:vMerge w:val="restart"/>
            <w:vAlign w:val="center"/>
          </w:tcPr>
          <w:p>
            <w:pPr>
              <w:pStyle w:val="363"/>
              <w:rPr>
                <w:rFonts w:eastAsia="宋体"/>
              </w:rPr>
            </w:pPr>
            <w:r>
              <w:rPr>
                <w:rFonts w:eastAsia="宋体"/>
              </w:rPr>
              <w:t>噪声</w:t>
            </w:r>
          </w:p>
        </w:tc>
        <w:tc>
          <w:tcPr>
            <w:tcW w:w="2573" w:type="pct"/>
            <w:vAlign w:val="center"/>
          </w:tcPr>
          <w:p>
            <w:pPr>
              <w:pStyle w:val="363"/>
              <w:rPr>
                <w:rFonts w:eastAsia="宋体"/>
              </w:rPr>
            </w:pPr>
            <w:r>
              <w:rPr>
                <w:rFonts w:eastAsia="宋体"/>
              </w:rPr>
              <w:t>对各主要产噪点实施对应的减振、降噪措施</w:t>
            </w:r>
          </w:p>
        </w:tc>
        <w:tc>
          <w:tcPr>
            <w:tcW w:w="996" w:type="pct"/>
            <w:vAlign w:val="center"/>
          </w:tcPr>
          <w:p>
            <w:pPr>
              <w:pStyle w:val="363"/>
              <w:rPr>
                <w:rFonts w:eastAsia="宋体"/>
              </w:rPr>
            </w:pPr>
            <w:r>
              <w:rPr>
                <w:rFonts w:hint="eastAsia" w:eastAsia="宋体"/>
              </w:rPr>
              <w:t>列入环保资金</w:t>
            </w:r>
          </w:p>
        </w:tc>
        <w:tc>
          <w:tcPr>
            <w:tcW w:w="796" w:type="pct"/>
            <w:vAlign w:val="center"/>
          </w:tcPr>
          <w:p>
            <w:pPr>
              <w:pStyle w:val="363"/>
              <w:rPr>
                <w:rFonts w:eastAsia="宋体"/>
              </w:rPr>
            </w:pPr>
            <w:r>
              <w:rPr>
                <w:rFonts w:eastAsia="宋体"/>
              </w:rPr>
              <w:t>施工期</w:t>
            </w:r>
          </w:p>
          <w:p>
            <w:pPr>
              <w:pStyle w:val="363"/>
              <w:rPr>
                <w:rFonts w:eastAsia="宋体"/>
              </w:rPr>
            </w:pPr>
            <w:r>
              <w:rPr>
                <w:rFonts w:hint="eastAsia" w:eastAsia="宋体"/>
              </w:rPr>
              <w:t>运营</w:t>
            </w:r>
            <w:r>
              <w:rPr>
                <w:rFonts w:eastAsia="宋体"/>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3" w:type="pct"/>
            <w:vMerge w:val="continue"/>
            <w:vAlign w:val="center"/>
          </w:tcPr>
          <w:p>
            <w:pPr>
              <w:pStyle w:val="363"/>
              <w:rPr>
                <w:rFonts w:eastAsia="宋体"/>
              </w:rPr>
            </w:pPr>
          </w:p>
        </w:tc>
        <w:tc>
          <w:tcPr>
            <w:tcW w:w="2573" w:type="pct"/>
            <w:vAlign w:val="center"/>
          </w:tcPr>
          <w:p>
            <w:pPr>
              <w:pStyle w:val="363"/>
              <w:rPr>
                <w:rFonts w:eastAsia="宋体"/>
              </w:rPr>
            </w:pPr>
            <w:r>
              <w:rPr>
                <w:rFonts w:eastAsia="宋体"/>
              </w:rPr>
              <w:t>运输道路建设绿化带</w:t>
            </w:r>
            <w:r>
              <w:rPr>
                <w:rFonts w:hint="eastAsia" w:eastAsia="宋体"/>
              </w:rPr>
              <w:t>，</w:t>
            </w:r>
            <w:r>
              <w:rPr>
                <w:rFonts w:eastAsia="宋体"/>
              </w:rPr>
              <w:t>运输车辆路过村庄时减速行使</w:t>
            </w:r>
            <w:r>
              <w:rPr>
                <w:rFonts w:hint="eastAsia" w:eastAsia="宋体"/>
              </w:rPr>
              <w:t>，</w:t>
            </w:r>
            <w:r>
              <w:rPr>
                <w:rFonts w:eastAsia="宋体"/>
              </w:rPr>
              <w:t>限制鸣笛</w:t>
            </w:r>
          </w:p>
        </w:tc>
        <w:tc>
          <w:tcPr>
            <w:tcW w:w="996" w:type="pct"/>
            <w:vAlign w:val="center"/>
          </w:tcPr>
          <w:p>
            <w:pPr>
              <w:pStyle w:val="363"/>
              <w:rPr>
                <w:rFonts w:eastAsia="宋体"/>
              </w:rPr>
            </w:pPr>
            <w:r>
              <w:rPr>
                <w:rFonts w:eastAsia="宋体"/>
              </w:rPr>
              <w:t>基建资金</w:t>
            </w:r>
          </w:p>
        </w:tc>
        <w:tc>
          <w:tcPr>
            <w:tcW w:w="796" w:type="pct"/>
            <w:vAlign w:val="center"/>
          </w:tcPr>
          <w:p>
            <w:pPr>
              <w:pStyle w:val="363"/>
              <w:rPr>
                <w:rFonts w:eastAsia="宋体"/>
              </w:rPr>
            </w:pPr>
            <w:r>
              <w:rPr>
                <w:rFonts w:eastAsia="宋体"/>
              </w:rPr>
              <w:t>施工期</w:t>
            </w:r>
          </w:p>
          <w:p>
            <w:pPr>
              <w:pStyle w:val="363"/>
              <w:rPr>
                <w:rFonts w:eastAsia="宋体"/>
              </w:rPr>
            </w:pPr>
            <w:r>
              <w:rPr>
                <w:rFonts w:hint="eastAsia" w:eastAsia="宋体"/>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3" w:type="pct"/>
            <w:vMerge w:val="continue"/>
            <w:vAlign w:val="center"/>
          </w:tcPr>
          <w:p>
            <w:pPr>
              <w:pStyle w:val="363"/>
              <w:rPr>
                <w:rFonts w:eastAsia="宋体"/>
              </w:rPr>
            </w:pPr>
          </w:p>
        </w:tc>
        <w:tc>
          <w:tcPr>
            <w:tcW w:w="2573" w:type="pct"/>
            <w:vAlign w:val="center"/>
          </w:tcPr>
          <w:p>
            <w:pPr>
              <w:pStyle w:val="363"/>
              <w:rPr>
                <w:rFonts w:eastAsia="宋体"/>
              </w:rPr>
            </w:pPr>
            <w:r>
              <w:rPr>
                <w:rFonts w:eastAsia="宋体"/>
              </w:rPr>
              <w:t>加强日常监督管理</w:t>
            </w:r>
          </w:p>
        </w:tc>
        <w:tc>
          <w:tcPr>
            <w:tcW w:w="996" w:type="pct"/>
            <w:vAlign w:val="center"/>
          </w:tcPr>
          <w:p>
            <w:pPr>
              <w:pStyle w:val="363"/>
              <w:rPr>
                <w:rFonts w:eastAsia="宋体"/>
              </w:rPr>
            </w:pPr>
            <w:r>
              <w:rPr>
                <w:rFonts w:hint="eastAsia" w:eastAsia="宋体"/>
              </w:rPr>
              <w:t>基建资金</w:t>
            </w:r>
          </w:p>
        </w:tc>
        <w:tc>
          <w:tcPr>
            <w:tcW w:w="796" w:type="pct"/>
            <w:vAlign w:val="center"/>
          </w:tcPr>
          <w:p>
            <w:pPr>
              <w:pStyle w:val="363"/>
              <w:rPr>
                <w:rFonts w:eastAsia="宋体"/>
              </w:rPr>
            </w:pPr>
            <w:r>
              <w:rPr>
                <w:rFonts w:hint="eastAsia" w:eastAsia="宋体"/>
              </w:rPr>
              <w:t>运营</w:t>
            </w:r>
            <w:r>
              <w:rPr>
                <w:rFonts w:eastAsia="宋体"/>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3" w:type="pct"/>
            <w:vAlign w:val="center"/>
          </w:tcPr>
          <w:p>
            <w:pPr>
              <w:pStyle w:val="363"/>
              <w:rPr>
                <w:rFonts w:eastAsia="宋体"/>
              </w:rPr>
            </w:pPr>
            <w:r>
              <w:rPr>
                <w:rFonts w:eastAsia="宋体"/>
              </w:rPr>
              <w:t>生态恢复</w:t>
            </w:r>
          </w:p>
        </w:tc>
        <w:tc>
          <w:tcPr>
            <w:tcW w:w="2573" w:type="pct"/>
            <w:vAlign w:val="center"/>
          </w:tcPr>
          <w:p>
            <w:pPr>
              <w:pStyle w:val="363"/>
              <w:rPr>
                <w:rFonts w:eastAsia="宋体"/>
              </w:rPr>
            </w:pPr>
            <w:r>
              <w:rPr>
                <w:rFonts w:eastAsia="宋体"/>
              </w:rPr>
              <w:t>矿山的土地复垦及绿化措施与矿山生产紧密结合</w:t>
            </w:r>
            <w:r>
              <w:rPr>
                <w:rFonts w:hint="eastAsia" w:eastAsia="宋体"/>
              </w:rPr>
              <w:t>，</w:t>
            </w:r>
            <w:r>
              <w:rPr>
                <w:rFonts w:eastAsia="宋体"/>
              </w:rPr>
              <w:t>当一个采矿台段工作终结时</w:t>
            </w:r>
            <w:r>
              <w:rPr>
                <w:rFonts w:hint="eastAsia" w:eastAsia="宋体"/>
              </w:rPr>
              <w:t>，</w:t>
            </w:r>
            <w:r>
              <w:rPr>
                <w:rFonts w:eastAsia="宋体"/>
              </w:rPr>
              <w:t>随即对不再使用的坡面进行土地复垦</w:t>
            </w:r>
            <w:r>
              <w:rPr>
                <w:rFonts w:hint="eastAsia" w:eastAsia="宋体"/>
              </w:rPr>
              <w:t>。</w:t>
            </w:r>
            <w:r>
              <w:rPr>
                <w:rFonts w:eastAsia="宋体"/>
              </w:rPr>
              <w:t>以后按每一个台段顺次进行复垦</w:t>
            </w:r>
            <w:r>
              <w:rPr>
                <w:rFonts w:hint="eastAsia" w:eastAsia="宋体"/>
              </w:rPr>
              <w:t>。</w:t>
            </w:r>
            <w:r>
              <w:rPr>
                <w:rFonts w:eastAsia="宋体"/>
              </w:rPr>
              <w:t>在矿区应种植滞尘能力强的灌木</w:t>
            </w:r>
            <w:r>
              <w:rPr>
                <w:rFonts w:hint="eastAsia" w:eastAsia="宋体"/>
              </w:rPr>
              <w:t>，</w:t>
            </w:r>
            <w:r>
              <w:rPr>
                <w:rFonts w:eastAsia="宋体"/>
              </w:rPr>
              <w:t>在挖填边坡宜铺草皮加固</w:t>
            </w:r>
            <w:r>
              <w:rPr>
                <w:rFonts w:hint="eastAsia" w:eastAsia="宋体"/>
              </w:rPr>
              <w:t>，</w:t>
            </w:r>
            <w:r>
              <w:rPr>
                <w:rFonts w:eastAsia="宋体"/>
              </w:rPr>
              <w:t>坡脚、坡顶宜种植根系发达的灌木</w:t>
            </w:r>
          </w:p>
        </w:tc>
        <w:tc>
          <w:tcPr>
            <w:tcW w:w="996" w:type="pct"/>
            <w:vAlign w:val="center"/>
          </w:tcPr>
          <w:p>
            <w:pPr>
              <w:pStyle w:val="363"/>
              <w:rPr>
                <w:rFonts w:eastAsia="宋体"/>
              </w:rPr>
            </w:pPr>
            <w:r>
              <w:rPr>
                <w:rFonts w:eastAsia="宋体"/>
              </w:rPr>
              <w:t>列入环保资金</w:t>
            </w:r>
          </w:p>
        </w:tc>
        <w:tc>
          <w:tcPr>
            <w:tcW w:w="796" w:type="pct"/>
            <w:vAlign w:val="center"/>
          </w:tcPr>
          <w:p>
            <w:pPr>
              <w:pStyle w:val="363"/>
              <w:rPr>
                <w:rFonts w:eastAsia="宋体"/>
              </w:rPr>
            </w:pPr>
            <w:r>
              <w:rPr>
                <w:rFonts w:hint="eastAsia" w:eastAsia="宋体"/>
              </w:rPr>
              <w:t>运营</w:t>
            </w:r>
            <w:r>
              <w:rPr>
                <w:rFonts w:eastAsia="宋体"/>
              </w:rPr>
              <w:t>期</w:t>
            </w:r>
          </w:p>
        </w:tc>
      </w:tr>
    </w:tbl>
    <w:p>
      <w:pPr>
        <w:widowControl w:val="0"/>
        <w:spacing w:line="440" w:lineRule="exact"/>
        <w:ind w:firstLine="480" w:firstLineChars="200"/>
        <w:jc w:val="both"/>
        <w:rPr>
          <w:kern w:val="2"/>
        </w:rPr>
      </w:pPr>
      <w:r>
        <w:rPr>
          <w:kern w:val="2"/>
        </w:rPr>
        <w:t>另外，还应规范排污口：在矿区“三废”及噪声排放点，设置明显标志，标志的设置应执行《环境保护图形标志排放口》(GB15562.1-1995)及《环境保护图形标志固体废物贮存(处置)场》(GB15562.2-1995)中有关规定。排放口图形标志见表</w:t>
      </w:r>
      <w:r>
        <w:rPr>
          <w:rFonts w:hint="eastAsia"/>
          <w:kern w:val="2"/>
        </w:rPr>
        <w:t>8.</w:t>
      </w:r>
      <w:r>
        <w:rPr>
          <w:kern w:val="2"/>
        </w:rPr>
        <w:t>1-</w:t>
      </w:r>
      <w:r>
        <w:rPr>
          <w:rFonts w:hint="eastAsia"/>
          <w:kern w:val="2"/>
        </w:rPr>
        <w:t>2</w:t>
      </w:r>
      <w:r>
        <w:rPr>
          <w:kern w:val="2"/>
        </w:rPr>
        <w:t>。</w:t>
      </w:r>
    </w:p>
    <w:p>
      <w:pPr>
        <w:widowControl w:val="0"/>
        <w:spacing w:before="240" w:beforeLines="100"/>
        <w:jc w:val="center"/>
        <w:rPr>
          <w:rFonts w:eastAsia="黑体" w:cs="宋体"/>
          <w:bCs/>
          <w:kern w:val="2"/>
          <w:sz w:val="21"/>
        </w:rPr>
      </w:pPr>
    </w:p>
    <w:p>
      <w:pPr>
        <w:widowControl w:val="0"/>
        <w:spacing w:before="240" w:beforeLines="100"/>
        <w:jc w:val="center"/>
        <w:rPr>
          <w:rFonts w:eastAsia="黑体" w:cs="宋体"/>
          <w:bCs/>
          <w:kern w:val="2"/>
          <w:sz w:val="21"/>
        </w:rPr>
      </w:pPr>
    </w:p>
    <w:p>
      <w:pPr>
        <w:widowControl w:val="0"/>
        <w:spacing w:before="240" w:beforeLines="100"/>
        <w:jc w:val="center"/>
        <w:rPr>
          <w:rFonts w:eastAsia="黑体" w:cs="宋体"/>
          <w:bCs/>
          <w:kern w:val="2"/>
          <w:sz w:val="21"/>
        </w:rPr>
      </w:pPr>
    </w:p>
    <w:p>
      <w:pPr>
        <w:widowControl w:val="0"/>
        <w:spacing w:before="240" w:beforeLines="100"/>
        <w:jc w:val="center"/>
        <w:rPr>
          <w:rFonts w:eastAsia="黑体" w:cs="宋体"/>
          <w:bCs/>
          <w:kern w:val="2"/>
          <w:sz w:val="21"/>
        </w:rPr>
      </w:pPr>
      <w:r>
        <w:rPr>
          <w:rFonts w:eastAsia="黑体" w:cs="宋体"/>
          <w:bCs/>
          <w:kern w:val="2"/>
          <w:sz w:val="21"/>
        </w:rPr>
        <w:t>表</w:t>
      </w:r>
      <w:r>
        <w:rPr>
          <w:rFonts w:hint="eastAsia" w:eastAsia="黑体" w:cs="宋体"/>
          <w:bCs/>
          <w:kern w:val="2"/>
          <w:sz w:val="21"/>
        </w:rPr>
        <w:t>8.1-2</w:t>
      </w:r>
      <w:r>
        <w:rPr>
          <w:rFonts w:eastAsia="黑体" w:cs="宋体"/>
          <w:bCs/>
          <w:kern w:val="2"/>
          <w:sz w:val="21"/>
        </w:rPr>
        <w:t xml:space="preserve"> 环境保护图形标志</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2470"/>
        <w:gridCol w:w="2324"/>
        <w:gridCol w:w="2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146" w:type="dxa"/>
            <w:vAlign w:val="center"/>
          </w:tcPr>
          <w:p>
            <w:pPr>
              <w:widowControl w:val="0"/>
              <w:adjustRightInd w:val="0"/>
              <w:snapToGrid w:val="0"/>
              <w:spacing w:line="300" w:lineRule="exact"/>
              <w:jc w:val="center"/>
              <w:rPr>
                <w:kern w:val="2"/>
                <w:sz w:val="21"/>
                <w:szCs w:val="20"/>
              </w:rPr>
            </w:pPr>
            <w:r>
              <w:rPr>
                <w:kern w:val="2"/>
                <w:sz w:val="21"/>
                <w:szCs w:val="20"/>
              </w:rPr>
              <w:t>排放口</w:t>
            </w:r>
          </w:p>
        </w:tc>
        <w:tc>
          <w:tcPr>
            <w:tcW w:w="2470" w:type="dxa"/>
            <w:vAlign w:val="center"/>
          </w:tcPr>
          <w:p>
            <w:pPr>
              <w:widowControl w:val="0"/>
              <w:adjustRightInd w:val="0"/>
              <w:snapToGrid w:val="0"/>
              <w:spacing w:line="300" w:lineRule="exact"/>
              <w:jc w:val="center"/>
              <w:rPr>
                <w:kern w:val="2"/>
                <w:sz w:val="21"/>
                <w:szCs w:val="20"/>
              </w:rPr>
            </w:pPr>
            <w:r>
              <w:rPr>
                <w:kern w:val="2"/>
                <w:sz w:val="21"/>
                <w:szCs w:val="20"/>
              </w:rPr>
              <w:t>噪声源</w:t>
            </w:r>
          </w:p>
        </w:tc>
        <w:tc>
          <w:tcPr>
            <w:tcW w:w="2324" w:type="dxa"/>
            <w:vAlign w:val="center"/>
          </w:tcPr>
          <w:p>
            <w:pPr>
              <w:widowControl w:val="0"/>
              <w:adjustRightInd w:val="0"/>
              <w:snapToGrid w:val="0"/>
              <w:spacing w:line="300" w:lineRule="exact"/>
              <w:jc w:val="center"/>
              <w:rPr>
                <w:kern w:val="2"/>
                <w:sz w:val="21"/>
                <w:szCs w:val="20"/>
              </w:rPr>
            </w:pPr>
            <w:r>
              <w:rPr>
                <w:rFonts w:hint="eastAsia"/>
                <w:kern w:val="2"/>
                <w:sz w:val="21"/>
                <w:szCs w:val="20"/>
              </w:rPr>
              <w:t>危险</w:t>
            </w:r>
            <w:r>
              <w:rPr>
                <w:kern w:val="2"/>
                <w:sz w:val="21"/>
                <w:szCs w:val="20"/>
              </w:rPr>
              <w:t>废物</w:t>
            </w:r>
            <w:r>
              <w:rPr>
                <w:rFonts w:hint="eastAsia"/>
                <w:kern w:val="2"/>
                <w:sz w:val="21"/>
                <w:szCs w:val="20"/>
              </w:rPr>
              <w:t>暂存间</w:t>
            </w:r>
          </w:p>
        </w:tc>
        <w:tc>
          <w:tcPr>
            <w:tcW w:w="2326" w:type="dxa"/>
          </w:tcPr>
          <w:p>
            <w:pPr>
              <w:widowControl w:val="0"/>
              <w:adjustRightInd w:val="0"/>
              <w:snapToGrid w:val="0"/>
              <w:spacing w:line="300" w:lineRule="exact"/>
              <w:jc w:val="center"/>
              <w:rPr>
                <w:kern w:val="2"/>
                <w:sz w:val="21"/>
                <w:szCs w:val="20"/>
              </w:rPr>
            </w:pPr>
            <w:r>
              <w:rPr>
                <w:rFonts w:hint="eastAsia"/>
                <w:kern w:val="2"/>
                <w:sz w:val="21"/>
                <w:szCs w:val="20"/>
              </w:rPr>
              <w:t>废气排污口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2146" w:type="dxa"/>
            <w:vAlign w:val="center"/>
          </w:tcPr>
          <w:p>
            <w:pPr>
              <w:widowControl w:val="0"/>
              <w:adjustRightInd w:val="0"/>
              <w:snapToGrid w:val="0"/>
              <w:spacing w:line="300" w:lineRule="exact"/>
              <w:jc w:val="center"/>
              <w:rPr>
                <w:kern w:val="2"/>
                <w:sz w:val="21"/>
                <w:szCs w:val="20"/>
              </w:rPr>
            </w:pPr>
            <w:r>
              <w:rPr>
                <w:kern w:val="2"/>
                <w:sz w:val="21"/>
                <w:szCs w:val="20"/>
              </w:rPr>
              <w:t>图形符号</w:t>
            </w:r>
          </w:p>
        </w:tc>
        <w:tc>
          <w:tcPr>
            <w:tcW w:w="2470" w:type="dxa"/>
            <w:vAlign w:val="center"/>
          </w:tcPr>
          <w:p>
            <w:pPr>
              <w:widowControl w:val="0"/>
              <w:adjustRightInd w:val="0"/>
              <w:snapToGrid w:val="0"/>
              <w:spacing w:line="300" w:lineRule="exact"/>
              <w:jc w:val="center"/>
              <w:rPr>
                <w:kern w:val="2"/>
                <w:sz w:val="21"/>
                <w:szCs w:val="20"/>
              </w:rPr>
            </w:pPr>
            <w:r>
              <w:rPr>
                <w:kern w:val="2"/>
                <w:sz w:val="21"/>
                <w:szCs w:val="20"/>
              </w:rPr>
              <w:drawing>
                <wp:anchor distT="0" distB="0" distL="114300" distR="114300" simplePos="0" relativeHeight="251664384" behindDoc="0" locked="0" layoutInCell="1" allowOverlap="1">
                  <wp:simplePos x="0" y="0"/>
                  <wp:positionH relativeFrom="column">
                    <wp:posOffset>280035</wp:posOffset>
                  </wp:positionH>
                  <wp:positionV relativeFrom="paragraph">
                    <wp:posOffset>64770</wp:posOffset>
                  </wp:positionV>
                  <wp:extent cx="790575" cy="790575"/>
                  <wp:effectExtent l="0" t="0" r="9525" b="9525"/>
                  <wp:wrapNone/>
                  <wp:docPr id="41" name="Picture 855" descr="噪声排放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855" descr="噪声排放源"/>
                          <pic:cNvPicPr>
                            <a:picLocks noChangeAspect="1"/>
                          </pic:cNvPicPr>
                        </pic:nvPicPr>
                        <pic:blipFill>
                          <a:blip r:embed="rId74"/>
                          <a:stretch>
                            <a:fillRect/>
                          </a:stretch>
                        </pic:blipFill>
                        <pic:spPr>
                          <a:xfrm>
                            <a:off x="0" y="0"/>
                            <a:ext cx="790575" cy="790575"/>
                          </a:xfrm>
                          <a:prstGeom prst="rect">
                            <a:avLst/>
                          </a:prstGeom>
                          <a:noFill/>
                          <a:ln>
                            <a:noFill/>
                          </a:ln>
                        </pic:spPr>
                      </pic:pic>
                    </a:graphicData>
                  </a:graphic>
                </wp:anchor>
              </w:drawing>
            </w:r>
          </w:p>
        </w:tc>
        <w:tc>
          <w:tcPr>
            <w:tcW w:w="2324" w:type="dxa"/>
            <w:vAlign w:val="center"/>
          </w:tcPr>
          <w:p>
            <w:pPr>
              <w:widowControl w:val="0"/>
              <w:adjustRightInd w:val="0"/>
              <w:snapToGrid w:val="0"/>
              <w:spacing w:line="300" w:lineRule="exact"/>
              <w:jc w:val="center"/>
              <w:rPr>
                <w:kern w:val="2"/>
                <w:sz w:val="21"/>
                <w:szCs w:val="20"/>
              </w:rPr>
            </w:pPr>
            <w:r>
              <w:rPr>
                <w:kern w:val="2"/>
                <w:sz w:val="21"/>
                <w:szCs w:val="20"/>
              </w:rPr>
              <w:drawing>
                <wp:anchor distT="0" distB="0" distL="114300" distR="114300" simplePos="0" relativeHeight="251666432" behindDoc="0" locked="0" layoutInCell="1" allowOverlap="1">
                  <wp:simplePos x="0" y="0"/>
                  <wp:positionH relativeFrom="column">
                    <wp:posOffset>154305</wp:posOffset>
                  </wp:positionH>
                  <wp:positionV relativeFrom="paragraph">
                    <wp:posOffset>107315</wp:posOffset>
                  </wp:positionV>
                  <wp:extent cx="963295" cy="838200"/>
                  <wp:effectExtent l="0" t="0" r="8255" b="0"/>
                  <wp:wrapNone/>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75"/>
                          <a:srcRect l="986" t="3606" r="3120"/>
                          <a:stretch>
                            <a:fillRect/>
                          </a:stretch>
                        </pic:blipFill>
                        <pic:spPr>
                          <a:xfrm>
                            <a:off x="0" y="0"/>
                            <a:ext cx="963295" cy="838200"/>
                          </a:xfrm>
                          <a:prstGeom prst="rect">
                            <a:avLst/>
                          </a:prstGeom>
                          <a:noFill/>
                          <a:ln>
                            <a:noFill/>
                          </a:ln>
                        </pic:spPr>
                      </pic:pic>
                    </a:graphicData>
                  </a:graphic>
                </wp:anchor>
              </w:drawing>
            </w:r>
          </w:p>
        </w:tc>
        <w:tc>
          <w:tcPr>
            <w:tcW w:w="2326" w:type="dxa"/>
          </w:tcPr>
          <w:p>
            <w:pPr>
              <w:widowControl w:val="0"/>
              <w:adjustRightInd w:val="0"/>
              <w:snapToGrid w:val="0"/>
              <w:spacing w:line="300" w:lineRule="exact"/>
              <w:jc w:val="center"/>
              <w:rPr>
                <w:kern w:val="2"/>
                <w:sz w:val="21"/>
                <w:szCs w:val="20"/>
              </w:rPr>
            </w:pPr>
            <w:r>
              <w:rPr>
                <w:kern w:val="2"/>
                <w:sz w:val="21"/>
                <w:szCs w:val="20"/>
              </w:rPr>
              <w:drawing>
                <wp:anchor distT="0" distB="0" distL="114300" distR="114300" simplePos="0" relativeHeight="251665408" behindDoc="0" locked="0" layoutInCell="1" allowOverlap="1">
                  <wp:simplePos x="0" y="0"/>
                  <wp:positionH relativeFrom="column">
                    <wp:posOffset>260985</wp:posOffset>
                  </wp:positionH>
                  <wp:positionV relativeFrom="paragraph">
                    <wp:posOffset>120015</wp:posOffset>
                  </wp:positionV>
                  <wp:extent cx="789940" cy="782955"/>
                  <wp:effectExtent l="0" t="0" r="10160" b="17145"/>
                  <wp:wrapNone/>
                  <wp:docPr id="40" name="图片 65" descr="BLJ]VNMNZ3[FSFQ40NE_@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5" descr="BLJ]VNMNZ3[FSFQ40NE_@UD"/>
                          <pic:cNvPicPr>
                            <a:picLocks noChangeAspect="1"/>
                          </pic:cNvPicPr>
                        </pic:nvPicPr>
                        <pic:blipFill>
                          <a:blip r:embed="rId76"/>
                          <a:stretch>
                            <a:fillRect/>
                          </a:stretch>
                        </pic:blipFill>
                        <pic:spPr>
                          <a:xfrm>
                            <a:off x="0" y="0"/>
                            <a:ext cx="789940" cy="782955"/>
                          </a:xfrm>
                          <a:prstGeom prst="rect">
                            <a:avLst/>
                          </a:prstGeom>
                          <a:noFill/>
                          <a:ln>
                            <a:noFill/>
                          </a:ln>
                        </pic:spPr>
                      </pic:pic>
                    </a:graphicData>
                  </a:graphic>
                </wp:anchor>
              </w:drawing>
            </w:r>
          </w:p>
        </w:tc>
      </w:tr>
    </w:tbl>
    <w:p>
      <w:pPr>
        <w:widowControl w:val="0"/>
        <w:adjustRightInd w:val="0"/>
        <w:snapToGrid w:val="0"/>
        <w:spacing w:before="120" w:beforeLines="50" w:after="120" w:afterLines="50"/>
        <w:jc w:val="both"/>
        <w:outlineLvl w:val="2"/>
        <w:rPr>
          <w:b/>
          <w:kern w:val="2"/>
        </w:rPr>
      </w:pPr>
      <w:r>
        <w:rPr>
          <w:b/>
          <w:kern w:val="2"/>
        </w:rPr>
        <w:t>8.1.</w:t>
      </w:r>
      <w:r>
        <w:rPr>
          <w:rFonts w:hint="eastAsia"/>
          <w:b/>
          <w:kern w:val="2"/>
        </w:rPr>
        <w:t>4</w:t>
      </w:r>
      <w:r>
        <w:rPr>
          <w:b/>
          <w:kern w:val="2"/>
        </w:rPr>
        <w:t>环境管理</w:t>
      </w:r>
      <w:r>
        <w:rPr>
          <w:rFonts w:hint="eastAsia"/>
          <w:b/>
          <w:kern w:val="2"/>
        </w:rPr>
        <w:t>制度</w:t>
      </w:r>
    </w:p>
    <w:p>
      <w:pPr>
        <w:pStyle w:val="361"/>
        <w:spacing w:line="440" w:lineRule="exact"/>
        <w:ind w:firstLineChars="200"/>
        <w:jc w:val="both"/>
        <w:rPr>
          <w:rFonts w:eastAsia="宋体"/>
        </w:rPr>
      </w:pPr>
      <w:r>
        <w:rPr>
          <w:rFonts w:eastAsia="宋体"/>
        </w:rPr>
        <w:t>建立健全必要的环境管理规章制度</w:t>
      </w:r>
      <w:r>
        <w:rPr>
          <w:rFonts w:hint="eastAsia" w:eastAsia="宋体"/>
        </w:rPr>
        <w:t>，</w:t>
      </w:r>
      <w:r>
        <w:rPr>
          <w:rFonts w:eastAsia="宋体"/>
        </w:rPr>
        <w:t>并把它作为企业和全体职工必须严格遵守的规范和准则</w:t>
      </w:r>
      <w:r>
        <w:rPr>
          <w:rFonts w:hint="eastAsia" w:eastAsia="宋体"/>
        </w:rPr>
        <w:t>，“</w:t>
      </w:r>
      <w:r>
        <w:rPr>
          <w:rFonts w:eastAsia="宋体"/>
        </w:rPr>
        <w:t>有规可循、执规必严</w:t>
      </w:r>
      <w:r>
        <w:rPr>
          <w:rFonts w:hint="eastAsia" w:eastAsia="宋体"/>
        </w:rPr>
        <w:t>”</w:t>
      </w:r>
      <w:r>
        <w:rPr>
          <w:rFonts w:eastAsia="宋体"/>
        </w:rPr>
        <w:t>是环境管理计划得以顺利实施的重要保证</w:t>
      </w:r>
      <w:r>
        <w:rPr>
          <w:rFonts w:hint="eastAsia" w:eastAsia="宋体"/>
        </w:rPr>
        <w:t>。</w:t>
      </w:r>
      <w:r>
        <w:rPr>
          <w:rFonts w:eastAsia="宋体"/>
        </w:rPr>
        <w:t>各项规章制度要体现环境管理的任务、内容和准则</w:t>
      </w:r>
      <w:r>
        <w:rPr>
          <w:rFonts w:hint="eastAsia" w:eastAsia="宋体"/>
        </w:rPr>
        <w:t>，</w:t>
      </w:r>
      <w:r>
        <w:rPr>
          <w:rFonts w:eastAsia="宋体"/>
        </w:rPr>
        <w:t>使环境管理的特点和要求渗透到企业的各项管理工作之中</w:t>
      </w:r>
      <w:r>
        <w:rPr>
          <w:rFonts w:hint="eastAsia" w:eastAsia="宋体"/>
        </w:rPr>
        <w:t>。</w:t>
      </w:r>
      <w:r>
        <w:rPr>
          <w:rFonts w:eastAsia="宋体"/>
        </w:rPr>
        <w:t>矿山应健全</w:t>
      </w:r>
      <w:r>
        <w:rPr>
          <w:rFonts w:hint="eastAsia" w:eastAsia="宋体"/>
        </w:rPr>
        <w:t>的</w:t>
      </w:r>
      <w:r>
        <w:rPr>
          <w:rFonts w:eastAsia="宋体"/>
        </w:rPr>
        <w:t>环保管理制度及规划如下：</w:t>
      </w:r>
    </w:p>
    <w:p>
      <w:pPr>
        <w:pStyle w:val="361"/>
        <w:spacing w:line="440" w:lineRule="exact"/>
        <w:ind w:firstLineChars="200"/>
        <w:jc w:val="both"/>
        <w:rPr>
          <w:rFonts w:eastAsia="宋体"/>
        </w:rPr>
      </w:pPr>
      <w:r>
        <w:rPr>
          <w:rFonts w:eastAsia="宋体"/>
        </w:rPr>
        <w:t>1</w:t>
      </w:r>
      <w:r>
        <w:rPr>
          <w:rFonts w:hint="eastAsia" w:eastAsia="宋体"/>
        </w:rPr>
        <w:t>）</w:t>
      </w:r>
      <w:r>
        <w:rPr>
          <w:rFonts w:eastAsia="宋体"/>
        </w:rPr>
        <w:t>矿山环境保护管理规章</w:t>
      </w:r>
      <w:r>
        <w:rPr>
          <w:rFonts w:hint="eastAsia" w:eastAsia="宋体"/>
        </w:rPr>
        <w:t>；</w:t>
      </w:r>
    </w:p>
    <w:p>
      <w:pPr>
        <w:pStyle w:val="361"/>
        <w:spacing w:line="440" w:lineRule="exact"/>
        <w:ind w:firstLineChars="200"/>
        <w:jc w:val="both"/>
        <w:rPr>
          <w:rFonts w:eastAsia="宋体"/>
        </w:rPr>
      </w:pPr>
      <w:r>
        <w:rPr>
          <w:rFonts w:eastAsia="宋体"/>
        </w:rPr>
        <w:t>2</w:t>
      </w:r>
      <w:r>
        <w:rPr>
          <w:rFonts w:hint="eastAsia" w:eastAsia="宋体"/>
        </w:rPr>
        <w:t>）</w:t>
      </w:r>
      <w:r>
        <w:rPr>
          <w:rFonts w:eastAsia="宋体"/>
        </w:rPr>
        <w:t>矿山环境保护奖惩办</w:t>
      </w:r>
      <w:r>
        <w:rPr>
          <w:rFonts w:hint="eastAsia" w:eastAsia="宋体"/>
        </w:rPr>
        <w:t>；</w:t>
      </w:r>
    </w:p>
    <w:p>
      <w:pPr>
        <w:pStyle w:val="361"/>
        <w:spacing w:line="440" w:lineRule="exact"/>
        <w:ind w:firstLineChars="200"/>
        <w:jc w:val="both"/>
        <w:rPr>
          <w:rFonts w:eastAsia="宋体"/>
        </w:rPr>
      </w:pPr>
      <w:r>
        <w:rPr>
          <w:rFonts w:eastAsia="宋体"/>
        </w:rPr>
        <w:t>3</w:t>
      </w:r>
      <w:r>
        <w:rPr>
          <w:rFonts w:hint="eastAsia" w:eastAsia="宋体"/>
        </w:rPr>
        <w:t>）</w:t>
      </w:r>
      <w:r>
        <w:rPr>
          <w:rFonts w:eastAsia="宋体"/>
        </w:rPr>
        <w:t>矿山环境保护质量管理规程</w:t>
      </w:r>
      <w:r>
        <w:rPr>
          <w:rFonts w:hint="eastAsia" w:eastAsia="宋体"/>
        </w:rPr>
        <w:t>；</w:t>
      </w:r>
    </w:p>
    <w:p>
      <w:pPr>
        <w:pStyle w:val="361"/>
        <w:spacing w:line="440" w:lineRule="exact"/>
        <w:ind w:firstLineChars="200"/>
        <w:jc w:val="both"/>
        <w:rPr>
          <w:rFonts w:eastAsia="宋体"/>
        </w:rPr>
      </w:pPr>
      <w:r>
        <w:rPr>
          <w:rFonts w:eastAsia="宋体"/>
        </w:rPr>
        <w:t>4</w:t>
      </w:r>
      <w:r>
        <w:rPr>
          <w:rFonts w:hint="eastAsia" w:eastAsia="宋体"/>
        </w:rPr>
        <w:t>）</w:t>
      </w:r>
      <w:r>
        <w:rPr>
          <w:rFonts w:eastAsia="宋体"/>
        </w:rPr>
        <w:t>环境管理的经济责任制</w:t>
      </w:r>
      <w:r>
        <w:rPr>
          <w:rFonts w:hint="eastAsia" w:eastAsia="宋体"/>
        </w:rPr>
        <w:t>；</w:t>
      </w:r>
    </w:p>
    <w:p>
      <w:pPr>
        <w:pStyle w:val="361"/>
        <w:spacing w:line="440" w:lineRule="exact"/>
        <w:ind w:firstLineChars="200"/>
        <w:jc w:val="both"/>
        <w:rPr>
          <w:rFonts w:eastAsia="宋体"/>
        </w:rPr>
      </w:pPr>
      <w:r>
        <w:rPr>
          <w:rFonts w:eastAsia="宋体"/>
        </w:rPr>
        <w:t>5</w:t>
      </w:r>
      <w:r>
        <w:rPr>
          <w:rFonts w:hint="eastAsia" w:eastAsia="宋体"/>
        </w:rPr>
        <w:t>）</w:t>
      </w:r>
      <w:r>
        <w:rPr>
          <w:rFonts w:eastAsia="宋体"/>
        </w:rPr>
        <w:t>环境保护业务的管理制度</w:t>
      </w:r>
      <w:r>
        <w:rPr>
          <w:rFonts w:hint="eastAsia" w:eastAsia="宋体"/>
        </w:rPr>
        <w:t>；</w:t>
      </w:r>
    </w:p>
    <w:p>
      <w:pPr>
        <w:pStyle w:val="361"/>
        <w:spacing w:line="440" w:lineRule="exact"/>
        <w:ind w:firstLineChars="200"/>
        <w:jc w:val="both"/>
        <w:rPr>
          <w:rFonts w:eastAsia="宋体"/>
        </w:rPr>
      </w:pPr>
      <w:r>
        <w:rPr>
          <w:rFonts w:eastAsia="宋体"/>
        </w:rPr>
        <w:t>6</w:t>
      </w:r>
      <w:r>
        <w:rPr>
          <w:rFonts w:hint="eastAsia" w:eastAsia="宋体"/>
        </w:rPr>
        <w:t>）</w:t>
      </w:r>
      <w:r>
        <w:rPr>
          <w:rFonts w:eastAsia="宋体"/>
        </w:rPr>
        <w:t>环境管理岗位的管理制度</w:t>
      </w:r>
      <w:r>
        <w:rPr>
          <w:rFonts w:hint="eastAsia" w:eastAsia="宋体"/>
        </w:rPr>
        <w:t>；</w:t>
      </w:r>
    </w:p>
    <w:p>
      <w:pPr>
        <w:pStyle w:val="361"/>
        <w:spacing w:line="440" w:lineRule="exact"/>
        <w:ind w:firstLineChars="200"/>
        <w:jc w:val="both"/>
        <w:rPr>
          <w:rFonts w:eastAsia="宋体"/>
        </w:rPr>
      </w:pPr>
      <w:r>
        <w:rPr>
          <w:rFonts w:eastAsia="宋体"/>
        </w:rPr>
        <w:t>7</w:t>
      </w:r>
      <w:r>
        <w:rPr>
          <w:rFonts w:hint="eastAsia" w:eastAsia="宋体"/>
        </w:rPr>
        <w:t>）</w:t>
      </w:r>
      <w:r>
        <w:rPr>
          <w:rFonts w:eastAsia="宋体"/>
        </w:rPr>
        <w:t>环境技术管理规程</w:t>
      </w:r>
      <w:r>
        <w:rPr>
          <w:rFonts w:hint="eastAsia" w:eastAsia="宋体"/>
        </w:rPr>
        <w:t>；</w:t>
      </w:r>
    </w:p>
    <w:p>
      <w:pPr>
        <w:pStyle w:val="361"/>
        <w:spacing w:line="440" w:lineRule="exact"/>
        <w:ind w:firstLineChars="200"/>
        <w:jc w:val="both"/>
        <w:rPr>
          <w:rFonts w:eastAsia="宋体"/>
        </w:rPr>
      </w:pPr>
      <w:r>
        <w:rPr>
          <w:rFonts w:eastAsia="宋体"/>
        </w:rPr>
        <w:t>8</w:t>
      </w:r>
      <w:r>
        <w:rPr>
          <w:rFonts w:hint="eastAsia" w:eastAsia="宋体"/>
        </w:rPr>
        <w:t>）</w:t>
      </w:r>
      <w:r>
        <w:rPr>
          <w:rFonts w:eastAsia="宋体"/>
        </w:rPr>
        <w:t>环境保护的考核制度</w:t>
      </w:r>
      <w:r>
        <w:rPr>
          <w:rFonts w:hint="eastAsia" w:eastAsia="宋体"/>
        </w:rPr>
        <w:t>；</w:t>
      </w:r>
    </w:p>
    <w:p>
      <w:pPr>
        <w:pStyle w:val="361"/>
        <w:spacing w:line="440" w:lineRule="exact"/>
        <w:ind w:firstLineChars="200"/>
        <w:jc w:val="both"/>
        <w:rPr>
          <w:rFonts w:eastAsia="宋体"/>
        </w:rPr>
      </w:pPr>
      <w:r>
        <w:rPr>
          <w:rFonts w:eastAsia="宋体"/>
        </w:rPr>
        <w:t>9</w:t>
      </w:r>
      <w:r>
        <w:rPr>
          <w:rFonts w:hint="eastAsia" w:eastAsia="宋体"/>
        </w:rPr>
        <w:t>）</w:t>
      </w:r>
      <w:r>
        <w:rPr>
          <w:rFonts w:eastAsia="宋体"/>
        </w:rPr>
        <w:t>污染防治控制措施及达标排放实施办法</w:t>
      </w:r>
      <w:r>
        <w:rPr>
          <w:rFonts w:hint="eastAsia" w:eastAsia="宋体"/>
        </w:rPr>
        <w:t>；</w:t>
      </w:r>
    </w:p>
    <w:p>
      <w:pPr>
        <w:pStyle w:val="361"/>
        <w:spacing w:line="440" w:lineRule="exact"/>
        <w:ind w:firstLineChars="200"/>
        <w:jc w:val="both"/>
        <w:rPr>
          <w:rFonts w:eastAsia="宋体"/>
        </w:rPr>
      </w:pPr>
      <w:r>
        <w:rPr>
          <w:rFonts w:eastAsia="宋体"/>
        </w:rPr>
        <w:t>10</w:t>
      </w:r>
      <w:r>
        <w:rPr>
          <w:rFonts w:hint="eastAsia" w:eastAsia="宋体"/>
        </w:rPr>
        <w:t>）</w:t>
      </w:r>
      <w:r>
        <w:rPr>
          <w:rFonts w:eastAsia="宋体"/>
        </w:rPr>
        <w:t>环境污染事故管理规定</w:t>
      </w:r>
      <w:r>
        <w:rPr>
          <w:rFonts w:hint="eastAsia" w:eastAsia="宋体"/>
        </w:rPr>
        <w:t>；</w:t>
      </w:r>
    </w:p>
    <w:p>
      <w:pPr>
        <w:pStyle w:val="361"/>
        <w:spacing w:line="440" w:lineRule="exact"/>
        <w:ind w:firstLineChars="200"/>
        <w:jc w:val="both"/>
        <w:rPr>
          <w:rFonts w:eastAsia="宋体"/>
        </w:rPr>
      </w:pPr>
      <w:r>
        <w:rPr>
          <w:rFonts w:eastAsia="宋体"/>
        </w:rPr>
        <w:t>11</w:t>
      </w:r>
      <w:r>
        <w:rPr>
          <w:rFonts w:hint="eastAsia" w:eastAsia="宋体"/>
        </w:rPr>
        <w:t>）</w:t>
      </w:r>
      <w:r>
        <w:rPr>
          <w:rFonts w:eastAsia="宋体"/>
        </w:rPr>
        <w:t>清洁生产审计制度</w:t>
      </w:r>
      <w:r>
        <w:rPr>
          <w:rFonts w:hint="eastAsia" w:eastAsia="宋体"/>
        </w:rPr>
        <w:t>；</w:t>
      </w:r>
    </w:p>
    <w:p>
      <w:pPr>
        <w:pStyle w:val="361"/>
        <w:spacing w:line="440" w:lineRule="exact"/>
        <w:ind w:firstLineChars="200"/>
        <w:jc w:val="both"/>
        <w:rPr>
          <w:rFonts w:eastAsia="宋体"/>
        </w:rPr>
      </w:pPr>
      <w:r>
        <w:rPr>
          <w:rFonts w:eastAsia="宋体"/>
        </w:rPr>
        <w:t>12</w:t>
      </w:r>
      <w:r>
        <w:rPr>
          <w:rFonts w:hint="eastAsia" w:eastAsia="宋体"/>
        </w:rPr>
        <w:t>）</w:t>
      </w:r>
      <w:r>
        <w:rPr>
          <w:rFonts w:eastAsia="宋体"/>
        </w:rPr>
        <w:t>给排水管理制度</w:t>
      </w:r>
      <w:r>
        <w:rPr>
          <w:rFonts w:hint="eastAsia" w:eastAsia="宋体"/>
        </w:rPr>
        <w:t>；</w:t>
      </w:r>
    </w:p>
    <w:p>
      <w:pPr>
        <w:pStyle w:val="361"/>
        <w:spacing w:line="440" w:lineRule="exact"/>
        <w:ind w:firstLineChars="200"/>
        <w:jc w:val="both"/>
        <w:rPr>
          <w:rFonts w:eastAsia="宋体"/>
        </w:rPr>
      </w:pPr>
      <w:r>
        <w:rPr>
          <w:rFonts w:eastAsia="宋体"/>
        </w:rPr>
        <w:t>13</w:t>
      </w:r>
      <w:r>
        <w:rPr>
          <w:rFonts w:hint="eastAsia" w:eastAsia="宋体"/>
        </w:rPr>
        <w:t>）</w:t>
      </w:r>
      <w:r>
        <w:rPr>
          <w:rFonts w:eastAsia="宋体"/>
        </w:rPr>
        <w:t>固废堆置方案</w:t>
      </w:r>
      <w:r>
        <w:rPr>
          <w:rFonts w:hint="eastAsia" w:eastAsia="宋体"/>
        </w:rPr>
        <w:t>；</w:t>
      </w:r>
    </w:p>
    <w:p>
      <w:pPr>
        <w:pStyle w:val="361"/>
        <w:spacing w:line="440" w:lineRule="exact"/>
        <w:ind w:firstLineChars="200"/>
        <w:jc w:val="both"/>
        <w:rPr>
          <w:rFonts w:eastAsia="宋体"/>
        </w:rPr>
      </w:pPr>
      <w:r>
        <w:rPr>
          <w:rFonts w:eastAsia="宋体"/>
        </w:rPr>
        <w:t>14</w:t>
      </w:r>
      <w:r>
        <w:rPr>
          <w:rFonts w:hint="eastAsia" w:eastAsia="宋体"/>
        </w:rPr>
        <w:t>）</w:t>
      </w:r>
      <w:r>
        <w:rPr>
          <w:rFonts w:eastAsia="宋体"/>
        </w:rPr>
        <w:t>生态保护、水土流失方案及土地复垦综合计划</w:t>
      </w:r>
      <w:r>
        <w:rPr>
          <w:rFonts w:hint="eastAsia" w:eastAsia="宋体"/>
        </w:rPr>
        <w:t>。</w:t>
      </w:r>
    </w:p>
    <w:p>
      <w:pPr>
        <w:pStyle w:val="361"/>
        <w:spacing w:line="440" w:lineRule="exact"/>
        <w:ind w:firstLineChars="200"/>
        <w:jc w:val="both"/>
        <w:rPr>
          <w:bCs/>
        </w:rPr>
      </w:pPr>
      <w:r>
        <w:rPr>
          <w:rFonts w:eastAsia="宋体"/>
        </w:rPr>
        <w:t>通过对各项环境管理制度建立和严格执行</w:t>
      </w:r>
      <w:r>
        <w:rPr>
          <w:rFonts w:hint="eastAsia" w:eastAsia="宋体"/>
        </w:rPr>
        <w:t>，</w:t>
      </w:r>
      <w:r>
        <w:rPr>
          <w:rFonts w:eastAsia="宋体"/>
        </w:rPr>
        <w:t>形成目标管理</w:t>
      </w:r>
      <w:r>
        <w:rPr>
          <w:rFonts w:hint="eastAsia" w:eastAsia="宋体"/>
        </w:rPr>
        <w:t>和</w:t>
      </w:r>
      <w:r>
        <w:rPr>
          <w:rFonts w:eastAsia="宋体"/>
        </w:rPr>
        <w:t>监督反馈紧密配合的环保工作管理体系</w:t>
      </w:r>
      <w:r>
        <w:rPr>
          <w:rFonts w:hint="eastAsia" w:eastAsia="宋体"/>
        </w:rPr>
        <w:t>，</w:t>
      </w:r>
      <w:r>
        <w:rPr>
          <w:rFonts w:eastAsia="宋体"/>
        </w:rPr>
        <w:t>可有效防止非正常生产和突发性事故造成的危害</w:t>
      </w:r>
      <w:r>
        <w:rPr>
          <w:rFonts w:hint="eastAsia" w:eastAsia="宋体"/>
        </w:rPr>
        <w:t>。</w:t>
      </w:r>
      <w:r>
        <w:rPr>
          <w:bCs/>
        </w:rPr>
        <w:t xml:space="preserve">              </w:t>
      </w:r>
    </w:p>
    <w:p>
      <w:pPr>
        <w:widowControl w:val="0"/>
        <w:adjustRightInd w:val="0"/>
        <w:snapToGrid w:val="0"/>
        <w:spacing w:before="120" w:beforeLines="50" w:after="120" w:afterLines="50"/>
        <w:jc w:val="both"/>
        <w:outlineLvl w:val="1"/>
        <w:rPr>
          <w:b/>
          <w:kern w:val="2"/>
          <w:sz w:val="28"/>
          <w:szCs w:val="28"/>
        </w:rPr>
      </w:pPr>
      <w:r>
        <w:rPr>
          <w:b/>
          <w:kern w:val="2"/>
          <w:sz w:val="28"/>
          <w:szCs w:val="28"/>
        </w:rPr>
        <w:t xml:space="preserve"> </w:t>
      </w:r>
      <w:bookmarkStart w:id="367" w:name="_Toc12764"/>
      <w:bookmarkStart w:id="368" w:name="_Toc319509011"/>
      <w:bookmarkStart w:id="369" w:name="_Toc11248"/>
      <w:r>
        <w:rPr>
          <w:b/>
          <w:kern w:val="2"/>
          <w:sz w:val="28"/>
          <w:szCs w:val="28"/>
        </w:rPr>
        <w:t>8.2 环境监测</w:t>
      </w:r>
      <w:bookmarkEnd w:id="367"/>
      <w:bookmarkEnd w:id="368"/>
      <w:bookmarkEnd w:id="369"/>
    </w:p>
    <w:p>
      <w:pPr>
        <w:adjustRightInd w:val="0"/>
        <w:snapToGrid w:val="0"/>
        <w:spacing w:line="440" w:lineRule="exact"/>
        <w:ind w:firstLine="496" w:firstLineChars="200"/>
        <w:jc w:val="both"/>
        <w:rPr>
          <w:spacing w:val="4"/>
        </w:rPr>
      </w:pPr>
      <w:r>
        <w:rPr>
          <w:rFonts w:hint="eastAsia"/>
          <w:spacing w:val="4"/>
        </w:rPr>
        <w:t>环境监测是对建设项目进行环境保护管理基本的手段和信息基础，因此，必须把握好各个技术环节，包括确定监测的项目和范围，采样的位置、数量，采样的时间和方法，样品的分析和数据处理等及其质量保证工作。保证监测数据具有完整的质量特征，数据符合准确性、精密性、完整性、代表性和可比性的要求。</w:t>
      </w:r>
    </w:p>
    <w:p>
      <w:pPr>
        <w:widowControl w:val="0"/>
        <w:adjustRightInd w:val="0"/>
        <w:snapToGrid w:val="0"/>
        <w:spacing w:before="120" w:beforeLines="50" w:after="120" w:afterLines="50"/>
        <w:jc w:val="both"/>
        <w:outlineLvl w:val="2"/>
        <w:rPr>
          <w:b/>
          <w:kern w:val="2"/>
        </w:rPr>
      </w:pPr>
      <w:r>
        <w:rPr>
          <w:b/>
          <w:kern w:val="2"/>
        </w:rPr>
        <w:t>8.2.</w:t>
      </w:r>
      <w:r>
        <w:rPr>
          <w:rFonts w:hint="eastAsia"/>
          <w:b/>
          <w:kern w:val="2"/>
        </w:rPr>
        <w:t>1环境监测工作的目的及重要性</w:t>
      </w:r>
    </w:p>
    <w:p>
      <w:pPr>
        <w:adjustRightInd w:val="0"/>
        <w:snapToGrid w:val="0"/>
        <w:spacing w:line="440" w:lineRule="exact"/>
        <w:ind w:firstLine="496" w:firstLineChars="200"/>
        <w:jc w:val="both"/>
        <w:rPr>
          <w:spacing w:val="4"/>
        </w:rPr>
      </w:pPr>
      <w:r>
        <w:rPr>
          <w:rFonts w:hint="eastAsia"/>
          <w:spacing w:val="4"/>
        </w:rPr>
        <w:t>环境监测的目的是通过对本项目的污染源和周围环境的监测，为环境统计和环境定量评价提供科学依据，为加强管理，实施清洁生产提供可靠的技术依据，并据此制定防治对策和规划；环境监测是环境管理的基本手段和耳目，通过监测可以及时反映企业的环境信息、污染物产生的原因和排放情况、企业的环境质量状况等，为企业提供准确的环境管理依据。因此，企业必须针对自身的情况制订出合理的环境监测计划并付诸实施。</w:t>
      </w:r>
    </w:p>
    <w:p>
      <w:pPr>
        <w:widowControl w:val="0"/>
        <w:adjustRightInd w:val="0"/>
        <w:snapToGrid w:val="0"/>
        <w:spacing w:before="120" w:beforeLines="50" w:after="120" w:afterLines="50"/>
        <w:jc w:val="both"/>
        <w:outlineLvl w:val="2"/>
        <w:rPr>
          <w:b/>
          <w:kern w:val="2"/>
        </w:rPr>
      </w:pPr>
      <w:r>
        <w:rPr>
          <w:b/>
          <w:kern w:val="2"/>
        </w:rPr>
        <w:t>8.2.</w:t>
      </w:r>
      <w:r>
        <w:rPr>
          <w:rFonts w:hint="eastAsia"/>
          <w:b/>
          <w:kern w:val="2"/>
        </w:rPr>
        <w:t>2环境监测计划制定原则</w:t>
      </w:r>
    </w:p>
    <w:p>
      <w:pPr>
        <w:pStyle w:val="36"/>
        <w:ind w:firstLine="488"/>
        <w:rPr>
          <w:rFonts w:eastAsia="宋体"/>
          <w:bCs/>
          <w:spacing w:val="4"/>
          <w:sz w:val="24"/>
        </w:rPr>
      </w:pPr>
      <w:r>
        <w:rPr>
          <w:rFonts w:hint="eastAsia" w:eastAsia="宋体"/>
          <w:bCs/>
          <w:spacing w:val="4"/>
          <w:sz w:val="24"/>
        </w:rPr>
        <w:t>环境监测是环境管理的依据和基础，通过实施环境监测计划，可以及时掌握企业的排污状况、污染治理设施的运行状况，分析不足及时提出必要的补救措施。此外，每年应对环境监测计划的实施情况进行回顾分析，进行适当的完善和补充，促进企业环境保护工作的逐步完善。</w:t>
      </w:r>
    </w:p>
    <w:p>
      <w:pPr>
        <w:pStyle w:val="36"/>
        <w:ind w:firstLine="488"/>
        <w:rPr>
          <w:rFonts w:eastAsia="宋体"/>
          <w:bCs/>
          <w:spacing w:val="4"/>
          <w:sz w:val="24"/>
        </w:rPr>
      </w:pPr>
      <w:r>
        <w:rPr>
          <w:rFonts w:hint="eastAsia" w:eastAsia="宋体"/>
          <w:bCs/>
          <w:spacing w:val="4"/>
          <w:sz w:val="24"/>
        </w:rPr>
        <w:t>为保证监测数据具有完整的质量特征，在制定监测计划时应遵循以下原则：</w:t>
      </w:r>
    </w:p>
    <w:p>
      <w:pPr>
        <w:pStyle w:val="36"/>
        <w:ind w:firstLine="488"/>
        <w:rPr>
          <w:rFonts w:eastAsia="宋体"/>
          <w:bCs/>
          <w:spacing w:val="4"/>
          <w:sz w:val="24"/>
        </w:rPr>
      </w:pPr>
      <w:r>
        <w:rPr>
          <w:rFonts w:hint="eastAsia" w:eastAsia="宋体"/>
          <w:bCs/>
          <w:spacing w:val="4"/>
          <w:sz w:val="24"/>
        </w:rPr>
        <w:t>（1）在确定监测技术路线和技术装备时，应从实际需要出发，充分考虑其实用性和经济性；</w:t>
      </w:r>
    </w:p>
    <w:p>
      <w:pPr>
        <w:pStyle w:val="36"/>
        <w:ind w:firstLine="488"/>
        <w:rPr>
          <w:rFonts w:eastAsia="宋体"/>
          <w:bCs/>
          <w:spacing w:val="4"/>
          <w:sz w:val="24"/>
        </w:rPr>
      </w:pPr>
      <w:r>
        <w:rPr>
          <w:rFonts w:hint="eastAsia" w:eastAsia="宋体"/>
          <w:bCs/>
          <w:spacing w:val="4"/>
          <w:sz w:val="24"/>
        </w:rPr>
        <w:t>（2）遵循优先污染物优先监测的原则；</w:t>
      </w:r>
    </w:p>
    <w:p>
      <w:pPr>
        <w:spacing w:line="440" w:lineRule="exact"/>
        <w:ind w:firstLine="496" w:firstLineChars="200"/>
        <w:jc w:val="both"/>
        <w:rPr>
          <w:bCs/>
        </w:rPr>
      </w:pPr>
      <w:r>
        <w:rPr>
          <w:rFonts w:hint="eastAsia"/>
          <w:bCs/>
          <w:spacing w:val="4"/>
          <w:kern w:val="2"/>
        </w:rPr>
        <w:t>（3）针对生产工艺特点，对监测布点全面规划、合理布局，对样品采集、分析测试及数据处理做出合理安排。</w:t>
      </w:r>
    </w:p>
    <w:p>
      <w:pPr>
        <w:widowControl w:val="0"/>
        <w:adjustRightInd w:val="0"/>
        <w:snapToGrid w:val="0"/>
        <w:spacing w:before="120" w:beforeLines="50" w:after="120" w:afterLines="50"/>
        <w:jc w:val="both"/>
        <w:outlineLvl w:val="2"/>
        <w:rPr>
          <w:b/>
          <w:kern w:val="2"/>
        </w:rPr>
      </w:pPr>
      <w:r>
        <w:rPr>
          <w:b/>
          <w:kern w:val="2"/>
        </w:rPr>
        <w:t>8.2.</w:t>
      </w:r>
      <w:r>
        <w:rPr>
          <w:rFonts w:hint="eastAsia"/>
          <w:b/>
          <w:kern w:val="2"/>
        </w:rPr>
        <w:t>3环境监测内容</w:t>
      </w:r>
    </w:p>
    <w:p>
      <w:pPr>
        <w:adjustRightInd w:val="0"/>
        <w:snapToGrid w:val="0"/>
        <w:spacing w:line="440" w:lineRule="exact"/>
        <w:ind w:firstLine="496" w:firstLineChars="200"/>
        <w:jc w:val="both"/>
        <w:rPr>
          <w:spacing w:val="4"/>
        </w:rPr>
      </w:pPr>
      <w:r>
        <w:rPr>
          <w:rFonts w:hint="eastAsia"/>
          <w:spacing w:val="4"/>
        </w:rPr>
        <w:t>环境监测内容的制定依据工程内容和企业实际情况，制定相应切实可行的方案。重点监测企业污染源的污染物排放状况和附近关心点、敏感点的环境状况。本项目建设单位不具备环境监测能力，监测工作全部委托有资质的监测机构监测。</w:t>
      </w:r>
    </w:p>
    <w:p>
      <w:pPr>
        <w:adjustRightInd w:val="0"/>
        <w:snapToGrid w:val="0"/>
        <w:spacing w:line="440" w:lineRule="exact"/>
        <w:ind w:firstLine="496" w:firstLineChars="200"/>
        <w:jc w:val="both"/>
        <w:rPr>
          <w:spacing w:val="4"/>
        </w:rPr>
      </w:pPr>
      <w:r>
        <w:rPr>
          <w:rFonts w:hint="eastAsia"/>
          <w:spacing w:val="4"/>
        </w:rPr>
        <w:t>1、环境监测计划</w:t>
      </w:r>
    </w:p>
    <w:p>
      <w:pPr>
        <w:pStyle w:val="361"/>
        <w:spacing w:line="440" w:lineRule="exact"/>
        <w:ind w:firstLineChars="200"/>
        <w:jc w:val="both"/>
        <w:rPr>
          <w:rFonts w:eastAsia="宋体"/>
        </w:rPr>
      </w:pPr>
      <w:r>
        <w:rPr>
          <w:rFonts w:hint="eastAsia" w:eastAsia="宋体"/>
        </w:rPr>
        <w:t>本项目应当按照环境监测管理规定和技术规范要求开展自行监测，并建立污染监测档案，为环境管理及污染治理提供依据。</w:t>
      </w:r>
    </w:p>
    <w:p>
      <w:pPr>
        <w:adjustRightInd w:val="0"/>
        <w:snapToGrid w:val="0"/>
        <w:spacing w:line="440" w:lineRule="exact"/>
        <w:ind w:firstLine="496" w:firstLineChars="200"/>
        <w:jc w:val="both"/>
        <w:rPr>
          <w:bCs/>
          <w:spacing w:val="4"/>
          <w:lang w:val="de-DE"/>
        </w:rPr>
      </w:pPr>
      <w:r>
        <w:rPr>
          <w:bCs/>
          <w:spacing w:val="4"/>
          <w:lang w:val="de-DE"/>
        </w:rPr>
        <w:t>本项目的监测项目、点位、频率及监测因子列于表8.2-1。</w:t>
      </w:r>
    </w:p>
    <w:p>
      <w:pPr>
        <w:spacing w:line="440" w:lineRule="exact"/>
        <w:ind w:firstLine="420" w:firstLineChars="200"/>
        <w:jc w:val="center"/>
        <w:rPr>
          <w:rFonts w:eastAsia="黑体"/>
          <w:sz w:val="21"/>
          <w:szCs w:val="21"/>
        </w:rPr>
      </w:pPr>
      <w:r>
        <w:rPr>
          <w:rFonts w:eastAsia="黑体"/>
          <w:sz w:val="21"/>
          <w:szCs w:val="21"/>
        </w:rPr>
        <w:t>表8.2-1  监测计划</w:t>
      </w:r>
    </w:p>
    <w:tbl>
      <w:tblPr>
        <w:tblStyle w:val="88"/>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810"/>
        <w:gridCol w:w="1506"/>
        <w:gridCol w:w="3293"/>
        <w:gridCol w:w="1314"/>
        <w:gridCol w:w="11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1817" w:type="pct"/>
            <w:gridSpan w:val="2"/>
            <w:vAlign w:val="center"/>
          </w:tcPr>
          <w:p>
            <w:pPr>
              <w:adjustRightInd w:val="0"/>
              <w:snapToGrid w:val="0"/>
              <w:spacing w:line="320" w:lineRule="exact"/>
              <w:jc w:val="center"/>
              <w:rPr>
                <w:bCs/>
                <w:sz w:val="21"/>
                <w:szCs w:val="21"/>
              </w:rPr>
            </w:pPr>
            <w:r>
              <w:rPr>
                <w:bCs/>
                <w:sz w:val="21"/>
                <w:szCs w:val="21"/>
              </w:rPr>
              <w:t>监测要素</w:t>
            </w:r>
          </w:p>
        </w:tc>
        <w:tc>
          <w:tcPr>
            <w:tcW w:w="1804" w:type="pct"/>
            <w:vAlign w:val="center"/>
          </w:tcPr>
          <w:p>
            <w:pPr>
              <w:adjustRightInd w:val="0"/>
              <w:snapToGrid w:val="0"/>
              <w:spacing w:line="320" w:lineRule="exact"/>
              <w:jc w:val="center"/>
              <w:rPr>
                <w:bCs/>
                <w:sz w:val="21"/>
                <w:szCs w:val="21"/>
              </w:rPr>
            </w:pPr>
            <w:r>
              <w:rPr>
                <w:bCs/>
                <w:sz w:val="21"/>
                <w:szCs w:val="21"/>
              </w:rPr>
              <w:t>监测点位</w:t>
            </w:r>
          </w:p>
        </w:tc>
        <w:tc>
          <w:tcPr>
            <w:tcW w:w="720" w:type="pct"/>
            <w:vAlign w:val="center"/>
          </w:tcPr>
          <w:p>
            <w:pPr>
              <w:adjustRightInd w:val="0"/>
              <w:snapToGrid w:val="0"/>
              <w:spacing w:line="320" w:lineRule="exact"/>
              <w:jc w:val="center"/>
              <w:rPr>
                <w:bCs/>
                <w:sz w:val="21"/>
                <w:szCs w:val="21"/>
              </w:rPr>
            </w:pPr>
            <w:r>
              <w:rPr>
                <w:bCs/>
                <w:sz w:val="21"/>
                <w:szCs w:val="21"/>
              </w:rPr>
              <w:t>监测项目</w:t>
            </w:r>
          </w:p>
        </w:tc>
        <w:tc>
          <w:tcPr>
            <w:tcW w:w="657" w:type="pct"/>
            <w:vAlign w:val="center"/>
          </w:tcPr>
          <w:p>
            <w:pPr>
              <w:adjustRightInd w:val="0"/>
              <w:snapToGrid w:val="0"/>
              <w:spacing w:line="320" w:lineRule="exact"/>
              <w:jc w:val="center"/>
              <w:rPr>
                <w:bCs/>
                <w:sz w:val="21"/>
                <w:szCs w:val="21"/>
              </w:rPr>
            </w:pPr>
            <w:r>
              <w:rPr>
                <w:bCs/>
                <w:sz w:val="21"/>
                <w:szCs w:val="21"/>
              </w:rPr>
              <w:t>监测频率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0" w:hRule="atLeast"/>
          <w:jc w:val="center"/>
        </w:trPr>
        <w:tc>
          <w:tcPr>
            <w:tcW w:w="992" w:type="pct"/>
            <w:vMerge w:val="restart"/>
            <w:vAlign w:val="center"/>
          </w:tcPr>
          <w:p>
            <w:pPr>
              <w:adjustRightInd w:val="0"/>
              <w:snapToGrid w:val="0"/>
              <w:spacing w:line="320" w:lineRule="exact"/>
              <w:jc w:val="center"/>
              <w:rPr>
                <w:bCs/>
                <w:sz w:val="21"/>
                <w:szCs w:val="21"/>
              </w:rPr>
            </w:pPr>
            <w:r>
              <w:rPr>
                <w:rFonts w:hint="eastAsia"/>
                <w:bCs/>
                <w:sz w:val="21"/>
                <w:szCs w:val="21"/>
              </w:rPr>
              <w:t>污染源监测</w:t>
            </w:r>
          </w:p>
        </w:tc>
        <w:tc>
          <w:tcPr>
            <w:tcW w:w="824" w:type="pct"/>
            <w:vAlign w:val="center"/>
          </w:tcPr>
          <w:p>
            <w:pPr>
              <w:adjustRightInd w:val="0"/>
              <w:snapToGrid w:val="0"/>
              <w:spacing w:line="320" w:lineRule="exact"/>
              <w:jc w:val="center"/>
              <w:rPr>
                <w:bCs/>
                <w:sz w:val="21"/>
                <w:szCs w:val="21"/>
              </w:rPr>
            </w:pPr>
            <w:r>
              <w:rPr>
                <w:rFonts w:hint="eastAsia"/>
                <w:bCs/>
                <w:sz w:val="21"/>
                <w:szCs w:val="21"/>
              </w:rPr>
              <w:t>废气</w:t>
            </w:r>
          </w:p>
        </w:tc>
        <w:tc>
          <w:tcPr>
            <w:tcW w:w="1804" w:type="pct"/>
            <w:vAlign w:val="center"/>
          </w:tcPr>
          <w:p>
            <w:pPr>
              <w:adjustRightInd w:val="0"/>
              <w:snapToGrid w:val="0"/>
              <w:spacing w:line="320" w:lineRule="exact"/>
              <w:jc w:val="center"/>
              <w:rPr>
                <w:bCs/>
                <w:sz w:val="21"/>
                <w:szCs w:val="21"/>
              </w:rPr>
            </w:pPr>
            <w:r>
              <w:rPr>
                <w:rFonts w:hint="eastAsia"/>
                <w:bCs/>
                <w:sz w:val="21"/>
                <w:szCs w:val="21"/>
              </w:rPr>
              <w:t>厂界上风向20m处设参照点，下风向设监控点</w:t>
            </w:r>
          </w:p>
        </w:tc>
        <w:tc>
          <w:tcPr>
            <w:tcW w:w="720" w:type="pct"/>
            <w:vAlign w:val="center"/>
          </w:tcPr>
          <w:p>
            <w:pPr>
              <w:adjustRightInd w:val="0"/>
              <w:snapToGrid w:val="0"/>
              <w:spacing w:line="320" w:lineRule="exact"/>
              <w:jc w:val="center"/>
              <w:rPr>
                <w:sz w:val="21"/>
                <w:szCs w:val="21"/>
              </w:rPr>
            </w:pPr>
            <w:r>
              <w:rPr>
                <w:rFonts w:hint="eastAsia"/>
                <w:sz w:val="21"/>
                <w:szCs w:val="21"/>
              </w:rPr>
              <w:t>TSP</w:t>
            </w:r>
          </w:p>
        </w:tc>
        <w:tc>
          <w:tcPr>
            <w:tcW w:w="657" w:type="pct"/>
            <w:vAlign w:val="center"/>
          </w:tcPr>
          <w:p>
            <w:pPr>
              <w:adjustRightInd w:val="0"/>
              <w:snapToGrid w:val="0"/>
              <w:spacing w:line="320" w:lineRule="exact"/>
              <w:jc w:val="center"/>
              <w:rPr>
                <w:sz w:val="21"/>
                <w:szCs w:val="21"/>
              </w:rPr>
            </w:pPr>
            <w:r>
              <w:rPr>
                <w:sz w:val="21"/>
                <w:szCs w:val="21"/>
              </w:rPr>
              <w:t>1次/</w:t>
            </w:r>
            <w:r>
              <w:rPr>
                <w:rFonts w:hint="eastAsia"/>
                <w:sz w:val="21"/>
                <w:szCs w:val="21"/>
              </w:rPr>
              <w:t>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92" w:type="pct"/>
            <w:vMerge w:val="continue"/>
            <w:vAlign w:val="center"/>
          </w:tcPr>
          <w:p>
            <w:pPr>
              <w:adjustRightInd w:val="0"/>
              <w:snapToGrid w:val="0"/>
              <w:spacing w:line="320" w:lineRule="exact"/>
              <w:jc w:val="center"/>
              <w:rPr>
                <w:bCs/>
                <w:sz w:val="21"/>
                <w:szCs w:val="21"/>
              </w:rPr>
            </w:pPr>
          </w:p>
        </w:tc>
        <w:tc>
          <w:tcPr>
            <w:tcW w:w="824" w:type="pct"/>
            <w:vAlign w:val="center"/>
          </w:tcPr>
          <w:p>
            <w:pPr>
              <w:adjustRightInd w:val="0"/>
              <w:snapToGrid w:val="0"/>
              <w:spacing w:line="320" w:lineRule="exact"/>
              <w:jc w:val="center"/>
              <w:rPr>
                <w:bCs/>
                <w:sz w:val="21"/>
                <w:szCs w:val="21"/>
              </w:rPr>
            </w:pPr>
            <w:r>
              <w:rPr>
                <w:bCs/>
                <w:sz w:val="21"/>
                <w:szCs w:val="21"/>
              </w:rPr>
              <w:t>噪声</w:t>
            </w:r>
          </w:p>
        </w:tc>
        <w:tc>
          <w:tcPr>
            <w:tcW w:w="1804" w:type="pct"/>
            <w:vAlign w:val="center"/>
          </w:tcPr>
          <w:p>
            <w:pPr>
              <w:adjustRightInd w:val="0"/>
              <w:snapToGrid w:val="0"/>
              <w:spacing w:line="320" w:lineRule="exact"/>
              <w:jc w:val="center"/>
              <w:rPr>
                <w:bCs/>
                <w:sz w:val="21"/>
                <w:szCs w:val="21"/>
              </w:rPr>
            </w:pPr>
            <w:r>
              <w:rPr>
                <w:bCs/>
                <w:sz w:val="21"/>
                <w:szCs w:val="21"/>
              </w:rPr>
              <w:t>厂界四周</w:t>
            </w:r>
          </w:p>
        </w:tc>
        <w:tc>
          <w:tcPr>
            <w:tcW w:w="720" w:type="pct"/>
            <w:vAlign w:val="center"/>
          </w:tcPr>
          <w:p>
            <w:pPr>
              <w:adjustRightInd w:val="0"/>
              <w:snapToGrid w:val="0"/>
              <w:spacing w:line="320" w:lineRule="exact"/>
              <w:jc w:val="center"/>
              <w:rPr>
                <w:bCs/>
                <w:sz w:val="21"/>
                <w:szCs w:val="21"/>
              </w:rPr>
            </w:pPr>
            <w:r>
              <w:rPr>
                <w:rFonts w:hint="eastAsia"/>
                <w:bCs/>
                <w:sz w:val="21"/>
                <w:szCs w:val="21"/>
              </w:rPr>
              <w:t>Leq</w:t>
            </w:r>
          </w:p>
        </w:tc>
        <w:tc>
          <w:tcPr>
            <w:tcW w:w="657" w:type="pct"/>
            <w:vAlign w:val="center"/>
          </w:tcPr>
          <w:p>
            <w:pPr>
              <w:adjustRightInd w:val="0"/>
              <w:snapToGrid w:val="0"/>
              <w:spacing w:line="320" w:lineRule="exact"/>
              <w:jc w:val="center"/>
              <w:rPr>
                <w:bCs/>
                <w:sz w:val="21"/>
                <w:szCs w:val="21"/>
              </w:rPr>
            </w:pPr>
            <w:r>
              <w:rPr>
                <w:sz w:val="21"/>
                <w:szCs w:val="21"/>
              </w:rPr>
              <w:t>1次/季</w:t>
            </w:r>
          </w:p>
        </w:tc>
      </w:tr>
    </w:tbl>
    <w:p>
      <w:pPr>
        <w:adjustRightInd w:val="0"/>
        <w:snapToGrid w:val="0"/>
        <w:spacing w:line="440" w:lineRule="exact"/>
        <w:ind w:firstLine="496"/>
        <w:rPr>
          <w:spacing w:val="4"/>
        </w:rPr>
      </w:pPr>
      <w:r>
        <w:rPr>
          <w:spacing w:val="4"/>
        </w:rPr>
        <w:t>2、监测结果反馈</w:t>
      </w:r>
    </w:p>
    <w:p>
      <w:pPr>
        <w:adjustRightInd w:val="0"/>
        <w:snapToGrid w:val="0"/>
        <w:spacing w:line="440" w:lineRule="exact"/>
        <w:ind w:firstLine="496"/>
        <w:jc w:val="both"/>
        <w:rPr>
          <w:spacing w:val="4"/>
        </w:rPr>
      </w:pPr>
      <w:r>
        <w:rPr>
          <w:spacing w:val="4"/>
        </w:rPr>
        <w:t>监测结果要统计，上报有关领导和上级主管部门，监测结果如有异常，及时反馈当地环境管理部门，查找原因，及时解决。</w:t>
      </w:r>
    </w:p>
    <w:p>
      <w:pPr>
        <w:widowControl w:val="0"/>
        <w:adjustRightInd w:val="0"/>
        <w:snapToGrid w:val="0"/>
        <w:spacing w:before="120" w:beforeLines="50" w:after="120" w:afterLines="50"/>
        <w:jc w:val="both"/>
        <w:outlineLvl w:val="1"/>
        <w:rPr>
          <w:b/>
          <w:kern w:val="2"/>
          <w:sz w:val="28"/>
          <w:szCs w:val="28"/>
          <w:lang w:val="zh-CN"/>
        </w:rPr>
      </w:pPr>
      <w:bookmarkStart w:id="370" w:name="_Toc2335"/>
      <w:r>
        <w:rPr>
          <w:b/>
          <w:kern w:val="2"/>
          <w:sz w:val="28"/>
          <w:szCs w:val="28"/>
          <w:lang w:val="zh-CN"/>
        </w:rPr>
        <w:t>8.3污染物排放清单</w:t>
      </w:r>
      <w:bookmarkEnd w:id="370"/>
    </w:p>
    <w:p>
      <w:pPr>
        <w:pStyle w:val="361"/>
        <w:rPr>
          <w:rFonts w:eastAsia="宋体"/>
          <w:color w:val="7030A0"/>
        </w:rPr>
      </w:pPr>
      <w:r>
        <w:rPr>
          <w:rFonts w:hint="eastAsia" w:eastAsia="宋体"/>
        </w:rPr>
        <w:t>本项目污染物排放清单内容一览表见</w:t>
      </w:r>
      <w:r>
        <w:rPr>
          <w:rFonts w:eastAsia="宋体"/>
        </w:rPr>
        <w:t>表8</w:t>
      </w:r>
      <w:r>
        <w:rPr>
          <w:rFonts w:hint="eastAsia" w:eastAsia="宋体"/>
        </w:rPr>
        <w:t>.3</w:t>
      </w:r>
      <w:r>
        <w:rPr>
          <w:rFonts w:eastAsia="宋体"/>
        </w:rPr>
        <w:t>-1</w:t>
      </w:r>
      <w:r>
        <w:rPr>
          <w:rFonts w:hint="eastAsia" w:eastAsia="宋体"/>
        </w:rPr>
        <w:t>。</w:t>
      </w:r>
    </w:p>
    <w:p>
      <w:pPr>
        <w:pStyle w:val="362"/>
        <w:spacing w:before="120" w:beforeLines="50"/>
        <w:rPr>
          <w:rFonts w:ascii="黑体" w:hAnsi="黑体" w:eastAsia="黑体" w:cs="黑体"/>
          <w:sz w:val="21"/>
          <w:szCs w:val="21"/>
        </w:rPr>
      </w:pPr>
      <w:r>
        <w:rPr>
          <w:rFonts w:hint="eastAsia" w:ascii="黑体" w:hAnsi="黑体" w:eastAsia="黑体" w:cs="黑体"/>
          <w:sz w:val="21"/>
          <w:szCs w:val="21"/>
        </w:rPr>
        <w:t>表</w:t>
      </w:r>
      <w:r>
        <w:rPr>
          <w:rFonts w:eastAsia="黑体"/>
          <w:sz w:val="21"/>
          <w:szCs w:val="21"/>
        </w:rPr>
        <w:t>8.3-1</w:t>
      </w:r>
      <w:r>
        <w:rPr>
          <w:rFonts w:hint="eastAsia" w:ascii="黑体" w:hAnsi="黑体" w:eastAsia="黑体" w:cs="黑体"/>
          <w:sz w:val="21"/>
          <w:szCs w:val="21"/>
        </w:rPr>
        <w:t xml:space="preserve">  本项目污染物排放清单及环境管理一览表</w:t>
      </w:r>
    </w:p>
    <w:tbl>
      <w:tblPr>
        <w:tblStyle w:val="88"/>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12"/>
        <w:gridCol w:w="1148"/>
        <w:gridCol w:w="708"/>
        <w:gridCol w:w="3882"/>
        <w:gridCol w:w="1088"/>
        <w:gridCol w:w="851"/>
        <w:gridCol w:w="10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Merge w:val="restart"/>
            <w:vAlign w:val="center"/>
          </w:tcPr>
          <w:p>
            <w:pPr>
              <w:snapToGrid w:val="0"/>
              <w:spacing w:line="240" w:lineRule="atLeast"/>
              <w:jc w:val="center"/>
              <w:rPr>
                <w:spacing w:val="-10"/>
                <w:sz w:val="21"/>
                <w:szCs w:val="21"/>
              </w:rPr>
            </w:pPr>
            <w:r>
              <w:rPr>
                <w:spacing w:val="-10"/>
                <w:sz w:val="21"/>
                <w:szCs w:val="21"/>
              </w:rPr>
              <w:t>分类</w:t>
            </w:r>
          </w:p>
        </w:tc>
        <w:tc>
          <w:tcPr>
            <w:tcW w:w="618" w:type="pct"/>
            <w:vMerge w:val="restart"/>
            <w:vAlign w:val="center"/>
          </w:tcPr>
          <w:p>
            <w:pPr>
              <w:snapToGrid w:val="0"/>
              <w:spacing w:line="240" w:lineRule="atLeast"/>
              <w:jc w:val="center"/>
              <w:rPr>
                <w:spacing w:val="-10"/>
                <w:sz w:val="21"/>
                <w:szCs w:val="21"/>
              </w:rPr>
            </w:pPr>
            <w:r>
              <w:rPr>
                <w:spacing w:val="-10"/>
                <w:sz w:val="21"/>
                <w:szCs w:val="21"/>
              </w:rPr>
              <w:t>排放源</w:t>
            </w:r>
          </w:p>
        </w:tc>
        <w:tc>
          <w:tcPr>
            <w:tcW w:w="381" w:type="pct"/>
            <w:vMerge w:val="restart"/>
            <w:vAlign w:val="center"/>
          </w:tcPr>
          <w:p>
            <w:pPr>
              <w:snapToGrid w:val="0"/>
              <w:spacing w:line="240" w:lineRule="atLeast"/>
              <w:jc w:val="center"/>
              <w:rPr>
                <w:spacing w:val="-10"/>
                <w:sz w:val="21"/>
                <w:szCs w:val="21"/>
              </w:rPr>
            </w:pPr>
            <w:r>
              <w:rPr>
                <w:spacing w:val="-10"/>
                <w:sz w:val="21"/>
                <w:szCs w:val="21"/>
              </w:rPr>
              <w:t>污染物</w:t>
            </w:r>
          </w:p>
        </w:tc>
        <w:tc>
          <w:tcPr>
            <w:tcW w:w="2090" w:type="pct"/>
            <w:vMerge w:val="restart"/>
            <w:vAlign w:val="center"/>
          </w:tcPr>
          <w:p>
            <w:pPr>
              <w:snapToGrid w:val="0"/>
              <w:spacing w:line="240" w:lineRule="atLeast"/>
              <w:jc w:val="center"/>
              <w:rPr>
                <w:spacing w:val="-10"/>
                <w:sz w:val="21"/>
                <w:szCs w:val="21"/>
              </w:rPr>
            </w:pPr>
            <w:r>
              <w:rPr>
                <w:spacing w:val="-10"/>
                <w:sz w:val="21"/>
                <w:szCs w:val="21"/>
              </w:rPr>
              <w:t>治理措施</w:t>
            </w:r>
          </w:p>
        </w:tc>
        <w:tc>
          <w:tcPr>
            <w:tcW w:w="1043" w:type="pct"/>
            <w:gridSpan w:val="2"/>
            <w:vAlign w:val="center"/>
          </w:tcPr>
          <w:p>
            <w:pPr>
              <w:snapToGrid w:val="0"/>
              <w:spacing w:line="240" w:lineRule="atLeast"/>
              <w:jc w:val="center"/>
              <w:rPr>
                <w:spacing w:val="-10"/>
                <w:sz w:val="21"/>
                <w:szCs w:val="21"/>
              </w:rPr>
            </w:pPr>
            <w:r>
              <w:rPr>
                <w:spacing w:val="-10"/>
                <w:sz w:val="21"/>
                <w:szCs w:val="21"/>
              </w:rPr>
              <w:t>排放情况</w:t>
            </w:r>
          </w:p>
        </w:tc>
        <w:tc>
          <w:tcPr>
            <w:tcW w:w="591" w:type="pct"/>
            <w:vMerge w:val="restart"/>
            <w:vAlign w:val="center"/>
          </w:tcPr>
          <w:p>
            <w:pPr>
              <w:snapToGrid w:val="0"/>
              <w:spacing w:line="240" w:lineRule="atLeast"/>
              <w:jc w:val="center"/>
              <w:rPr>
                <w:spacing w:val="-10"/>
                <w:sz w:val="21"/>
                <w:szCs w:val="21"/>
              </w:rPr>
            </w:pPr>
            <w:r>
              <w:rPr>
                <w:rFonts w:hint="eastAsia"/>
                <w:spacing w:val="-10"/>
                <w:sz w:val="21"/>
                <w:szCs w:val="21"/>
              </w:rPr>
              <w:t>执行标准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Merge w:val="continue"/>
            <w:vAlign w:val="center"/>
          </w:tcPr>
          <w:p>
            <w:pPr>
              <w:snapToGrid w:val="0"/>
              <w:spacing w:line="240" w:lineRule="atLeast"/>
              <w:jc w:val="center"/>
              <w:rPr>
                <w:spacing w:val="-10"/>
                <w:sz w:val="21"/>
                <w:szCs w:val="21"/>
              </w:rPr>
            </w:pPr>
          </w:p>
        </w:tc>
        <w:tc>
          <w:tcPr>
            <w:tcW w:w="618" w:type="pct"/>
            <w:vMerge w:val="continue"/>
            <w:vAlign w:val="center"/>
          </w:tcPr>
          <w:p>
            <w:pPr>
              <w:snapToGrid w:val="0"/>
              <w:spacing w:line="240" w:lineRule="atLeast"/>
              <w:jc w:val="center"/>
              <w:rPr>
                <w:spacing w:val="-10"/>
                <w:sz w:val="21"/>
                <w:szCs w:val="21"/>
              </w:rPr>
            </w:pPr>
          </w:p>
        </w:tc>
        <w:tc>
          <w:tcPr>
            <w:tcW w:w="381" w:type="pct"/>
            <w:vMerge w:val="continue"/>
            <w:vAlign w:val="center"/>
          </w:tcPr>
          <w:p>
            <w:pPr>
              <w:snapToGrid w:val="0"/>
              <w:spacing w:line="240" w:lineRule="atLeast"/>
              <w:jc w:val="center"/>
              <w:rPr>
                <w:spacing w:val="-10"/>
                <w:sz w:val="21"/>
                <w:szCs w:val="21"/>
              </w:rPr>
            </w:pPr>
          </w:p>
        </w:tc>
        <w:tc>
          <w:tcPr>
            <w:tcW w:w="2090" w:type="pct"/>
            <w:vMerge w:val="continue"/>
            <w:vAlign w:val="center"/>
          </w:tcPr>
          <w:p>
            <w:pPr>
              <w:snapToGrid w:val="0"/>
              <w:spacing w:line="240" w:lineRule="atLeast"/>
              <w:jc w:val="center"/>
              <w:rPr>
                <w:spacing w:val="-10"/>
                <w:sz w:val="21"/>
                <w:szCs w:val="21"/>
              </w:rPr>
            </w:pPr>
          </w:p>
        </w:tc>
        <w:tc>
          <w:tcPr>
            <w:tcW w:w="586" w:type="pct"/>
            <w:vAlign w:val="center"/>
          </w:tcPr>
          <w:p>
            <w:pPr>
              <w:snapToGrid w:val="0"/>
              <w:spacing w:line="240" w:lineRule="atLeast"/>
              <w:jc w:val="center"/>
              <w:rPr>
                <w:spacing w:val="-10"/>
                <w:sz w:val="21"/>
                <w:szCs w:val="21"/>
              </w:rPr>
            </w:pPr>
            <w:r>
              <w:rPr>
                <w:spacing w:val="-10"/>
                <w:sz w:val="21"/>
                <w:szCs w:val="21"/>
              </w:rPr>
              <w:t>排放浓度</w:t>
            </w:r>
            <w:r>
              <w:rPr>
                <w:rFonts w:hint="eastAsia"/>
                <w:spacing w:val="-10"/>
                <w:sz w:val="21"/>
                <w:szCs w:val="21"/>
              </w:rPr>
              <w:t>mg/m</w:t>
            </w:r>
            <w:r>
              <w:rPr>
                <w:rFonts w:hint="eastAsia"/>
                <w:spacing w:val="-10"/>
                <w:sz w:val="21"/>
                <w:szCs w:val="21"/>
                <w:vertAlign w:val="superscript"/>
              </w:rPr>
              <w:t>3</w:t>
            </w:r>
          </w:p>
        </w:tc>
        <w:tc>
          <w:tcPr>
            <w:tcW w:w="457" w:type="pct"/>
            <w:vAlign w:val="center"/>
          </w:tcPr>
          <w:p>
            <w:pPr>
              <w:snapToGrid w:val="0"/>
              <w:spacing w:line="240" w:lineRule="atLeast"/>
              <w:jc w:val="center"/>
              <w:rPr>
                <w:spacing w:val="-10"/>
                <w:sz w:val="21"/>
                <w:szCs w:val="21"/>
              </w:rPr>
            </w:pPr>
            <w:r>
              <w:rPr>
                <w:spacing w:val="-10"/>
                <w:sz w:val="21"/>
                <w:szCs w:val="21"/>
              </w:rPr>
              <w:t>排放量</w:t>
            </w:r>
          </w:p>
          <w:p>
            <w:pPr>
              <w:snapToGrid w:val="0"/>
              <w:spacing w:line="240" w:lineRule="atLeast"/>
              <w:jc w:val="center"/>
              <w:rPr>
                <w:spacing w:val="-10"/>
                <w:sz w:val="21"/>
                <w:szCs w:val="21"/>
              </w:rPr>
            </w:pPr>
            <w:r>
              <w:rPr>
                <w:rFonts w:hint="eastAsia"/>
                <w:spacing w:val="-10"/>
                <w:sz w:val="21"/>
                <w:szCs w:val="21"/>
              </w:rPr>
              <w:t>t/a</w:t>
            </w:r>
          </w:p>
        </w:tc>
        <w:tc>
          <w:tcPr>
            <w:tcW w:w="591" w:type="pct"/>
            <w:vMerge w:val="continue"/>
            <w:vAlign w:val="center"/>
          </w:tcPr>
          <w:p>
            <w:pPr>
              <w:snapToGrid w:val="0"/>
              <w:spacing w:line="240" w:lineRule="atLeast"/>
              <w:jc w:val="center"/>
              <w:rPr>
                <w:spacing w:val="-1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Merge w:val="restart"/>
            <w:vAlign w:val="center"/>
          </w:tcPr>
          <w:p>
            <w:pPr>
              <w:snapToGrid w:val="0"/>
              <w:spacing w:line="240" w:lineRule="atLeast"/>
              <w:jc w:val="center"/>
              <w:rPr>
                <w:spacing w:val="-10"/>
                <w:sz w:val="21"/>
                <w:szCs w:val="21"/>
              </w:rPr>
            </w:pPr>
            <w:r>
              <w:rPr>
                <w:spacing w:val="-10"/>
                <w:sz w:val="21"/>
                <w:szCs w:val="21"/>
              </w:rPr>
              <w:t>废气</w:t>
            </w:r>
          </w:p>
        </w:tc>
        <w:tc>
          <w:tcPr>
            <w:tcW w:w="618" w:type="pct"/>
            <w:vAlign w:val="center"/>
          </w:tcPr>
          <w:p>
            <w:pPr>
              <w:adjustRightInd w:val="0"/>
              <w:snapToGrid w:val="0"/>
              <w:spacing w:line="240" w:lineRule="atLeast"/>
              <w:jc w:val="center"/>
              <w:rPr>
                <w:spacing w:val="-10"/>
                <w:sz w:val="21"/>
                <w:szCs w:val="21"/>
              </w:rPr>
            </w:pPr>
            <w:r>
              <w:rPr>
                <w:rFonts w:hint="eastAsia"/>
                <w:spacing w:val="-10"/>
                <w:sz w:val="21"/>
                <w:szCs w:val="21"/>
              </w:rPr>
              <w:t>采装作业</w:t>
            </w:r>
          </w:p>
        </w:tc>
        <w:tc>
          <w:tcPr>
            <w:tcW w:w="381" w:type="pct"/>
            <w:vAlign w:val="center"/>
          </w:tcPr>
          <w:p>
            <w:pPr>
              <w:adjustRightInd w:val="0"/>
              <w:snapToGrid w:val="0"/>
              <w:spacing w:line="240" w:lineRule="atLeast"/>
              <w:jc w:val="center"/>
              <w:rPr>
                <w:spacing w:val="-10"/>
                <w:sz w:val="21"/>
                <w:szCs w:val="21"/>
              </w:rPr>
            </w:pPr>
            <w:r>
              <w:rPr>
                <w:rFonts w:hint="eastAsia"/>
                <w:spacing w:val="-10"/>
                <w:sz w:val="21"/>
                <w:szCs w:val="21"/>
              </w:rPr>
              <w:t>粉尘</w:t>
            </w:r>
          </w:p>
        </w:tc>
        <w:tc>
          <w:tcPr>
            <w:tcW w:w="2090" w:type="pct"/>
            <w:vAlign w:val="center"/>
          </w:tcPr>
          <w:p>
            <w:pPr>
              <w:adjustRightInd w:val="0"/>
              <w:snapToGrid w:val="0"/>
              <w:spacing w:line="240" w:lineRule="atLeast"/>
              <w:jc w:val="center"/>
              <w:rPr>
                <w:spacing w:val="-10"/>
                <w:sz w:val="21"/>
                <w:szCs w:val="21"/>
              </w:rPr>
            </w:pPr>
            <w:r>
              <w:rPr>
                <w:rFonts w:hint="eastAsia"/>
                <w:spacing w:val="-10"/>
                <w:sz w:val="21"/>
                <w:szCs w:val="21"/>
              </w:rPr>
              <w:t>设移动雾炮机全覆盖喷雾洒水抑尘</w:t>
            </w:r>
          </w:p>
        </w:tc>
        <w:tc>
          <w:tcPr>
            <w:tcW w:w="586" w:type="pct"/>
            <w:vAlign w:val="center"/>
          </w:tcPr>
          <w:p>
            <w:pPr>
              <w:adjustRightInd w:val="0"/>
              <w:snapToGrid w:val="0"/>
              <w:spacing w:line="240" w:lineRule="atLeast"/>
              <w:jc w:val="center"/>
              <w:rPr>
                <w:spacing w:val="-10"/>
                <w:sz w:val="21"/>
                <w:szCs w:val="21"/>
              </w:rPr>
            </w:pPr>
            <w:r>
              <w:rPr>
                <w:spacing w:val="-10"/>
                <w:sz w:val="21"/>
                <w:szCs w:val="21"/>
              </w:rPr>
              <w:t>/</w:t>
            </w:r>
          </w:p>
        </w:tc>
        <w:tc>
          <w:tcPr>
            <w:tcW w:w="457" w:type="pct"/>
            <w:vAlign w:val="center"/>
          </w:tcPr>
          <w:p>
            <w:pPr>
              <w:adjustRightInd w:val="0"/>
              <w:snapToGrid w:val="0"/>
              <w:spacing w:line="240" w:lineRule="atLeast"/>
              <w:jc w:val="center"/>
              <w:rPr>
                <w:spacing w:val="-10"/>
                <w:sz w:val="21"/>
                <w:szCs w:val="21"/>
              </w:rPr>
            </w:pPr>
            <w:r>
              <w:rPr>
                <w:spacing w:val="-10"/>
                <w:sz w:val="21"/>
                <w:szCs w:val="21"/>
              </w:rPr>
              <w:t>0.2</w:t>
            </w:r>
            <w:r>
              <w:rPr>
                <w:rFonts w:hint="eastAsia"/>
                <w:spacing w:val="-10"/>
                <w:sz w:val="21"/>
                <w:szCs w:val="21"/>
              </w:rPr>
              <w:t>38</w:t>
            </w:r>
          </w:p>
        </w:tc>
        <w:tc>
          <w:tcPr>
            <w:tcW w:w="591" w:type="pct"/>
            <w:vMerge w:val="restart"/>
            <w:vAlign w:val="center"/>
          </w:tcPr>
          <w:p>
            <w:pPr>
              <w:adjustRightInd w:val="0"/>
              <w:snapToGrid w:val="0"/>
              <w:spacing w:line="240" w:lineRule="atLeast"/>
              <w:jc w:val="center"/>
              <w:rPr>
                <w:b/>
                <w:bCs/>
                <w:spacing w:val="-10"/>
                <w:sz w:val="21"/>
                <w:szCs w:val="21"/>
              </w:rPr>
            </w:pPr>
            <w:r>
              <w:rPr>
                <w:spacing w:val="-10"/>
                <w:sz w:val="21"/>
                <w:szCs w:val="21"/>
              </w:rPr>
              <w:t>《水泥工业大气污染物排放标准》（GB4915-2013）</w:t>
            </w:r>
            <w:r>
              <w:rPr>
                <w:rFonts w:hint="eastAsia"/>
                <w:spacing w:val="-10"/>
                <w:sz w:val="21"/>
                <w:szCs w:val="21"/>
              </w:rPr>
              <w:t>中表3大气污染物无组织排放限值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Merge w:val="continue"/>
            <w:vAlign w:val="center"/>
          </w:tcPr>
          <w:p>
            <w:pPr>
              <w:snapToGrid w:val="0"/>
              <w:spacing w:line="240" w:lineRule="atLeast"/>
              <w:jc w:val="center"/>
              <w:rPr>
                <w:spacing w:val="-10"/>
                <w:sz w:val="21"/>
                <w:szCs w:val="21"/>
              </w:rPr>
            </w:pPr>
          </w:p>
        </w:tc>
        <w:tc>
          <w:tcPr>
            <w:tcW w:w="618" w:type="pct"/>
            <w:vAlign w:val="center"/>
          </w:tcPr>
          <w:p>
            <w:pPr>
              <w:adjustRightInd w:val="0"/>
              <w:snapToGrid w:val="0"/>
              <w:spacing w:line="240" w:lineRule="atLeast"/>
              <w:jc w:val="center"/>
              <w:rPr>
                <w:spacing w:val="-10"/>
                <w:sz w:val="21"/>
                <w:szCs w:val="21"/>
              </w:rPr>
            </w:pPr>
            <w:r>
              <w:rPr>
                <w:rFonts w:hint="eastAsia"/>
                <w:spacing w:val="-10"/>
                <w:sz w:val="21"/>
                <w:szCs w:val="21"/>
              </w:rPr>
              <w:t>排土场</w:t>
            </w:r>
          </w:p>
        </w:tc>
        <w:tc>
          <w:tcPr>
            <w:tcW w:w="381" w:type="pct"/>
            <w:vAlign w:val="center"/>
          </w:tcPr>
          <w:p>
            <w:pPr>
              <w:adjustRightInd w:val="0"/>
              <w:snapToGrid w:val="0"/>
              <w:spacing w:line="240" w:lineRule="atLeast"/>
              <w:jc w:val="center"/>
              <w:rPr>
                <w:spacing w:val="-10"/>
                <w:sz w:val="21"/>
                <w:szCs w:val="21"/>
              </w:rPr>
            </w:pPr>
            <w:r>
              <w:rPr>
                <w:rFonts w:hint="eastAsia"/>
                <w:spacing w:val="-10"/>
                <w:sz w:val="21"/>
                <w:szCs w:val="21"/>
              </w:rPr>
              <w:t>粉尘</w:t>
            </w:r>
          </w:p>
        </w:tc>
        <w:tc>
          <w:tcPr>
            <w:tcW w:w="2090" w:type="pct"/>
            <w:vAlign w:val="center"/>
          </w:tcPr>
          <w:p>
            <w:pPr>
              <w:adjustRightInd w:val="0"/>
              <w:snapToGrid w:val="0"/>
              <w:spacing w:line="240" w:lineRule="atLeast"/>
              <w:jc w:val="center"/>
              <w:rPr>
                <w:spacing w:val="-10"/>
                <w:sz w:val="21"/>
                <w:szCs w:val="21"/>
              </w:rPr>
            </w:pPr>
            <w:r>
              <w:rPr>
                <w:rFonts w:hint="eastAsia"/>
                <w:spacing w:val="-10"/>
                <w:sz w:val="21"/>
                <w:szCs w:val="21"/>
              </w:rPr>
              <w:t>堆土全部使用防尘网进行遮挡覆盖，作业区设雾炮机喷雾洒水抑尘</w:t>
            </w:r>
          </w:p>
        </w:tc>
        <w:tc>
          <w:tcPr>
            <w:tcW w:w="586" w:type="pct"/>
            <w:vAlign w:val="center"/>
          </w:tcPr>
          <w:p>
            <w:pPr>
              <w:adjustRightInd w:val="0"/>
              <w:snapToGrid w:val="0"/>
              <w:spacing w:line="240" w:lineRule="atLeast"/>
              <w:jc w:val="center"/>
              <w:rPr>
                <w:spacing w:val="-10"/>
                <w:sz w:val="21"/>
                <w:szCs w:val="21"/>
              </w:rPr>
            </w:pPr>
            <w:r>
              <w:rPr>
                <w:rFonts w:hint="eastAsia"/>
                <w:spacing w:val="-10"/>
                <w:sz w:val="21"/>
                <w:szCs w:val="21"/>
              </w:rPr>
              <w:t>/</w:t>
            </w:r>
          </w:p>
        </w:tc>
        <w:tc>
          <w:tcPr>
            <w:tcW w:w="457" w:type="pct"/>
            <w:vAlign w:val="center"/>
          </w:tcPr>
          <w:p>
            <w:pPr>
              <w:adjustRightInd w:val="0"/>
              <w:snapToGrid w:val="0"/>
              <w:spacing w:line="240" w:lineRule="atLeast"/>
              <w:jc w:val="center"/>
              <w:rPr>
                <w:spacing w:val="-10"/>
                <w:sz w:val="21"/>
                <w:szCs w:val="21"/>
              </w:rPr>
            </w:pPr>
            <w:r>
              <w:rPr>
                <w:rFonts w:hint="eastAsia"/>
                <w:spacing w:val="-10"/>
                <w:sz w:val="21"/>
                <w:szCs w:val="21"/>
              </w:rPr>
              <w:t>0.002</w:t>
            </w:r>
          </w:p>
        </w:tc>
        <w:tc>
          <w:tcPr>
            <w:tcW w:w="591" w:type="pct"/>
            <w:vMerge w:val="continue"/>
            <w:vAlign w:val="center"/>
          </w:tcPr>
          <w:p>
            <w:pPr>
              <w:adjustRightInd w:val="0"/>
              <w:snapToGrid w:val="0"/>
              <w:spacing w:line="240" w:lineRule="atLeast"/>
              <w:jc w:val="center"/>
              <w:rPr>
                <w:spacing w:val="-1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Merge w:val="continue"/>
            <w:vAlign w:val="center"/>
          </w:tcPr>
          <w:p>
            <w:pPr>
              <w:snapToGrid w:val="0"/>
              <w:spacing w:line="240" w:lineRule="atLeast"/>
              <w:jc w:val="center"/>
              <w:rPr>
                <w:spacing w:val="-10"/>
                <w:sz w:val="21"/>
                <w:szCs w:val="21"/>
              </w:rPr>
            </w:pPr>
          </w:p>
        </w:tc>
        <w:tc>
          <w:tcPr>
            <w:tcW w:w="618" w:type="pct"/>
            <w:vAlign w:val="center"/>
          </w:tcPr>
          <w:p>
            <w:pPr>
              <w:adjustRightInd w:val="0"/>
              <w:snapToGrid w:val="0"/>
              <w:spacing w:line="240" w:lineRule="atLeast"/>
              <w:jc w:val="center"/>
              <w:rPr>
                <w:spacing w:val="-10"/>
                <w:sz w:val="21"/>
                <w:szCs w:val="21"/>
              </w:rPr>
            </w:pPr>
            <w:r>
              <w:rPr>
                <w:rFonts w:hint="eastAsia"/>
                <w:spacing w:val="-10"/>
                <w:sz w:val="21"/>
                <w:szCs w:val="21"/>
              </w:rPr>
              <w:t>原料库</w:t>
            </w:r>
          </w:p>
        </w:tc>
        <w:tc>
          <w:tcPr>
            <w:tcW w:w="381" w:type="pct"/>
            <w:vAlign w:val="center"/>
          </w:tcPr>
          <w:p>
            <w:pPr>
              <w:adjustRightInd w:val="0"/>
              <w:snapToGrid w:val="0"/>
              <w:spacing w:line="240" w:lineRule="atLeast"/>
              <w:jc w:val="center"/>
              <w:rPr>
                <w:spacing w:val="-10"/>
                <w:sz w:val="21"/>
                <w:szCs w:val="21"/>
              </w:rPr>
            </w:pPr>
            <w:r>
              <w:rPr>
                <w:rFonts w:hint="eastAsia"/>
                <w:spacing w:val="-10"/>
                <w:sz w:val="21"/>
                <w:szCs w:val="21"/>
              </w:rPr>
              <w:t>粉尘</w:t>
            </w:r>
          </w:p>
        </w:tc>
        <w:tc>
          <w:tcPr>
            <w:tcW w:w="2090" w:type="pct"/>
            <w:vAlign w:val="center"/>
          </w:tcPr>
          <w:p>
            <w:pPr>
              <w:adjustRightInd w:val="0"/>
              <w:snapToGrid w:val="0"/>
              <w:spacing w:line="240" w:lineRule="atLeast"/>
              <w:jc w:val="center"/>
              <w:rPr>
                <w:spacing w:val="-10"/>
                <w:sz w:val="21"/>
                <w:szCs w:val="21"/>
              </w:rPr>
            </w:pPr>
            <w:r>
              <w:rPr>
                <w:rFonts w:hint="eastAsia"/>
                <w:spacing w:val="-10"/>
                <w:sz w:val="21"/>
                <w:szCs w:val="21"/>
              </w:rPr>
              <w:t>原料库全封闭</w:t>
            </w:r>
            <w:r>
              <w:rPr>
                <w:spacing w:val="-10"/>
                <w:sz w:val="21"/>
                <w:szCs w:val="21"/>
              </w:rPr>
              <w:t>，</w:t>
            </w:r>
            <w:r>
              <w:rPr>
                <w:rFonts w:hint="eastAsia"/>
                <w:spacing w:val="-10"/>
                <w:sz w:val="21"/>
                <w:szCs w:val="21"/>
              </w:rPr>
              <w:t>并设雾炮机喷雾</w:t>
            </w:r>
            <w:r>
              <w:rPr>
                <w:spacing w:val="-10"/>
                <w:sz w:val="21"/>
                <w:szCs w:val="21"/>
              </w:rPr>
              <w:t>洒水抑尘</w:t>
            </w:r>
          </w:p>
        </w:tc>
        <w:tc>
          <w:tcPr>
            <w:tcW w:w="586" w:type="pct"/>
            <w:vAlign w:val="center"/>
          </w:tcPr>
          <w:p>
            <w:pPr>
              <w:adjustRightInd w:val="0"/>
              <w:snapToGrid w:val="0"/>
              <w:spacing w:line="240" w:lineRule="atLeast"/>
              <w:jc w:val="center"/>
              <w:rPr>
                <w:spacing w:val="-10"/>
                <w:sz w:val="21"/>
                <w:szCs w:val="21"/>
              </w:rPr>
            </w:pPr>
            <w:r>
              <w:rPr>
                <w:spacing w:val="-10"/>
                <w:sz w:val="21"/>
                <w:szCs w:val="21"/>
              </w:rPr>
              <w:t>/</w:t>
            </w:r>
          </w:p>
        </w:tc>
        <w:tc>
          <w:tcPr>
            <w:tcW w:w="457" w:type="pct"/>
            <w:vAlign w:val="center"/>
          </w:tcPr>
          <w:p>
            <w:pPr>
              <w:adjustRightInd w:val="0"/>
              <w:snapToGrid w:val="0"/>
              <w:spacing w:line="240" w:lineRule="atLeast"/>
              <w:jc w:val="center"/>
              <w:rPr>
                <w:spacing w:val="-10"/>
                <w:sz w:val="21"/>
                <w:szCs w:val="21"/>
              </w:rPr>
            </w:pPr>
            <w:r>
              <w:rPr>
                <w:spacing w:val="-10"/>
                <w:sz w:val="21"/>
                <w:szCs w:val="21"/>
              </w:rPr>
              <w:t>0.</w:t>
            </w:r>
            <w:r>
              <w:rPr>
                <w:rFonts w:hint="eastAsia"/>
                <w:spacing w:val="-10"/>
                <w:sz w:val="21"/>
                <w:szCs w:val="21"/>
              </w:rPr>
              <w:t>011</w:t>
            </w:r>
          </w:p>
        </w:tc>
        <w:tc>
          <w:tcPr>
            <w:tcW w:w="591" w:type="pct"/>
            <w:vMerge w:val="continue"/>
            <w:vAlign w:val="center"/>
          </w:tcPr>
          <w:p>
            <w:pPr>
              <w:adjustRightInd w:val="0"/>
              <w:snapToGrid w:val="0"/>
              <w:spacing w:line="240" w:lineRule="atLeast"/>
              <w:jc w:val="center"/>
              <w:rPr>
                <w:spacing w:val="-1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Merge w:val="continue"/>
            <w:vAlign w:val="center"/>
          </w:tcPr>
          <w:p>
            <w:pPr>
              <w:snapToGrid w:val="0"/>
              <w:spacing w:line="240" w:lineRule="atLeast"/>
              <w:jc w:val="center"/>
              <w:rPr>
                <w:spacing w:val="-10"/>
                <w:sz w:val="21"/>
                <w:szCs w:val="21"/>
              </w:rPr>
            </w:pPr>
          </w:p>
        </w:tc>
        <w:tc>
          <w:tcPr>
            <w:tcW w:w="618" w:type="pct"/>
            <w:vAlign w:val="center"/>
          </w:tcPr>
          <w:p>
            <w:pPr>
              <w:adjustRightInd w:val="0"/>
              <w:snapToGrid w:val="0"/>
              <w:spacing w:line="240" w:lineRule="atLeast"/>
              <w:jc w:val="center"/>
              <w:rPr>
                <w:spacing w:val="-10"/>
                <w:sz w:val="21"/>
                <w:szCs w:val="21"/>
              </w:rPr>
            </w:pPr>
            <w:r>
              <w:rPr>
                <w:rFonts w:hint="eastAsia"/>
                <w:spacing w:val="-10"/>
                <w:sz w:val="21"/>
                <w:szCs w:val="21"/>
              </w:rPr>
              <w:t>道路运输</w:t>
            </w:r>
          </w:p>
        </w:tc>
        <w:tc>
          <w:tcPr>
            <w:tcW w:w="381" w:type="pct"/>
            <w:vAlign w:val="center"/>
          </w:tcPr>
          <w:p>
            <w:pPr>
              <w:adjustRightInd w:val="0"/>
              <w:snapToGrid w:val="0"/>
              <w:spacing w:line="240" w:lineRule="atLeast"/>
              <w:jc w:val="center"/>
              <w:rPr>
                <w:spacing w:val="-10"/>
                <w:sz w:val="21"/>
                <w:szCs w:val="21"/>
              </w:rPr>
            </w:pPr>
            <w:r>
              <w:rPr>
                <w:rFonts w:hint="eastAsia"/>
                <w:spacing w:val="-10"/>
                <w:sz w:val="21"/>
                <w:szCs w:val="21"/>
              </w:rPr>
              <w:t>扬</w:t>
            </w:r>
            <w:r>
              <w:rPr>
                <w:spacing w:val="-10"/>
                <w:sz w:val="21"/>
                <w:szCs w:val="21"/>
              </w:rPr>
              <w:t>尘</w:t>
            </w:r>
          </w:p>
        </w:tc>
        <w:tc>
          <w:tcPr>
            <w:tcW w:w="2090" w:type="pct"/>
            <w:vAlign w:val="center"/>
          </w:tcPr>
          <w:p>
            <w:pPr>
              <w:adjustRightInd w:val="0"/>
              <w:snapToGrid w:val="0"/>
              <w:spacing w:line="240" w:lineRule="atLeast"/>
              <w:jc w:val="center"/>
              <w:rPr>
                <w:spacing w:val="-10"/>
                <w:sz w:val="21"/>
                <w:szCs w:val="21"/>
              </w:rPr>
            </w:pPr>
            <w:r>
              <w:rPr>
                <w:rFonts w:hint="eastAsia"/>
                <w:spacing w:val="-10"/>
                <w:sz w:val="21"/>
                <w:szCs w:val="21"/>
              </w:rPr>
              <w:t>工业场地进出口设洗车平台，运输车辆出厂时进行冲洗；厂区道路硬化，定期洒水、及时清扫；运输车辆进行苫盖</w:t>
            </w:r>
          </w:p>
          <w:p>
            <w:pPr>
              <w:adjustRightInd w:val="0"/>
              <w:snapToGrid w:val="0"/>
              <w:spacing w:line="240" w:lineRule="atLeast"/>
              <w:jc w:val="center"/>
              <w:rPr>
                <w:spacing w:val="-10"/>
                <w:sz w:val="21"/>
                <w:szCs w:val="21"/>
              </w:rPr>
            </w:pPr>
            <w:r>
              <w:rPr>
                <w:rFonts w:hint="eastAsia"/>
                <w:spacing w:val="-10"/>
                <w:sz w:val="21"/>
                <w:szCs w:val="21"/>
              </w:rPr>
              <w:t xml:space="preserve"> </w:t>
            </w:r>
          </w:p>
        </w:tc>
        <w:tc>
          <w:tcPr>
            <w:tcW w:w="586" w:type="pct"/>
            <w:vAlign w:val="center"/>
          </w:tcPr>
          <w:p>
            <w:pPr>
              <w:adjustRightInd w:val="0"/>
              <w:snapToGrid w:val="0"/>
              <w:spacing w:line="240" w:lineRule="atLeast"/>
              <w:jc w:val="center"/>
              <w:rPr>
                <w:spacing w:val="-10"/>
                <w:sz w:val="21"/>
                <w:szCs w:val="21"/>
              </w:rPr>
            </w:pPr>
            <w:r>
              <w:rPr>
                <w:spacing w:val="-10"/>
                <w:sz w:val="21"/>
                <w:szCs w:val="21"/>
              </w:rPr>
              <w:t>/</w:t>
            </w:r>
          </w:p>
        </w:tc>
        <w:tc>
          <w:tcPr>
            <w:tcW w:w="457" w:type="pct"/>
            <w:vAlign w:val="center"/>
          </w:tcPr>
          <w:p>
            <w:pPr>
              <w:adjustRightInd w:val="0"/>
              <w:snapToGrid w:val="0"/>
              <w:spacing w:line="240" w:lineRule="atLeast"/>
              <w:jc w:val="center"/>
              <w:rPr>
                <w:spacing w:val="-10"/>
                <w:sz w:val="21"/>
                <w:szCs w:val="21"/>
              </w:rPr>
            </w:pPr>
            <w:r>
              <w:rPr>
                <w:rFonts w:hint="eastAsia"/>
                <w:spacing w:val="-10"/>
                <w:sz w:val="21"/>
                <w:szCs w:val="21"/>
              </w:rPr>
              <w:t>0.075</w:t>
            </w:r>
          </w:p>
        </w:tc>
        <w:tc>
          <w:tcPr>
            <w:tcW w:w="591" w:type="pct"/>
            <w:vMerge w:val="continue"/>
            <w:vAlign w:val="center"/>
          </w:tcPr>
          <w:p>
            <w:pPr>
              <w:adjustRightInd w:val="0"/>
              <w:snapToGrid w:val="0"/>
              <w:spacing w:line="240" w:lineRule="atLeast"/>
              <w:jc w:val="center"/>
              <w:rPr>
                <w:spacing w:val="-1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Merge w:val="restart"/>
            <w:vAlign w:val="center"/>
          </w:tcPr>
          <w:p>
            <w:pPr>
              <w:snapToGrid w:val="0"/>
              <w:spacing w:line="240" w:lineRule="atLeast"/>
              <w:jc w:val="center"/>
              <w:rPr>
                <w:spacing w:val="-10"/>
                <w:sz w:val="21"/>
                <w:szCs w:val="21"/>
              </w:rPr>
            </w:pPr>
            <w:r>
              <w:rPr>
                <w:spacing w:val="-10"/>
                <w:sz w:val="21"/>
                <w:szCs w:val="21"/>
              </w:rPr>
              <w:t>废水</w:t>
            </w:r>
          </w:p>
        </w:tc>
        <w:tc>
          <w:tcPr>
            <w:tcW w:w="618" w:type="pct"/>
            <w:vAlign w:val="center"/>
          </w:tcPr>
          <w:p>
            <w:pPr>
              <w:snapToGrid w:val="0"/>
              <w:spacing w:line="240" w:lineRule="atLeast"/>
              <w:jc w:val="center"/>
              <w:rPr>
                <w:spacing w:val="-10"/>
                <w:sz w:val="21"/>
                <w:szCs w:val="21"/>
              </w:rPr>
            </w:pPr>
            <w:r>
              <w:rPr>
                <w:spacing w:val="-10"/>
                <w:sz w:val="21"/>
                <w:szCs w:val="21"/>
              </w:rPr>
              <w:t>生活污水</w:t>
            </w:r>
          </w:p>
        </w:tc>
        <w:tc>
          <w:tcPr>
            <w:tcW w:w="381" w:type="pct"/>
            <w:vAlign w:val="center"/>
          </w:tcPr>
          <w:p>
            <w:pPr>
              <w:snapToGrid w:val="0"/>
              <w:spacing w:line="240" w:lineRule="atLeast"/>
              <w:jc w:val="center"/>
              <w:rPr>
                <w:spacing w:val="-10"/>
                <w:sz w:val="21"/>
                <w:szCs w:val="21"/>
              </w:rPr>
            </w:pPr>
            <w:r>
              <w:rPr>
                <w:spacing w:val="-10"/>
                <w:sz w:val="21"/>
                <w:szCs w:val="21"/>
              </w:rPr>
              <w:t>SS、COD</w:t>
            </w:r>
          </w:p>
        </w:tc>
        <w:tc>
          <w:tcPr>
            <w:tcW w:w="3133" w:type="pct"/>
            <w:gridSpan w:val="3"/>
            <w:vAlign w:val="center"/>
          </w:tcPr>
          <w:p>
            <w:pPr>
              <w:snapToGrid w:val="0"/>
              <w:spacing w:line="240" w:lineRule="atLeast"/>
              <w:jc w:val="center"/>
              <w:rPr>
                <w:spacing w:val="-10"/>
                <w:sz w:val="21"/>
                <w:szCs w:val="21"/>
              </w:rPr>
            </w:pPr>
            <w:r>
              <w:rPr>
                <w:rFonts w:hint="eastAsia"/>
                <w:spacing w:val="-10"/>
                <w:sz w:val="21"/>
                <w:szCs w:val="21"/>
              </w:rPr>
              <w:t>沉淀后</w:t>
            </w:r>
            <w:r>
              <w:rPr>
                <w:spacing w:val="-10"/>
                <w:sz w:val="21"/>
                <w:szCs w:val="21"/>
              </w:rPr>
              <w:t>用于道路洒水抑尘</w:t>
            </w:r>
          </w:p>
        </w:tc>
        <w:tc>
          <w:tcPr>
            <w:tcW w:w="591" w:type="pct"/>
            <w:vAlign w:val="center"/>
          </w:tcPr>
          <w:p>
            <w:pPr>
              <w:snapToGrid w:val="0"/>
              <w:spacing w:line="240" w:lineRule="atLeast"/>
              <w:jc w:val="center"/>
              <w:rPr>
                <w:spacing w:val="-10"/>
                <w:sz w:val="21"/>
                <w:szCs w:val="21"/>
              </w:rPr>
            </w:pPr>
            <w:r>
              <w:rPr>
                <w:rFonts w:hint="eastAsia"/>
                <w:spacing w:val="-10"/>
                <w:sz w:val="21"/>
                <w:szCs w:val="21"/>
              </w:rPr>
              <w:t>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Merge w:val="continue"/>
            <w:vAlign w:val="center"/>
          </w:tcPr>
          <w:p>
            <w:pPr>
              <w:snapToGrid w:val="0"/>
              <w:spacing w:line="240" w:lineRule="atLeast"/>
              <w:jc w:val="center"/>
              <w:rPr>
                <w:spacing w:val="-10"/>
                <w:sz w:val="21"/>
                <w:szCs w:val="21"/>
              </w:rPr>
            </w:pPr>
          </w:p>
        </w:tc>
        <w:tc>
          <w:tcPr>
            <w:tcW w:w="618" w:type="pct"/>
            <w:vAlign w:val="center"/>
          </w:tcPr>
          <w:p>
            <w:pPr>
              <w:snapToGrid w:val="0"/>
              <w:spacing w:line="240" w:lineRule="atLeast"/>
              <w:jc w:val="center"/>
              <w:rPr>
                <w:spacing w:val="-10"/>
                <w:sz w:val="21"/>
                <w:szCs w:val="21"/>
              </w:rPr>
            </w:pPr>
            <w:r>
              <w:rPr>
                <w:rFonts w:hint="eastAsia"/>
                <w:spacing w:val="-10"/>
                <w:sz w:val="21"/>
                <w:szCs w:val="21"/>
              </w:rPr>
              <w:t>洗车废水</w:t>
            </w:r>
          </w:p>
        </w:tc>
        <w:tc>
          <w:tcPr>
            <w:tcW w:w="381" w:type="pct"/>
            <w:vAlign w:val="center"/>
          </w:tcPr>
          <w:p>
            <w:pPr>
              <w:snapToGrid w:val="0"/>
              <w:spacing w:line="240" w:lineRule="atLeast"/>
              <w:jc w:val="center"/>
              <w:rPr>
                <w:spacing w:val="-10"/>
                <w:sz w:val="21"/>
                <w:szCs w:val="21"/>
              </w:rPr>
            </w:pPr>
            <w:r>
              <w:rPr>
                <w:rFonts w:hint="eastAsia"/>
                <w:spacing w:val="-10"/>
                <w:sz w:val="21"/>
                <w:szCs w:val="21"/>
              </w:rPr>
              <w:t>盐类</w:t>
            </w:r>
          </w:p>
        </w:tc>
        <w:tc>
          <w:tcPr>
            <w:tcW w:w="3133" w:type="pct"/>
            <w:gridSpan w:val="3"/>
            <w:vAlign w:val="center"/>
          </w:tcPr>
          <w:p>
            <w:pPr>
              <w:snapToGrid w:val="0"/>
              <w:spacing w:line="240" w:lineRule="atLeast"/>
              <w:jc w:val="center"/>
              <w:rPr>
                <w:spacing w:val="-10"/>
                <w:sz w:val="21"/>
                <w:szCs w:val="21"/>
              </w:rPr>
            </w:pPr>
            <w:r>
              <w:rPr>
                <w:rFonts w:hint="eastAsia"/>
                <w:spacing w:val="-10"/>
                <w:sz w:val="21"/>
                <w:szCs w:val="21"/>
              </w:rPr>
              <w:t>沉淀后回用于洗车</w:t>
            </w:r>
          </w:p>
        </w:tc>
        <w:tc>
          <w:tcPr>
            <w:tcW w:w="591" w:type="pct"/>
            <w:vAlign w:val="center"/>
          </w:tcPr>
          <w:p>
            <w:pPr>
              <w:snapToGrid w:val="0"/>
              <w:spacing w:line="240" w:lineRule="atLeast"/>
              <w:jc w:val="center"/>
              <w:rPr>
                <w:spacing w:val="-10"/>
                <w:sz w:val="21"/>
                <w:szCs w:val="21"/>
              </w:rPr>
            </w:pPr>
            <w:r>
              <w:rPr>
                <w:rFonts w:hint="eastAsia"/>
                <w:spacing w:val="-10"/>
                <w:sz w:val="21"/>
                <w:szCs w:val="21"/>
              </w:rPr>
              <w:t>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Align w:val="center"/>
          </w:tcPr>
          <w:p>
            <w:pPr>
              <w:snapToGrid w:val="0"/>
              <w:spacing w:line="240" w:lineRule="atLeast"/>
              <w:jc w:val="center"/>
              <w:rPr>
                <w:spacing w:val="-10"/>
                <w:sz w:val="21"/>
                <w:szCs w:val="21"/>
              </w:rPr>
            </w:pPr>
            <w:r>
              <w:rPr>
                <w:spacing w:val="-10"/>
                <w:sz w:val="21"/>
                <w:szCs w:val="21"/>
              </w:rPr>
              <w:t>噪声</w:t>
            </w:r>
          </w:p>
        </w:tc>
        <w:tc>
          <w:tcPr>
            <w:tcW w:w="618" w:type="pct"/>
            <w:vAlign w:val="center"/>
          </w:tcPr>
          <w:p>
            <w:pPr>
              <w:snapToGrid w:val="0"/>
              <w:spacing w:line="240" w:lineRule="atLeast"/>
              <w:jc w:val="center"/>
              <w:rPr>
                <w:spacing w:val="-10"/>
                <w:sz w:val="21"/>
                <w:szCs w:val="21"/>
              </w:rPr>
            </w:pPr>
            <w:r>
              <w:rPr>
                <w:rFonts w:hint="eastAsia"/>
                <w:spacing w:val="-10"/>
                <w:sz w:val="21"/>
                <w:szCs w:val="21"/>
              </w:rPr>
              <w:t>挖掘机、装载机、雾炮机和水泵等设备</w:t>
            </w:r>
          </w:p>
        </w:tc>
        <w:tc>
          <w:tcPr>
            <w:tcW w:w="381" w:type="pct"/>
            <w:vAlign w:val="center"/>
          </w:tcPr>
          <w:p>
            <w:pPr>
              <w:snapToGrid w:val="0"/>
              <w:spacing w:line="240" w:lineRule="atLeast"/>
              <w:jc w:val="center"/>
              <w:rPr>
                <w:iCs/>
                <w:spacing w:val="-10"/>
                <w:sz w:val="21"/>
                <w:szCs w:val="21"/>
              </w:rPr>
            </w:pPr>
            <w:r>
              <w:rPr>
                <w:iCs/>
                <w:spacing w:val="-10"/>
                <w:sz w:val="21"/>
                <w:szCs w:val="21"/>
              </w:rPr>
              <w:t>噪声</w:t>
            </w:r>
          </w:p>
        </w:tc>
        <w:tc>
          <w:tcPr>
            <w:tcW w:w="3133" w:type="pct"/>
            <w:gridSpan w:val="3"/>
            <w:vAlign w:val="center"/>
          </w:tcPr>
          <w:p>
            <w:pPr>
              <w:snapToGrid w:val="0"/>
              <w:spacing w:line="240" w:lineRule="atLeast"/>
              <w:jc w:val="center"/>
              <w:rPr>
                <w:iCs/>
                <w:spacing w:val="-10"/>
                <w:sz w:val="21"/>
                <w:szCs w:val="21"/>
              </w:rPr>
            </w:pPr>
            <w:r>
              <w:rPr>
                <w:rFonts w:hint="eastAsia"/>
                <w:iCs/>
                <w:spacing w:val="-10"/>
                <w:sz w:val="21"/>
                <w:szCs w:val="21"/>
              </w:rPr>
              <w:t>选用低噪声设备，基础减振，封闭隔声，加强管理</w:t>
            </w:r>
          </w:p>
        </w:tc>
        <w:tc>
          <w:tcPr>
            <w:tcW w:w="591" w:type="pct"/>
            <w:vAlign w:val="center"/>
          </w:tcPr>
          <w:p>
            <w:pPr>
              <w:snapToGrid w:val="0"/>
              <w:spacing w:line="240" w:lineRule="atLeast"/>
              <w:jc w:val="center"/>
              <w:rPr>
                <w:iCs/>
                <w:spacing w:val="-10"/>
                <w:sz w:val="21"/>
                <w:szCs w:val="21"/>
              </w:rPr>
            </w:pPr>
            <w:r>
              <w:rPr>
                <w:rFonts w:hint="eastAsia"/>
                <w:iCs/>
                <w:spacing w:val="-10"/>
                <w:sz w:val="21"/>
                <w:szCs w:val="21"/>
              </w:rPr>
              <w:t>达标排放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Merge w:val="restart"/>
            <w:vAlign w:val="center"/>
          </w:tcPr>
          <w:p>
            <w:pPr>
              <w:snapToGrid w:val="0"/>
              <w:spacing w:line="240" w:lineRule="atLeast"/>
              <w:jc w:val="center"/>
              <w:rPr>
                <w:spacing w:val="-10"/>
                <w:sz w:val="21"/>
                <w:szCs w:val="21"/>
              </w:rPr>
            </w:pPr>
            <w:r>
              <w:rPr>
                <w:rFonts w:hint="eastAsia"/>
                <w:spacing w:val="-10"/>
                <w:sz w:val="21"/>
                <w:szCs w:val="21"/>
              </w:rPr>
              <w:t>固废</w:t>
            </w:r>
          </w:p>
        </w:tc>
        <w:tc>
          <w:tcPr>
            <w:tcW w:w="618" w:type="pct"/>
            <w:vAlign w:val="center"/>
          </w:tcPr>
          <w:p>
            <w:pPr>
              <w:snapToGrid w:val="0"/>
              <w:spacing w:line="240" w:lineRule="atLeast"/>
              <w:jc w:val="center"/>
              <w:rPr>
                <w:spacing w:val="-10"/>
                <w:sz w:val="21"/>
                <w:szCs w:val="21"/>
              </w:rPr>
            </w:pPr>
            <w:r>
              <w:rPr>
                <w:rFonts w:hint="eastAsia"/>
                <w:spacing w:val="-10"/>
                <w:sz w:val="21"/>
                <w:szCs w:val="21"/>
              </w:rPr>
              <w:t>开采</w:t>
            </w:r>
          </w:p>
        </w:tc>
        <w:tc>
          <w:tcPr>
            <w:tcW w:w="381" w:type="pct"/>
            <w:vAlign w:val="center"/>
          </w:tcPr>
          <w:p>
            <w:pPr>
              <w:snapToGrid w:val="0"/>
              <w:spacing w:line="240" w:lineRule="atLeast"/>
              <w:jc w:val="center"/>
              <w:rPr>
                <w:spacing w:val="-10"/>
                <w:sz w:val="21"/>
                <w:szCs w:val="21"/>
              </w:rPr>
            </w:pPr>
            <w:r>
              <w:rPr>
                <w:rFonts w:hint="eastAsia"/>
                <w:spacing w:val="-10"/>
                <w:sz w:val="21"/>
                <w:szCs w:val="21"/>
              </w:rPr>
              <w:t>剥离土</w:t>
            </w:r>
          </w:p>
        </w:tc>
        <w:tc>
          <w:tcPr>
            <w:tcW w:w="3133" w:type="pct"/>
            <w:gridSpan w:val="3"/>
            <w:vAlign w:val="center"/>
          </w:tcPr>
          <w:p>
            <w:pPr>
              <w:snapToGrid w:val="0"/>
              <w:spacing w:line="240" w:lineRule="atLeast"/>
              <w:jc w:val="center"/>
              <w:rPr>
                <w:spacing w:val="-10"/>
                <w:sz w:val="21"/>
                <w:szCs w:val="21"/>
              </w:rPr>
            </w:pPr>
            <w:r>
              <w:rPr>
                <w:rFonts w:hint="eastAsia"/>
                <w:sz w:val="21"/>
                <w:szCs w:val="21"/>
              </w:rPr>
              <w:t>矿区内设排土场，剥离土后期用于土地复垦；排土场内单独设置表土临时堆场，排土场上游设截洪沟，下游设拦土墙</w:t>
            </w:r>
          </w:p>
        </w:tc>
        <w:tc>
          <w:tcPr>
            <w:tcW w:w="591" w:type="pct"/>
            <w:vAlign w:val="center"/>
          </w:tcPr>
          <w:p>
            <w:pPr>
              <w:snapToGrid w:val="0"/>
              <w:spacing w:line="240" w:lineRule="atLeast"/>
              <w:jc w:val="center"/>
              <w:rPr>
                <w:spacing w:val="-10"/>
                <w:sz w:val="21"/>
                <w:szCs w:val="21"/>
              </w:rPr>
            </w:pPr>
            <w:r>
              <w:rPr>
                <w:rFonts w:hint="eastAsia"/>
                <w:spacing w:val="-10"/>
                <w:sz w:val="21"/>
                <w:szCs w:val="21"/>
              </w:rPr>
              <w:t>合理处置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Merge w:val="continue"/>
            <w:vAlign w:val="center"/>
          </w:tcPr>
          <w:p>
            <w:pPr>
              <w:snapToGrid w:val="0"/>
              <w:spacing w:line="240" w:lineRule="atLeast"/>
              <w:jc w:val="center"/>
              <w:rPr>
                <w:spacing w:val="-10"/>
                <w:sz w:val="21"/>
                <w:szCs w:val="21"/>
              </w:rPr>
            </w:pPr>
          </w:p>
        </w:tc>
        <w:tc>
          <w:tcPr>
            <w:tcW w:w="618" w:type="pct"/>
            <w:vAlign w:val="center"/>
          </w:tcPr>
          <w:p>
            <w:pPr>
              <w:snapToGrid w:val="0"/>
              <w:spacing w:line="240" w:lineRule="atLeast"/>
              <w:jc w:val="center"/>
              <w:rPr>
                <w:spacing w:val="-10"/>
                <w:sz w:val="21"/>
                <w:szCs w:val="21"/>
              </w:rPr>
            </w:pPr>
            <w:r>
              <w:rPr>
                <w:rFonts w:hint="eastAsia"/>
                <w:spacing w:val="-10"/>
                <w:sz w:val="21"/>
                <w:szCs w:val="21"/>
              </w:rPr>
              <w:t>职工生活</w:t>
            </w:r>
          </w:p>
        </w:tc>
        <w:tc>
          <w:tcPr>
            <w:tcW w:w="381" w:type="pct"/>
            <w:vAlign w:val="center"/>
          </w:tcPr>
          <w:p>
            <w:pPr>
              <w:snapToGrid w:val="0"/>
              <w:spacing w:line="240" w:lineRule="atLeast"/>
              <w:jc w:val="center"/>
              <w:rPr>
                <w:spacing w:val="-10"/>
                <w:sz w:val="21"/>
                <w:szCs w:val="21"/>
              </w:rPr>
            </w:pPr>
            <w:r>
              <w:rPr>
                <w:spacing w:val="-10"/>
                <w:sz w:val="21"/>
                <w:szCs w:val="21"/>
              </w:rPr>
              <w:t>生活垃圾</w:t>
            </w:r>
          </w:p>
        </w:tc>
        <w:tc>
          <w:tcPr>
            <w:tcW w:w="3133" w:type="pct"/>
            <w:gridSpan w:val="3"/>
            <w:vAlign w:val="center"/>
          </w:tcPr>
          <w:p>
            <w:pPr>
              <w:snapToGrid w:val="0"/>
              <w:spacing w:line="240" w:lineRule="atLeast"/>
              <w:jc w:val="center"/>
              <w:rPr>
                <w:spacing w:val="-10"/>
                <w:sz w:val="21"/>
                <w:szCs w:val="21"/>
              </w:rPr>
            </w:pPr>
            <w:r>
              <w:rPr>
                <w:rFonts w:hint="eastAsia"/>
                <w:spacing w:val="-10"/>
                <w:sz w:val="21"/>
                <w:szCs w:val="21"/>
              </w:rPr>
              <w:t>设垃圾箱收集，定期</w:t>
            </w:r>
            <w:r>
              <w:rPr>
                <w:spacing w:val="-10"/>
                <w:sz w:val="21"/>
                <w:szCs w:val="21"/>
              </w:rPr>
              <w:t>送至环卫部门指定地点处置</w:t>
            </w:r>
          </w:p>
        </w:tc>
        <w:tc>
          <w:tcPr>
            <w:tcW w:w="591" w:type="pct"/>
            <w:vAlign w:val="center"/>
          </w:tcPr>
          <w:p>
            <w:pPr>
              <w:snapToGrid w:val="0"/>
              <w:spacing w:line="240" w:lineRule="atLeast"/>
              <w:jc w:val="center"/>
              <w:rPr>
                <w:spacing w:val="-10"/>
                <w:sz w:val="21"/>
                <w:szCs w:val="21"/>
              </w:rPr>
            </w:pPr>
            <w:r>
              <w:rPr>
                <w:rFonts w:hint="eastAsia"/>
                <w:spacing w:val="-10"/>
                <w:sz w:val="21"/>
                <w:szCs w:val="21"/>
              </w:rPr>
              <w:t>合理处置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Merge w:val="continue"/>
            <w:vAlign w:val="center"/>
          </w:tcPr>
          <w:p>
            <w:pPr>
              <w:snapToGrid w:val="0"/>
              <w:spacing w:line="240" w:lineRule="atLeast"/>
              <w:jc w:val="center"/>
              <w:rPr>
                <w:spacing w:val="-10"/>
                <w:sz w:val="21"/>
                <w:szCs w:val="21"/>
              </w:rPr>
            </w:pPr>
          </w:p>
        </w:tc>
        <w:tc>
          <w:tcPr>
            <w:tcW w:w="618" w:type="pct"/>
            <w:vAlign w:val="center"/>
          </w:tcPr>
          <w:p>
            <w:pPr>
              <w:snapToGrid w:val="0"/>
              <w:spacing w:line="240" w:lineRule="atLeast"/>
              <w:jc w:val="center"/>
              <w:rPr>
                <w:spacing w:val="-10"/>
                <w:sz w:val="21"/>
                <w:szCs w:val="21"/>
              </w:rPr>
            </w:pPr>
            <w:r>
              <w:rPr>
                <w:bCs/>
                <w:snapToGrid w:val="0"/>
                <w:spacing w:val="-10"/>
                <w:sz w:val="21"/>
                <w:szCs w:val="20"/>
              </w:rPr>
              <w:t>设备</w:t>
            </w:r>
            <w:r>
              <w:rPr>
                <w:rFonts w:hint="eastAsia"/>
                <w:bCs/>
                <w:snapToGrid w:val="0"/>
                <w:spacing w:val="-10"/>
                <w:sz w:val="21"/>
                <w:szCs w:val="20"/>
              </w:rPr>
              <w:t>维修</w:t>
            </w:r>
          </w:p>
        </w:tc>
        <w:tc>
          <w:tcPr>
            <w:tcW w:w="381" w:type="pct"/>
            <w:vAlign w:val="center"/>
          </w:tcPr>
          <w:p>
            <w:pPr>
              <w:snapToGrid w:val="0"/>
              <w:spacing w:line="240" w:lineRule="atLeast"/>
              <w:jc w:val="center"/>
              <w:rPr>
                <w:spacing w:val="-10"/>
                <w:sz w:val="21"/>
                <w:szCs w:val="21"/>
              </w:rPr>
            </w:pPr>
            <w:r>
              <w:rPr>
                <w:bCs/>
                <w:snapToGrid w:val="0"/>
                <w:spacing w:val="-10"/>
                <w:sz w:val="21"/>
                <w:szCs w:val="20"/>
              </w:rPr>
              <w:t>废机油</w:t>
            </w:r>
          </w:p>
        </w:tc>
        <w:tc>
          <w:tcPr>
            <w:tcW w:w="3133" w:type="pct"/>
            <w:gridSpan w:val="3"/>
            <w:vAlign w:val="center"/>
          </w:tcPr>
          <w:p>
            <w:pPr>
              <w:snapToGrid w:val="0"/>
              <w:spacing w:line="240" w:lineRule="atLeast"/>
              <w:jc w:val="center"/>
              <w:rPr>
                <w:spacing w:val="-10"/>
                <w:sz w:val="21"/>
                <w:szCs w:val="21"/>
              </w:rPr>
            </w:pPr>
            <w:r>
              <w:rPr>
                <w:rFonts w:hint="eastAsia"/>
                <w:bCs/>
                <w:snapToGrid w:val="0"/>
                <w:spacing w:val="-10"/>
                <w:sz w:val="21"/>
                <w:szCs w:val="20"/>
              </w:rPr>
              <w:t>设危废</w:t>
            </w:r>
            <w:r>
              <w:rPr>
                <w:bCs/>
                <w:snapToGrid w:val="0"/>
                <w:spacing w:val="-10"/>
                <w:sz w:val="21"/>
                <w:szCs w:val="20"/>
              </w:rPr>
              <w:t>暂存间</w:t>
            </w:r>
            <w:r>
              <w:rPr>
                <w:rFonts w:hint="eastAsia"/>
                <w:bCs/>
                <w:snapToGrid w:val="0"/>
                <w:spacing w:val="-10"/>
                <w:sz w:val="21"/>
                <w:szCs w:val="20"/>
              </w:rPr>
              <w:t>暂存</w:t>
            </w:r>
            <w:r>
              <w:rPr>
                <w:bCs/>
                <w:snapToGrid w:val="0"/>
                <w:spacing w:val="-10"/>
                <w:sz w:val="21"/>
                <w:szCs w:val="20"/>
              </w:rPr>
              <w:t>，定期</w:t>
            </w:r>
            <w:r>
              <w:rPr>
                <w:rFonts w:hint="eastAsia"/>
                <w:bCs/>
                <w:snapToGrid w:val="0"/>
                <w:spacing w:val="-10"/>
                <w:sz w:val="21"/>
                <w:szCs w:val="20"/>
              </w:rPr>
              <w:t>由</w:t>
            </w:r>
            <w:r>
              <w:rPr>
                <w:bCs/>
                <w:snapToGrid w:val="0"/>
                <w:spacing w:val="-10"/>
                <w:sz w:val="21"/>
                <w:szCs w:val="20"/>
              </w:rPr>
              <w:t>有资质单位进行</w:t>
            </w:r>
            <w:r>
              <w:rPr>
                <w:rFonts w:hint="eastAsia"/>
                <w:bCs/>
                <w:snapToGrid w:val="0"/>
                <w:spacing w:val="-10"/>
                <w:sz w:val="21"/>
                <w:szCs w:val="20"/>
              </w:rPr>
              <w:t>统一转运</w:t>
            </w:r>
            <w:r>
              <w:rPr>
                <w:bCs/>
                <w:snapToGrid w:val="0"/>
                <w:spacing w:val="-10"/>
                <w:sz w:val="21"/>
                <w:szCs w:val="20"/>
              </w:rPr>
              <w:t>处置</w:t>
            </w:r>
          </w:p>
        </w:tc>
        <w:tc>
          <w:tcPr>
            <w:tcW w:w="591" w:type="pct"/>
            <w:vAlign w:val="center"/>
          </w:tcPr>
          <w:p>
            <w:pPr>
              <w:snapToGrid w:val="0"/>
              <w:spacing w:line="240" w:lineRule="atLeast"/>
              <w:jc w:val="center"/>
              <w:rPr>
                <w:bCs/>
                <w:snapToGrid w:val="0"/>
                <w:spacing w:val="-10"/>
                <w:sz w:val="21"/>
                <w:szCs w:val="20"/>
              </w:rPr>
            </w:pPr>
            <w:r>
              <w:rPr>
                <w:rFonts w:hint="eastAsia"/>
                <w:bCs/>
                <w:snapToGrid w:val="0"/>
                <w:spacing w:val="-10"/>
                <w:sz w:val="21"/>
                <w:szCs w:val="20"/>
              </w:rPr>
              <w:t>合理处置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275" w:type="pct"/>
            <w:vAlign w:val="center"/>
          </w:tcPr>
          <w:p>
            <w:pPr>
              <w:snapToGrid w:val="0"/>
              <w:spacing w:line="240" w:lineRule="atLeast"/>
              <w:jc w:val="center"/>
              <w:rPr>
                <w:spacing w:val="-10"/>
                <w:sz w:val="21"/>
                <w:szCs w:val="21"/>
              </w:rPr>
            </w:pPr>
            <w:r>
              <w:rPr>
                <w:spacing w:val="-10"/>
                <w:sz w:val="21"/>
                <w:szCs w:val="21"/>
              </w:rPr>
              <w:t>生态</w:t>
            </w:r>
          </w:p>
        </w:tc>
        <w:tc>
          <w:tcPr>
            <w:tcW w:w="4133" w:type="pct"/>
            <w:gridSpan w:val="5"/>
            <w:vAlign w:val="center"/>
          </w:tcPr>
          <w:p>
            <w:pPr>
              <w:snapToGrid w:val="0"/>
              <w:spacing w:line="240" w:lineRule="atLeast"/>
              <w:jc w:val="center"/>
              <w:rPr>
                <w:spacing w:val="-10"/>
                <w:sz w:val="21"/>
                <w:szCs w:val="21"/>
              </w:rPr>
            </w:pPr>
            <w:r>
              <w:rPr>
                <w:rFonts w:hint="eastAsia" w:ascii="宋体" w:hAnsi="宋体" w:cs="宋体"/>
                <w:bCs/>
                <w:sz w:val="21"/>
                <w:szCs w:val="21"/>
              </w:rPr>
              <w:t>①粘土矿区要求“边开采，边恢复”，当一个采矿台段工作终结时，随即进行覆土，恢复植被，并对边坡进行防护处理</w:t>
            </w:r>
            <w:r>
              <w:rPr>
                <w:rFonts w:hint="eastAsia"/>
                <w:bCs/>
                <w:sz w:val="21"/>
                <w:szCs w:val="21"/>
              </w:rPr>
              <w:t>②道路和工业场地进行硬化</w:t>
            </w:r>
            <w:r>
              <w:rPr>
                <w:bCs/>
                <w:sz w:val="21"/>
                <w:szCs w:val="21"/>
              </w:rPr>
              <w:t>和绿化</w:t>
            </w:r>
            <w:r>
              <w:rPr>
                <w:rFonts w:hint="eastAsia"/>
                <w:bCs/>
                <w:sz w:val="21"/>
                <w:szCs w:val="21"/>
              </w:rPr>
              <w:t>，绿化面积500m</w:t>
            </w:r>
            <w:r>
              <w:rPr>
                <w:rFonts w:hint="eastAsia"/>
                <w:bCs/>
                <w:sz w:val="21"/>
                <w:szCs w:val="21"/>
                <w:vertAlign w:val="superscript"/>
              </w:rPr>
              <w:t>2</w:t>
            </w:r>
            <w:r>
              <w:rPr>
                <w:rFonts w:hint="eastAsia"/>
                <w:bCs/>
                <w:sz w:val="21"/>
                <w:szCs w:val="21"/>
              </w:rPr>
              <w:t>；</w:t>
            </w:r>
            <w:r>
              <w:rPr>
                <w:bCs/>
                <w:sz w:val="21"/>
                <w:szCs w:val="21"/>
              </w:rPr>
              <w:t>③</w:t>
            </w:r>
            <w:r>
              <w:rPr>
                <w:rFonts w:hint="eastAsia" w:ascii="宋体" w:hAnsi="宋体" w:cs="宋体"/>
                <w:bCs/>
                <w:sz w:val="21"/>
                <w:szCs w:val="21"/>
              </w:rPr>
              <w:t>生态恢复治理完成后2年内对生态恢复及治理措施进行后期监测和管护</w:t>
            </w:r>
          </w:p>
        </w:tc>
        <w:tc>
          <w:tcPr>
            <w:tcW w:w="591" w:type="pct"/>
            <w:vAlign w:val="center"/>
          </w:tcPr>
          <w:p>
            <w:pPr>
              <w:snapToGrid w:val="0"/>
              <w:spacing w:line="240" w:lineRule="atLeast"/>
              <w:jc w:val="center"/>
              <w:rPr>
                <w:rFonts w:hAnsi="宋体"/>
                <w:spacing w:val="-10"/>
                <w:sz w:val="21"/>
                <w:szCs w:val="21"/>
              </w:rPr>
            </w:pPr>
            <w:r>
              <w:rPr>
                <w:rFonts w:hint="eastAsia" w:hAnsi="宋体"/>
                <w:spacing w:val="-10"/>
                <w:sz w:val="21"/>
                <w:szCs w:val="21"/>
              </w:rPr>
              <w:t>生态恢复</w:t>
            </w:r>
          </w:p>
        </w:tc>
      </w:tr>
    </w:tbl>
    <w:p/>
    <w:p/>
    <w:p/>
    <w:p/>
    <w:p/>
    <w:p/>
    <w:p/>
    <w:p/>
    <w:p>
      <w:pPr>
        <w:adjustRightInd w:val="0"/>
        <w:snapToGrid w:val="0"/>
        <w:spacing w:line="360" w:lineRule="auto"/>
        <w:jc w:val="center"/>
        <w:sectPr>
          <w:headerReference r:id="rId20" w:type="default"/>
          <w:pgSz w:w="11907" w:h="16840"/>
          <w:pgMar w:top="1247" w:right="1418" w:bottom="1247" w:left="1418" w:header="992" w:footer="992" w:gutter="0"/>
          <w:cols w:space="425" w:num="1"/>
          <w:docGrid w:linePitch="312" w:charSpace="0"/>
        </w:sectPr>
      </w:pPr>
    </w:p>
    <w:p>
      <w:pPr>
        <w:widowControl w:val="0"/>
        <w:adjustRightInd w:val="0"/>
        <w:snapToGrid w:val="0"/>
        <w:spacing w:before="240" w:beforeLines="100" w:after="240" w:afterLines="100"/>
        <w:jc w:val="center"/>
        <w:outlineLvl w:val="0"/>
        <w:rPr>
          <w:rFonts w:eastAsia="黑体"/>
          <w:b/>
          <w:kern w:val="2"/>
          <w:sz w:val="44"/>
          <w:szCs w:val="44"/>
        </w:rPr>
      </w:pPr>
      <w:bookmarkStart w:id="371" w:name="_Toc202926933"/>
      <w:bookmarkStart w:id="372" w:name="_Toc399150488"/>
      <w:bookmarkStart w:id="373" w:name="_Toc395801339"/>
      <w:bookmarkStart w:id="374" w:name="_Toc396395460"/>
      <w:bookmarkStart w:id="375" w:name="_Toc19297"/>
      <w:bookmarkStart w:id="376" w:name="_Toc245722082"/>
      <w:bookmarkStart w:id="377" w:name="_Toc203379603"/>
      <w:r>
        <w:rPr>
          <w:rFonts w:eastAsia="黑体"/>
          <w:b/>
          <w:kern w:val="2"/>
          <w:sz w:val="44"/>
          <w:szCs w:val="44"/>
        </w:rPr>
        <w:t>第九章  评价结论</w:t>
      </w:r>
      <w:bookmarkEnd w:id="371"/>
      <w:bookmarkEnd w:id="372"/>
      <w:bookmarkEnd w:id="373"/>
      <w:bookmarkEnd w:id="374"/>
      <w:bookmarkEnd w:id="375"/>
      <w:bookmarkEnd w:id="376"/>
      <w:bookmarkEnd w:id="377"/>
    </w:p>
    <w:p>
      <w:pPr>
        <w:pStyle w:val="5"/>
        <w:adjustRightInd w:val="0"/>
        <w:snapToGrid w:val="0"/>
        <w:spacing w:before="120" w:beforeLines="50" w:line="360" w:lineRule="auto"/>
        <w:rPr>
          <w:rFonts w:eastAsia="宋体"/>
          <w:sz w:val="28"/>
          <w:szCs w:val="28"/>
        </w:rPr>
      </w:pPr>
      <w:bookmarkStart w:id="378" w:name="_Toc203275222"/>
      <w:bookmarkStart w:id="379" w:name="_Toc10079"/>
      <w:bookmarkStart w:id="380" w:name="_Toc334629455"/>
      <w:bookmarkStart w:id="381" w:name="_Toc245722083"/>
      <w:bookmarkStart w:id="382" w:name="_Toc185735691"/>
      <w:bookmarkStart w:id="383" w:name="_Toc396395461"/>
      <w:bookmarkStart w:id="384" w:name="_Toc335399979"/>
      <w:bookmarkStart w:id="385" w:name="_Toc182038051"/>
      <w:bookmarkStart w:id="386" w:name="_Toc399150489"/>
      <w:bookmarkStart w:id="387" w:name="_Toc395801340"/>
      <w:bookmarkStart w:id="388" w:name="_Toc203275147"/>
      <w:r>
        <w:rPr>
          <w:rFonts w:eastAsia="宋体"/>
          <w:sz w:val="28"/>
          <w:szCs w:val="28"/>
        </w:rPr>
        <w:t>9.1</w:t>
      </w:r>
      <w:r>
        <w:rPr>
          <w:rFonts w:hint="eastAsia" w:eastAsia="宋体"/>
          <w:sz w:val="28"/>
          <w:szCs w:val="28"/>
        </w:rPr>
        <w:t>建设</w:t>
      </w:r>
      <w:r>
        <w:rPr>
          <w:rFonts w:eastAsia="宋体"/>
          <w:sz w:val="28"/>
          <w:szCs w:val="28"/>
        </w:rPr>
        <w:t>项目概况</w:t>
      </w:r>
      <w:bookmarkEnd w:id="378"/>
      <w:bookmarkEnd w:id="379"/>
      <w:bookmarkEnd w:id="380"/>
      <w:bookmarkEnd w:id="381"/>
      <w:bookmarkEnd w:id="382"/>
      <w:bookmarkEnd w:id="383"/>
      <w:bookmarkEnd w:id="384"/>
      <w:bookmarkEnd w:id="385"/>
      <w:bookmarkEnd w:id="386"/>
      <w:bookmarkEnd w:id="387"/>
      <w:bookmarkEnd w:id="388"/>
    </w:p>
    <w:p>
      <w:pPr>
        <w:pStyle w:val="245"/>
        <w:spacing w:line="440" w:lineRule="exact"/>
        <w:ind w:firstLine="480"/>
        <w:rPr>
          <w:rFonts w:eastAsiaTheme="minorEastAsia"/>
          <w:sz w:val="24"/>
          <w:szCs w:val="24"/>
        </w:rPr>
      </w:pPr>
      <w:r>
        <w:rPr>
          <w:rFonts w:hint="eastAsia" w:ascii="宋体" w:hAnsi="宋体"/>
          <w:sz w:val="24"/>
          <w:szCs w:val="24"/>
          <w:shd w:val="clear" w:color="auto" w:fill="FFFFFF"/>
        </w:rPr>
        <w:t>繁峙县</w:t>
      </w:r>
      <w:r>
        <w:rPr>
          <w:rFonts w:hint="eastAsia" w:ascii="宋体" w:hAnsi="宋体"/>
          <w:sz w:val="24"/>
          <w:szCs w:val="24"/>
        </w:rPr>
        <w:t>东胜砖厂粘土矿</w:t>
      </w:r>
      <w:r>
        <w:rPr>
          <w:rFonts w:eastAsiaTheme="minorEastAsia"/>
          <w:sz w:val="24"/>
          <w:szCs w:val="24"/>
        </w:rPr>
        <w:t>位于繁峙县横涧乡</w:t>
      </w:r>
      <w:r>
        <w:rPr>
          <w:rFonts w:hint="eastAsia" w:eastAsiaTheme="minorEastAsia"/>
          <w:sz w:val="24"/>
          <w:szCs w:val="24"/>
        </w:rPr>
        <w:t>前所村北</w:t>
      </w:r>
      <w:r>
        <w:rPr>
          <w:rFonts w:eastAsiaTheme="minorEastAsia"/>
          <w:sz w:val="24"/>
          <w:szCs w:val="24"/>
        </w:rPr>
        <w:t>。矿区距繁峙县城</w:t>
      </w:r>
      <w:r>
        <w:rPr>
          <w:rFonts w:hint="eastAsia" w:eastAsiaTheme="minorEastAsia"/>
          <w:sz w:val="24"/>
          <w:szCs w:val="24"/>
        </w:rPr>
        <w:t>4</w:t>
      </w:r>
      <w:r>
        <w:rPr>
          <w:rFonts w:eastAsiaTheme="minorEastAsia"/>
          <w:sz w:val="24"/>
          <w:szCs w:val="24"/>
        </w:rPr>
        <w:t>8km，南至京原铁路东庄车站1.5km，南距108国道3.0km，有简易公路与矿区相通，交通较为便利。矿区地理坐标为：东经113°51′44″-113°51′59″，北纬39°17′05″-39°17′11″。矿区中心点坐标为东经113°51′51.5″，北纬39°17′7.5″。</w:t>
      </w:r>
    </w:p>
    <w:p>
      <w:pPr>
        <w:pStyle w:val="245"/>
        <w:spacing w:line="440" w:lineRule="exact"/>
        <w:ind w:firstLine="480"/>
        <w:rPr>
          <w:rFonts w:eastAsiaTheme="minorEastAsia"/>
          <w:sz w:val="24"/>
          <w:szCs w:val="24"/>
        </w:rPr>
      </w:pPr>
      <w:r>
        <w:rPr>
          <w:rFonts w:hint="eastAsia" w:eastAsiaTheme="minorEastAsia"/>
          <w:sz w:val="24"/>
          <w:szCs w:val="24"/>
        </w:rPr>
        <w:t>2015年，</w:t>
      </w:r>
      <w:r>
        <w:rPr>
          <w:rFonts w:eastAsiaTheme="minorEastAsia"/>
          <w:sz w:val="24"/>
          <w:szCs w:val="24"/>
        </w:rPr>
        <w:t>繁峙县国土资源局颁发了该矿山采矿许可证，证号为C1409242010057130065775，采矿权人繁峙县东胜砖瓦厂，开采方式为露天开采，开采矿种</w:t>
      </w:r>
      <w:r>
        <w:rPr>
          <w:rFonts w:hint="eastAsia" w:eastAsiaTheme="minorEastAsia"/>
          <w:sz w:val="24"/>
          <w:szCs w:val="24"/>
        </w:rPr>
        <w:t>为</w:t>
      </w:r>
      <w:r>
        <w:rPr>
          <w:rFonts w:eastAsiaTheme="minorEastAsia"/>
          <w:sz w:val="24"/>
          <w:szCs w:val="24"/>
        </w:rPr>
        <w:t>砖瓦用粘土矿，生产规模1.50万立方米/年，矿区面积0.0508km</w:t>
      </w:r>
      <w:r>
        <w:rPr>
          <w:rFonts w:eastAsiaTheme="minorEastAsia"/>
          <w:sz w:val="24"/>
          <w:szCs w:val="24"/>
          <w:vertAlign w:val="superscript"/>
        </w:rPr>
        <w:t>2</w:t>
      </w:r>
      <w:r>
        <w:rPr>
          <w:rFonts w:eastAsiaTheme="minorEastAsia"/>
          <w:sz w:val="24"/>
          <w:szCs w:val="24"/>
        </w:rPr>
        <w:t>，有效期为2015年5月27日至2017至5月27日，开采深度</w:t>
      </w:r>
      <w:r>
        <w:rPr>
          <w:rFonts w:hint="eastAsia" w:eastAsiaTheme="minorEastAsia"/>
          <w:sz w:val="24"/>
          <w:szCs w:val="24"/>
        </w:rPr>
        <w:t>为</w:t>
      </w:r>
      <w:r>
        <w:rPr>
          <w:rFonts w:eastAsiaTheme="minorEastAsia"/>
          <w:sz w:val="24"/>
          <w:szCs w:val="24"/>
        </w:rPr>
        <w:t>1270米-1262米标高。</w:t>
      </w:r>
    </w:p>
    <w:p>
      <w:pPr>
        <w:pStyle w:val="245"/>
        <w:spacing w:line="440" w:lineRule="exact"/>
        <w:ind w:firstLine="480"/>
        <w:rPr>
          <w:rFonts w:eastAsiaTheme="minorEastAsia"/>
          <w:sz w:val="24"/>
          <w:szCs w:val="24"/>
        </w:rPr>
      </w:pPr>
      <w:r>
        <w:rPr>
          <w:rFonts w:hint="eastAsia" w:eastAsiaTheme="minorEastAsia"/>
          <w:sz w:val="24"/>
          <w:szCs w:val="24"/>
        </w:rPr>
        <w:t>目前，繁峙县东胜砖厂采矿许可证已到期，矿山仍未开采完毕，本次进行环境影响评价，延续采矿许可证。</w:t>
      </w:r>
    </w:p>
    <w:p>
      <w:pPr>
        <w:pStyle w:val="245"/>
        <w:spacing w:line="440" w:lineRule="exact"/>
        <w:ind w:firstLine="480"/>
        <w:rPr>
          <w:rFonts w:eastAsiaTheme="minorEastAsia"/>
          <w:sz w:val="24"/>
          <w:szCs w:val="24"/>
        </w:rPr>
      </w:pPr>
      <w:r>
        <w:rPr>
          <w:rFonts w:eastAsiaTheme="minorEastAsia"/>
          <w:sz w:val="24"/>
          <w:szCs w:val="24"/>
        </w:rPr>
        <w:t>根据山西中地地质工程有限公司2018年12月提交的《山西省繁峙县东胜</w:t>
      </w:r>
      <w:r>
        <w:rPr>
          <w:rFonts w:hint="eastAsia" w:eastAsiaTheme="minorEastAsia"/>
          <w:sz w:val="24"/>
          <w:szCs w:val="24"/>
          <w:lang w:eastAsia="zh-CN"/>
        </w:rPr>
        <w:t>砖厂</w:t>
      </w:r>
      <w:r>
        <w:rPr>
          <w:rFonts w:eastAsiaTheme="minorEastAsia"/>
          <w:sz w:val="24"/>
          <w:szCs w:val="24"/>
        </w:rPr>
        <w:t>砖瓦用粘土矿二零一八年度矿山储量年报》，截</w:t>
      </w:r>
      <w:r>
        <w:rPr>
          <w:rFonts w:hint="eastAsia" w:eastAsiaTheme="minorEastAsia"/>
          <w:sz w:val="24"/>
          <w:szCs w:val="24"/>
        </w:rPr>
        <w:t>止</w:t>
      </w:r>
      <w:r>
        <w:rPr>
          <w:rFonts w:eastAsiaTheme="minorEastAsia"/>
          <w:sz w:val="24"/>
          <w:szCs w:val="24"/>
        </w:rPr>
        <w:t>2018年底，矿区累计查明砖瓦用粘土矿122b+333资源储量6.21万m</w:t>
      </w:r>
      <w:r>
        <w:rPr>
          <w:rFonts w:eastAsiaTheme="minorEastAsia"/>
          <w:sz w:val="24"/>
          <w:szCs w:val="24"/>
          <w:vertAlign w:val="superscript"/>
        </w:rPr>
        <w:t>3</w:t>
      </w:r>
      <w:r>
        <w:rPr>
          <w:rFonts w:eastAsiaTheme="minorEastAsia"/>
          <w:sz w:val="24"/>
          <w:szCs w:val="24"/>
        </w:rPr>
        <w:t>，累计动用2.12万m</w:t>
      </w:r>
      <w:r>
        <w:rPr>
          <w:rFonts w:eastAsiaTheme="minorEastAsia"/>
          <w:sz w:val="24"/>
          <w:szCs w:val="24"/>
          <w:vertAlign w:val="superscript"/>
        </w:rPr>
        <w:t>3</w:t>
      </w:r>
      <w:r>
        <w:rPr>
          <w:rFonts w:eastAsiaTheme="minorEastAsia"/>
          <w:sz w:val="24"/>
          <w:szCs w:val="24"/>
        </w:rPr>
        <w:t>，保有资源储量4.09万m</w:t>
      </w:r>
      <w:r>
        <w:rPr>
          <w:rFonts w:eastAsiaTheme="minorEastAsia"/>
          <w:sz w:val="24"/>
          <w:szCs w:val="24"/>
          <w:vertAlign w:val="superscript"/>
        </w:rPr>
        <w:t>3</w:t>
      </w:r>
      <w:r>
        <w:rPr>
          <w:rFonts w:eastAsiaTheme="minorEastAsia"/>
          <w:sz w:val="24"/>
          <w:szCs w:val="24"/>
        </w:rPr>
        <w:t>。</w:t>
      </w:r>
    </w:p>
    <w:p>
      <w:pPr>
        <w:pStyle w:val="245"/>
        <w:spacing w:line="440" w:lineRule="exact"/>
        <w:ind w:firstLine="480"/>
        <w:rPr>
          <w:rFonts w:eastAsiaTheme="minorEastAsia"/>
          <w:sz w:val="24"/>
          <w:szCs w:val="24"/>
        </w:rPr>
      </w:pPr>
      <w:r>
        <w:rPr>
          <w:rFonts w:eastAsiaTheme="minorEastAsia"/>
          <w:sz w:val="24"/>
          <w:szCs w:val="24"/>
        </w:rPr>
        <w:t>2019年5月，依据《山西省国土资源厅关于实行矿产资源开发利用方案、地质环境保护与治理恢复方案、土地复垦方案编制及评审工作“三合一”的通知》（晋国土资函[2016]430号）要求，繁峙县东胜砖厂委托山西中地地质工程有限公司编制</w:t>
      </w:r>
      <w:r>
        <w:rPr>
          <w:rFonts w:hint="eastAsia" w:eastAsiaTheme="minorEastAsia"/>
          <w:sz w:val="24"/>
          <w:szCs w:val="24"/>
        </w:rPr>
        <w:t>了</w:t>
      </w:r>
      <w:r>
        <w:rPr>
          <w:rFonts w:eastAsiaTheme="minorEastAsia"/>
          <w:sz w:val="24"/>
          <w:szCs w:val="24"/>
        </w:rPr>
        <w:t>《山西省繁峙县东胜砖厂砖瓦用粘土矿矿山矿产资源开发利用、地质环境保护与治理恢复、土地复垦方案》。</w:t>
      </w:r>
      <w:r>
        <w:rPr>
          <w:rFonts w:hint="eastAsia" w:eastAsiaTheme="minorEastAsia"/>
          <w:sz w:val="24"/>
          <w:szCs w:val="24"/>
        </w:rPr>
        <w:t>本次</w:t>
      </w:r>
      <w:r>
        <w:rPr>
          <w:rFonts w:eastAsiaTheme="minorEastAsia"/>
          <w:sz w:val="24"/>
          <w:szCs w:val="24"/>
        </w:rPr>
        <w:t>设计利用资源储量为4.01万m</w:t>
      </w:r>
      <w:r>
        <w:rPr>
          <w:rFonts w:eastAsiaTheme="minorEastAsia"/>
          <w:sz w:val="24"/>
          <w:szCs w:val="24"/>
          <w:vertAlign w:val="superscript"/>
        </w:rPr>
        <w:t>3</w:t>
      </w:r>
      <w:r>
        <w:rPr>
          <w:rFonts w:eastAsiaTheme="minorEastAsia"/>
          <w:sz w:val="24"/>
          <w:szCs w:val="24"/>
        </w:rPr>
        <w:t>，设计损失资源储量0.08万m</w:t>
      </w:r>
      <w:r>
        <w:rPr>
          <w:rFonts w:eastAsiaTheme="minorEastAsia"/>
          <w:sz w:val="24"/>
          <w:szCs w:val="24"/>
          <w:vertAlign w:val="superscript"/>
        </w:rPr>
        <w:t>3</w:t>
      </w:r>
      <w:r>
        <w:rPr>
          <w:rFonts w:eastAsiaTheme="minorEastAsia"/>
          <w:sz w:val="24"/>
          <w:szCs w:val="24"/>
        </w:rPr>
        <w:t>。按照回采率98%计算，可采储量3.93万m</w:t>
      </w:r>
      <w:r>
        <w:rPr>
          <w:rFonts w:eastAsiaTheme="minorEastAsia"/>
          <w:sz w:val="24"/>
          <w:szCs w:val="24"/>
          <w:vertAlign w:val="superscript"/>
        </w:rPr>
        <w:t>3</w:t>
      </w:r>
      <w:r>
        <w:rPr>
          <w:rFonts w:eastAsiaTheme="minorEastAsia"/>
          <w:sz w:val="24"/>
          <w:szCs w:val="24"/>
        </w:rPr>
        <w:t>，生产规模为1.50万m</w:t>
      </w:r>
      <w:r>
        <w:rPr>
          <w:rFonts w:eastAsiaTheme="minorEastAsia"/>
          <w:sz w:val="24"/>
          <w:szCs w:val="24"/>
          <w:vertAlign w:val="superscript"/>
        </w:rPr>
        <w:t>3</w:t>
      </w:r>
      <w:r>
        <w:rPr>
          <w:rFonts w:eastAsiaTheme="minorEastAsia"/>
          <w:sz w:val="24"/>
          <w:szCs w:val="24"/>
        </w:rPr>
        <w:t>/年，矿山服务年限为3年。</w:t>
      </w:r>
    </w:p>
    <w:p>
      <w:pPr>
        <w:pStyle w:val="5"/>
        <w:adjustRightInd w:val="0"/>
        <w:snapToGrid w:val="0"/>
        <w:spacing w:before="120" w:beforeLines="50" w:line="360" w:lineRule="auto"/>
        <w:rPr>
          <w:rFonts w:eastAsia="宋体"/>
          <w:sz w:val="28"/>
          <w:szCs w:val="28"/>
        </w:rPr>
      </w:pPr>
      <w:bookmarkStart w:id="389" w:name="_Toc396395462"/>
      <w:bookmarkStart w:id="390" w:name="_Toc395801341"/>
      <w:bookmarkStart w:id="391" w:name="_Toc334629456"/>
      <w:bookmarkStart w:id="392" w:name="_Toc399150490"/>
      <w:bookmarkStart w:id="393" w:name="_Toc335399980"/>
      <w:bookmarkStart w:id="394" w:name="_Toc23173"/>
      <w:r>
        <w:rPr>
          <w:rFonts w:eastAsia="宋体"/>
          <w:sz w:val="28"/>
          <w:szCs w:val="28"/>
        </w:rPr>
        <w:t>9.2</w:t>
      </w:r>
      <w:bookmarkEnd w:id="389"/>
      <w:bookmarkEnd w:id="390"/>
      <w:bookmarkEnd w:id="391"/>
      <w:bookmarkEnd w:id="392"/>
      <w:bookmarkEnd w:id="393"/>
      <w:r>
        <w:rPr>
          <w:rFonts w:hint="eastAsia" w:eastAsia="宋体"/>
          <w:sz w:val="28"/>
          <w:szCs w:val="28"/>
        </w:rPr>
        <w:t>评价区环境质量现状</w:t>
      </w:r>
      <w:bookmarkEnd w:id="394"/>
    </w:p>
    <w:p>
      <w:pPr>
        <w:spacing w:line="440" w:lineRule="exact"/>
        <w:ind w:firstLine="480" w:firstLineChars="200"/>
        <w:jc w:val="both"/>
        <w:rPr>
          <w:szCs w:val="32"/>
        </w:rPr>
      </w:pPr>
      <w:r>
        <w:rPr>
          <w:rFonts w:hint="eastAsia"/>
          <w:bCs/>
          <w:kern w:val="2"/>
        </w:rPr>
        <w:t>本次评价收集了</w:t>
      </w:r>
      <w:r>
        <w:rPr>
          <w:rFonts w:hint="eastAsia"/>
          <w:spacing w:val="4"/>
        </w:rPr>
        <w:t>繁峙县2018年例行监测数据，</w:t>
      </w:r>
      <w:r>
        <w:rPr>
          <w:rFonts w:hint="eastAsia"/>
          <w:spacing w:val="4"/>
          <w:lang w:eastAsia="zh-CN"/>
        </w:rPr>
        <w:t>数据显示</w:t>
      </w:r>
      <w:r>
        <w:rPr>
          <w:szCs w:val="32"/>
        </w:rPr>
        <w:t>区域PM</w:t>
      </w:r>
      <w:r>
        <w:rPr>
          <w:szCs w:val="32"/>
          <w:vertAlign w:val="subscript"/>
        </w:rPr>
        <w:t>10</w:t>
      </w:r>
      <w:r>
        <w:rPr>
          <w:szCs w:val="32"/>
        </w:rPr>
        <w:t>、PM</w:t>
      </w:r>
      <w:r>
        <w:rPr>
          <w:szCs w:val="32"/>
          <w:vertAlign w:val="subscript"/>
        </w:rPr>
        <w:t>2.5</w:t>
      </w:r>
      <w:r>
        <w:rPr>
          <w:szCs w:val="32"/>
        </w:rPr>
        <w:t>、</w:t>
      </w:r>
      <w:r>
        <w:rPr>
          <w:rFonts w:hint="eastAsia"/>
          <w:szCs w:val="32"/>
        </w:rPr>
        <w:t>和</w:t>
      </w:r>
      <w:r>
        <w:rPr>
          <w:szCs w:val="32"/>
        </w:rPr>
        <w:t>SO</w:t>
      </w:r>
      <w:r>
        <w:rPr>
          <w:szCs w:val="32"/>
          <w:vertAlign w:val="subscript"/>
        </w:rPr>
        <w:t>2</w:t>
      </w:r>
      <w:r>
        <w:rPr>
          <w:szCs w:val="32"/>
        </w:rPr>
        <w:t>出现超标，NO</w:t>
      </w:r>
      <w:r>
        <w:rPr>
          <w:szCs w:val="32"/>
          <w:vertAlign w:val="subscript"/>
        </w:rPr>
        <w:t>2</w:t>
      </w:r>
      <w:r>
        <w:rPr>
          <w:szCs w:val="32"/>
        </w:rPr>
        <w:t>、CO</w:t>
      </w:r>
      <w:r>
        <w:rPr>
          <w:rFonts w:hint="eastAsia"/>
          <w:szCs w:val="32"/>
        </w:rPr>
        <w:t>和</w:t>
      </w:r>
      <w:r>
        <w:rPr>
          <w:szCs w:val="32"/>
        </w:rPr>
        <w:t>O</w:t>
      </w:r>
      <w:r>
        <w:rPr>
          <w:szCs w:val="32"/>
          <w:vertAlign w:val="subscript"/>
        </w:rPr>
        <w:t>3</w:t>
      </w:r>
      <w:r>
        <w:rPr>
          <w:szCs w:val="32"/>
        </w:rPr>
        <w:t>能够达到《环境空气质量标准》(GB3095-2012)二级标准。区域属于环境空气质量不达标区。</w:t>
      </w:r>
    </w:p>
    <w:p>
      <w:pPr>
        <w:widowControl w:val="0"/>
        <w:spacing w:line="440" w:lineRule="exact"/>
        <w:ind w:firstLine="480" w:firstLineChars="200"/>
        <w:jc w:val="both"/>
        <w:rPr>
          <w:bCs/>
          <w:kern w:val="2"/>
        </w:rPr>
      </w:pPr>
      <w:r>
        <w:rPr>
          <w:rFonts w:hint="eastAsia"/>
          <w:bCs/>
          <w:kern w:val="2"/>
        </w:rPr>
        <w:t>评价</w:t>
      </w:r>
      <w:r>
        <w:rPr>
          <w:bCs/>
          <w:kern w:val="2"/>
        </w:rPr>
        <w:t>期间，建设单位委托监测了</w:t>
      </w:r>
      <w:r>
        <w:rPr>
          <w:rFonts w:hint="eastAsia"/>
          <w:bCs/>
          <w:kern w:val="2"/>
        </w:rPr>
        <w:t>孤山铺村TSP日均浓度，监测结果能够满足</w:t>
      </w:r>
      <w:r>
        <w:rPr>
          <w:szCs w:val="32"/>
        </w:rPr>
        <w:t>《环境空气质量标准》(GB3095-2012)</w:t>
      </w:r>
      <w:r>
        <w:rPr>
          <w:rFonts w:hint="eastAsia"/>
          <w:szCs w:val="32"/>
        </w:rPr>
        <w:t>中</w:t>
      </w:r>
      <w:r>
        <w:rPr>
          <w:szCs w:val="32"/>
        </w:rPr>
        <w:t>二级标准</w:t>
      </w:r>
      <w:r>
        <w:rPr>
          <w:rFonts w:hint="eastAsia"/>
          <w:bCs/>
          <w:kern w:val="2"/>
        </w:rPr>
        <w:t>要求</w:t>
      </w:r>
      <w:r>
        <w:rPr>
          <w:bCs/>
          <w:kern w:val="2"/>
        </w:rPr>
        <w:t>。</w:t>
      </w:r>
    </w:p>
    <w:p>
      <w:pPr>
        <w:widowControl w:val="0"/>
        <w:adjustRightInd w:val="0"/>
        <w:snapToGrid w:val="0"/>
        <w:spacing w:line="440" w:lineRule="exact"/>
        <w:ind w:firstLine="480" w:firstLineChars="200"/>
        <w:jc w:val="both"/>
        <w:rPr>
          <w:bCs/>
          <w:kern w:val="2"/>
        </w:rPr>
      </w:pPr>
      <w:r>
        <w:rPr>
          <w:rFonts w:hint="eastAsia"/>
          <w:bCs/>
          <w:kern w:val="2"/>
        </w:rPr>
        <w:t>根据山西仪合环境监测有限公司2019年11月13日厂界噪声监测结果，项目所在地声环境质量能够满足《声环境质量标准》（</w:t>
      </w:r>
      <w:r>
        <w:rPr>
          <w:rFonts w:eastAsiaTheme="minorEastAsia"/>
        </w:rPr>
        <w:t>GB3096-2008</w:t>
      </w:r>
      <w:r>
        <w:rPr>
          <w:rFonts w:hint="eastAsia"/>
          <w:bCs/>
          <w:kern w:val="2"/>
        </w:rPr>
        <w:t>）中</w:t>
      </w:r>
      <w:r>
        <w:rPr>
          <w:rFonts w:hint="eastAsia"/>
          <w:bCs/>
          <w:kern w:val="2"/>
          <w:lang w:val="en-US" w:eastAsia="zh-CN"/>
        </w:rPr>
        <w:t>1</w:t>
      </w:r>
      <w:r>
        <w:rPr>
          <w:rFonts w:hint="eastAsia"/>
          <w:bCs/>
          <w:kern w:val="2"/>
        </w:rPr>
        <w:t>类标准。</w:t>
      </w:r>
    </w:p>
    <w:p>
      <w:pPr>
        <w:widowControl w:val="0"/>
        <w:adjustRightInd w:val="0"/>
        <w:snapToGrid w:val="0"/>
        <w:spacing w:line="440" w:lineRule="exact"/>
        <w:ind w:firstLine="480" w:firstLineChars="200"/>
        <w:jc w:val="both"/>
        <w:rPr>
          <w:bCs/>
          <w:kern w:val="2"/>
        </w:rPr>
      </w:pPr>
      <w:r>
        <w:rPr>
          <w:rFonts w:hint="eastAsia"/>
          <w:bCs/>
          <w:kern w:val="2"/>
        </w:rPr>
        <w:t>根据现场勘查结果，项目所在地生态环境质量一般，植物和动物群落结构均较简单，区内未见珍稀、濒危野生动、植物。</w:t>
      </w:r>
    </w:p>
    <w:p>
      <w:pPr>
        <w:pStyle w:val="5"/>
        <w:adjustRightInd w:val="0"/>
        <w:snapToGrid w:val="0"/>
        <w:spacing w:before="120" w:beforeLines="50" w:line="360" w:lineRule="auto"/>
        <w:rPr>
          <w:rFonts w:eastAsia="宋体"/>
          <w:bCs/>
          <w:i/>
          <w:sz w:val="24"/>
          <w:szCs w:val="24"/>
        </w:rPr>
      </w:pPr>
      <w:bookmarkStart w:id="395" w:name="_Toc7520"/>
      <w:r>
        <w:rPr>
          <w:rFonts w:eastAsia="宋体"/>
          <w:sz w:val="28"/>
          <w:szCs w:val="28"/>
        </w:rPr>
        <w:t>9.3</w:t>
      </w:r>
      <w:r>
        <w:rPr>
          <w:rFonts w:hint="eastAsia" w:eastAsia="宋体"/>
          <w:sz w:val="28"/>
          <w:szCs w:val="28"/>
        </w:rPr>
        <w:t>污染物排放情况</w:t>
      </w:r>
      <w:bookmarkEnd w:id="395"/>
    </w:p>
    <w:p>
      <w:pPr>
        <w:widowControl w:val="0"/>
        <w:spacing w:line="460" w:lineRule="exact"/>
        <w:ind w:firstLine="480" w:firstLineChars="200"/>
        <w:jc w:val="both"/>
        <w:rPr>
          <w:rFonts w:ascii="宋体" w:hAnsi="宋体" w:cs="宋体"/>
          <w:bCs/>
          <w:kern w:val="2"/>
          <w:szCs w:val="28"/>
        </w:rPr>
      </w:pPr>
      <w:bookmarkStart w:id="396" w:name="_Toc396395463"/>
      <w:bookmarkStart w:id="397" w:name="_Toc399150494"/>
      <w:bookmarkStart w:id="398" w:name="_Toc395801345"/>
      <w:bookmarkStart w:id="399" w:name="_Toc385412279"/>
      <w:r>
        <w:rPr>
          <w:rFonts w:hint="eastAsia" w:ascii="宋体" w:hAnsi="宋体" w:cs="宋体"/>
          <w:bCs/>
          <w:kern w:val="2"/>
          <w:szCs w:val="28"/>
        </w:rPr>
        <w:t>根据工程分析可知，采取评价提出的各项污染防治措施后，项目运营期废气、噪声达标排放，无废水外排，固体废物均能得到合理处置。</w:t>
      </w:r>
    </w:p>
    <w:p>
      <w:pPr>
        <w:spacing w:line="440" w:lineRule="exact"/>
        <w:ind w:firstLine="420" w:firstLineChars="200"/>
        <w:jc w:val="center"/>
        <w:rPr>
          <w:rFonts w:eastAsia="黑体"/>
          <w:sz w:val="21"/>
          <w:szCs w:val="21"/>
        </w:rPr>
      </w:pPr>
      <w:r>
        <w:rPr>
          <w:rFonts w:eastAsia="黑体"/>
          <w:sz w:val="21"/>
          <w:szCs w:val="21"/>
        </w:rPr>
        <w:t>表9.</w:t>
      </w:r>
      <w:r>
        <w:rPr>
          <w:rFonts w:hint="eastAsia" w:eastAsia="黑体"/>
          <w:sz w:val="21"/>
          <w:szCs w:val="21"/>
        </w:rPr>
        <w:t>3</w:t>
      </w:r>
      <w:r>
        <w:rPr>
          <w:rFonts w:eastAsia="黑体"/>
          <w:sz w:val="21"/>
          <w:szCs w:val="21"/>
        </w:rPr>
        <w:t xml:space="preserve">-1  </w:t>
      </w:r>
      <w:r>
        <w:rPr>
          <w:rFonts w:hint="eastAsia" w:eastAsia="黑体"/>
          <w:sz w:val="21"/>
          <w:szCs w:val="21"/>
        </w:rPr>
        <w:t>污染物排放</w:t>
      </w:r>
      <w:r>
        <w:rPr>
          <w:rFonts w:eastAsia="黑体"/>
          <w:sz w:val="21"/>
          <w:szCs w:val="21"/>
        </w:rPr>
        <w:t>一览表</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624"/>
        <w:gridCol w:w="2710"/>
        <w:gridCol w:w="3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6" w:type="pct"/>
            <w:vAlign w:val="center"/>
          </w:tcPr>
          <w:p>
            <w:pPr>
              <w:adjustRightInd w:val="0"/>
              <w:snapToGrid w:val="0"/>
              <w:jc w:val="center"/>
              <w:rPr>
                <w:sz w:val="21"/>
                <w:szCs w:val="21"/>
              </w:rPr>
            </w:pPr>
            <w:r>
              <w:rPr>
                <w:sz w:val="21"/>
                <w:szCs w:val="21"/>
              </w:rPr>
              <w:t>类别</w:t>
            </w:r>
          </w:p>
        </w:tc>
        <w:tc>
          <w:tcPr>
            <w:tcW w:w="1413" w:type="pct"/>
            <w:vAlign w:val="center"/>
          </w:tcPr>
          <w:p>
            <w:pPr>
              <w:adjustRightInd w:val="0"/>
              <w:snapToGrid w:val="0"/>
              <w:jc w:val="center"/>
              <w:rPr>
                <w:sz w:val="21"/>
                <w:szCs w:val="21"/>
              </w:rPr>
            </w:pPr>
            <w:r>
              <w:rPr>
                <w:sz w:val="21"/>
                <w:szCs w:val="21"/>
              </w:rPr>
              <w:t>污染源</w:t>
            </w:r>
          </w:p>
        </w:tc>
        <w:tc>
          <w:tcPr>
            <w:tcW w:w="1459" w:type="pct"/>
            <w:vAlign w:val="center"/>
          </w:tcPr>
          <w:p>
            <w:pPr>
              <w:adjustRightInd w:val="0"/>
              <w:snapToGrid w:val="0"/>
              <w:jc w:val="center"/>
              <w:rPr>
                <w:sz w:val="21"/>
                <w:szCs w:val="21"/>
              </w:rPr>
            </w:pPr>
            <w:r>
              <w:rPr>
                <w:sz w:val="21"/>
                <w:szCs w:val="21"/>
              </w:rPr>
              <w:t>污染物</w:t>
            </w:r>
          </w:p>
        </w:tc>
        <w:tc>
          <w:tcPr>
            <w:tcW w:w="1619" w:type="pct"/>
            <w:vAlign w:val="center"/>
          </w:tcPr>
          <w:p>
            <w:pPr>
              <w:adjustRightInd w:val="0"/>
              <w:snapToGrid w:val="0"/>
              <w:jc w:val="center"/>
              <w:rPr>
                <w:sz w:val="21"/>
                <w:szCs w:val="21"/>
              </w:rPr>
            </w:pPr>
            <w:r>
              <w:rPr>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6" w:type="pct"/>
            <w:vMerge w:val="restart"/>
            <w:vAlign w:val="center"/>
          </w:tcPr>
          <w:p>
            <w:pPr>
              <w:adjustRightInd w:val="0"/>
              <w:snapToGrid w:val="0"/>
              <w:jc w:val="center"/>
              <w:rPr>
                <w:sz w:val="21"/>
                <w:szCs w:val="21"/>
              </w:rPr>
            </w:pPr>
            <w:r>
              <w:rPr>
                <w:rFonts w:hint="eastAsia"/>
                <w:sz w:val="21"/>
                <w:szCs w:val="21"/>
              </w:rPr>
              <w:t>废气</w:t>
            </w:r>
          </w:p>
        </w:tc>
        <w:tc>
          <w:tcPr>
            <w:tcW w:w="1413" w:type="pct"/>
            <w:vAlign w:val="center"/>
          </w:tcPr>
          <w:p>
            <w:pPr>
              <w:adjustRightInd w:val="0"/>
              <w:snapToGrid w:val="0"/>
              <w:jc w:val="center"/>
              <w:rPr>
                <w:sz w:val="21"/>
                <w:szCs w:val="21"/>
              </w:rPr>
            </w:pPr>
            <w:r>
              <w:rPr>
                <w:rFonts w:hint="eastAsia"/>
                <w:sz w:val="21"/>
                <w:szCs w:val="21"/>
              </w:rPr>
              <w:t>采装作业</w:t>
            </w:r>
          </w:p>
        </w:tc>
        <w:tc>
          <w:tcPr>
            <w:tcW w:w="1459" w:type="pct"/>
            <w:vAlign w:val="center"/>
          </w:tcPr>
          <w:p>
            <w:pPr>
              <w:adjustRightInd w:val="0"/>
              <w:snapToGrid w:val="0"/>
              <w:jc w:val="center"/>
              <w:rPr>
                <w:sz w:val="21"/>
                <w:szCs w:val="21"/>
              </w:rPr>
            </w:pPr>
            <w:r>
              <w:rPr>
                <w:rFonts w:hint="eastAsia"/>
                <w:sz w:val="21"/>
                <w:szCs w:val="21"/>
              </w:rPr>
              <w:t>颗粒物</w:t>
            </w:r>
          </w:p>
        </w:tc>
        <w:tc>
          <w:tcPr>
            <w:tcW w:w="1619" w:type="pct"/>
            <w:vAlign w:val="center"/>
          </w:tcPr>
          <w:p>
            <w:pPr>
              <w:adjustRightInd w:val="0"/>
              <w:snapToGrid w:val="0"/>
              <w:jc w:val="center"/>
              <w:rPr>
                <w:sz w:val="21"/>
                <w:szCs w:val="21"/>
              </w:rPr>
            </w:pPr>
            <w:r>
              <w:rPr>
                <w:rFonts w:hint="eastAsia"/>
                <w:sz w:val="21"/>
                <w:szCs w:val="21"/>
              </w:rPr>
              <w:t>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6" w:type="pct"/>
            <w:vMerge w:val="continue"/>
            <w:vAlign w:val="center"/>
          </w:tcPr>
          <w:p>
            <w:pPr>
              <w:adjustRightInd w:val="0"/>
              <w:snapToGrid w:val="0"/>
              <w:jc w:val="center"/>
              <w:rPr>
                <w:sz w:val="21"/>
                <w:szCs w:val="21"/>
              </w:rPr>
            </w:pPr>
          </w:p>
        </w:tc>
        <w:tc>
          <w:tcPr>
            <w:tcW w:w="1413" w:type="pct"/>
            <w:vAlign w:val="center"/>
          </w:tcPr>
          <w:p>
            <w:pPr>
              <w:adjustRightInd w:val="0"/>
              <w:snapToGrid w:val="0"/>
              <w:jc w:val="center"/>
              <w:rPr>
                <w:sz w:val="21"/>
                <w:szCs w:val="21"/>
              </w:rPr>
            </w:pPr>
            <w:r>
              <w:rPr>
                <w:rFonts w:hint="eastAsia"/>
                <w:sz w:val="21"/>
                <w:szCs w:val="21"/>
              </w:rPr>
              <w:t>排土场</w:t>
            </w:r>
          </w:p>
        </w:tc>
        <w:tc>
          <w:tcPr>
            <w:tcW w:w="1459" w:type="pct"/>
            <w:vAlign w:val="center"/>
          </w:tcPr>
          <w:p>
            <w:pPr>
              <w:adjustRightInd w:val="0"/>
              <w:snapToGrid w:val="0"/>
              <w:jc w:val="center"/>
              <w:rPr>
                <w:sz w:val="21"/>
                <w:szCs w:val="21"/>
              </w:rPr>
            </w:pPr>
            <w:r>
              <w:rPr>
                <w:rFonts w:hint="eastAsia"/>
                <w:sz w:val="21"/>
                <w:szCs w:val="21"/>
              </w:rPr>
              <w:t>颗粒物</w:t>
            </w:r>
          </w:p>
        </w:tc>
        <w:tc>
          <w:tcPr>
            <w:tcW w:w="1619" w:type="pct"/>
            <w:vAlign w:val="center"/>
          </w:tcPr>
          <w:p>
            <w:pPr>
              <w:adjustRightInd w:val="0"/>
              <w:snapToGrid w:val="0"/>
              <w:jc w:val="center"/>
              <w:rPr>
                <w:sz w:val="21"/>
                <w:szCs w:val="21"/>
              </w:rPr>
            </w:pPr>
            <w:r>
              <w:rPr>
                <w:rFonts w:hint="eastAsia"/>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6" w:type="pct"/>
            <w:vMerge w:val="continue"/>
            <w:vAlign w:val="center"/>
          </w:tcPr>
          <w:p>
            <w:pPr>
              <w:adjustRightInd w:val="0"/>
              <w:snapToGrid w:val="0"/>
              <w:jc w:val="center"/>
              <w:rPr>
                <w:sz w:val="21"/>
                <w:szCs w:val="21"/>
              </w:rPr>
            </w:pPr>
          </w:p>
        </w:tc>
        <w:tc>
          <w:tcPr>
            <w:tcW w:w="1413" w:type="pct"/>
            <w:vAlign w:val="center"/>
          </w:tcPr>
          <w:p>
            <w:pPr>
              <w:adjustRightInd w:val="0"/>
              <w:snapToGrid w:val="0"/>
              <w:jc w:val="center"/>
              <w:rPr>
                <w:sz w:val="21"/>
                <w:szCs w:val="21"/>
              </w:rPr>
            </w:pPr>
            <w:r>
              <w:rPr>
                <w:rFonts w:hint="eastAsia"/>
                <w:sz w:val="21"/>
                <w:szCs w:val="21"/>
              </w:rPr>
              <w:t>原料库</w:t>
            </w:r>
          </w:p>
        </w:tc>
        <w:tc>
          <w:tcPr>
            <w:tcW w:w="1459" w:type="pct"/>
            <w:vAlign w:val="center"/>
          </w:tcPr>
          <w:p>
            <w:pPr>
              <w:adjustRightInd w:val="0"/>
              <w:snapToGrid w:val="0"/>
              <w:jc w:val="center"/>
              <w:rPr>
                <w:sz w:val="21"/>
                <w:szCs w:val="21"/>
              </w:rPr>
            </w:pPr>
            <w:r>
              <w:rPr>
                <w:rFonts w:hint="eastAsia"/>
                <w:sz w:val="21"/>
                <w:szCs w:val="21"/>
              </w:rPr>
              <w:t>颗粒物</w:t>
            </w:r>
          </w:p>
        </w:tc>
        <w:tc>
          <w:tcPr>
            <w:tcW w:w="1619" w:type="pct"/>
            <w:vAlign w:val="center"/>
          </w:tcPr>
          <w:p>
            <w:pPr>
              <w:adjustRightInd w:val="0"/>
              <w:snapToGrid w:val="0"/>
              <w:jc w:val="center"/>
              <w:rPr>
                <w:sz w:val="21"/>
                <w:szCs w:val="21"/>
              </w:rPr>
            </w:pPr>
            <w:r>
              <w:rPr>
                <w:rFonts w:hint="eastAsia"/>
                <w:sz w:val="21"/>
                <w:szCs w:val="21"/>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pct"/>
            <w:vMerge w:val="continue"/>
            <w:vAlign w:val="center"/>
          </w:tcPr>
          <w:p>
            <w:pPr>
              <w:adjustRightInd w:val="0"/>
              <w:snapToGrid w:val="0"/>
              <w:jc w:val="center"/>
              <w:rPr>
                <w:sz w:val="21"/>
                <w:szCs w:val="21"/>
              </w:rPr>
            </w:pPr>
          </w:p>
        </w:tc>
        <w:tc>
          <w:tcPr>
            <w:tcW w:w="1413" w:type="pct"/>
            <w:vAlign w:val="center"/>
          </w:tcPr>
          <w:p>
            <w:pPr>
              <w:adjustRightInd w:val="0"/>
              <w:snapToGrid w:val="0"/>
              <w:jc w:val="center"/>
              <w:rPr>
                <w:sz w:val="21"/>
                <w:szCs w:val="21"/>
              </w:rPr>
            </w:pPr>
            <w:r>
              <w:rPr>
                <w:rFonts w:hint="eastAsia"/>
                <w:sz w:val="21"/>
                <w:szCs w:val="21"/>
              </w:rPr>
              <w:t>道路运输</w:t>
            </w:r>
          </w:p>
        </w:tc>
        <w:tc>
          <w:tcPr>
            <w:tcW w:w="1459" w:type="pct"/>
            <w:vAlign w:val="center"/>
          </w:tcPr>
          <w:p>
            <w:pPr>
              <w:adjustRightInd w:val="0"/>
              <w:snapToGrid w:val="0"/>
              <w:jc w:val="center"/>
              <w:rPr>
                <w:sz w:val="21"/>
                <w:szCs w:val="21"/>
              </w:rPr>
            </w:pPr>
            <w:r>
              <w:rPr>
                <w:rFonts w:hint="eastAsia"/>
                <w:sz w:val="21"/>
                <w:szCs w:val="21"/>
              </w:rPr>
              <w:t>颗粒物</w:t>
            </w:r>
          </w:p>
        </w:tc>
        <w:tc>
          <w:tcPr>
            <w:tcW w:w="1619" w:type="pct"/>
            <w:vAlign w:val="center"/>
          </w:tcPr>
          <w:p>
            <w:pPr>
              <w:widowControl w:val="0"/>
              <w:spacing w:line="360" w:lineRule="exact"/>
              <w:jc w:val="center"/>
              <w:rPr>
                <w:bCs/>
                <w:sz w:val="21"/>
                <w:szCs w:val="21"/>
              </w:rPr>
            </w:pPr>
            <w:r>
              <w:rPr>
                <w:rFonts w:hint="eastAsia"/>
                <w:bCs/>
                <w:sz w:val="21"/>
                <w:szCs w:val="21"/>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pct"/>
            <w:vMerge w:val="restart"/>
            <w:vAlign w:val="center"/>
          </w:tcPr>
          <w:p>
            <w:pPr>
              <w:adjustRightInd w:val="0"/>
              <w:snapToGrid w:val="0"/>
              <w:jc w:val="center"/>
              <w:rPr>
                <w:sz w:val="21"/>
                <w:szCs w:val="21"/>
              </w:rPr>
            </w:pPr>
            <w:r>
              <w:rPr>
                <w:sz w:val="21"/>
                <w:szCs w:val="21"/>
              </w:rPr>
              <w:t>废水</w:t>
            </w:r>
          </w:p>
        </w:tc>
        <w:tc>
          <w:tcPr>
            <w:tcW w:w="1413" w:type="pct"/>
            <w:vAlign w:val="center"/>
          </w:tcPr>
          <w:p>
            <w:pPr>
              <w:adjustRightInd w:val="0"/>
              <w:snapToGrid w:val="0"/>
              <w:jc w:val="center"/>
              <w:rPr>
                <w:sz w:val="21"/>
                <w:szCs w:val="21"/>
              </w:rPr>
            </w:pPr>
            <w:r>
              <w:rPr>
                <w:rFonts w:hint="eastAsia"/>
                <w:sz w:val="21"/>
                <w:szCs w:val="21"/>
              </w:rPr>
              <w:t>生活污水</w:t>
            </w:r>
          </w:p>
        </w:tc>
        <w:tc>
          <w:tcPr>
            <w:tcW w:w="1459" w:type="pct"/>
            <w:vAlign w:val="center"/>
          </w:tcPr>
          <w:p>
            <w:pPr>
              <w:adjustRightInd w:val="0"/>
              <w:snapToGrid w:val="0"/>
              <w:jc w:val="center"/>
              <w:rPr>
                <w:sz w:val="21"/>
                <w:szCs w:val="21"/>
              </w:rPr>
            </w:pPr>
            <w:r>
              <w:rPr>
                <w:rFonts w:hint="eastAsia"/>
                <w:sz w:val="21"/>
                <w:szCs w:val="21"/>
              </w:rPr>
              <w:t>SS、COD</w:t>
            </w:r>
          </w:p>
        </w:tc>
        <w:tc>
          <w:tcPr>
            <w:tcW w:w="1619" w:type="pct"/>
            <w:vAlign w:val="center"/>
          </w:tcPr>
          <w:p>
            <w:pPr>
              <w:adjustRightInd w:val="0"/>
              <w:snapToGrid w:val="0"/>
              <w:jc w:val="center"/>
              <w:rPr>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pct"/>
            <w:vMerge w:val="continue"/>
            <w:vAlign w:val="center"/>
          </w:tcPr>
          <w:p>
            <w:pPr>
              <w:adjustRightInd w:val="0"/>
              <w:snapToGrid w:val="0"/>
              <w:jc w:val="center"/>
              <w:rPr>
                <w:sz w:val="21"/>
                <w:szCs w:val="21"/>
              </w:rPr>
            </w:pPr>
          </w:p>
        </w:tc>
        <w:tc>
          <w:tcPr>
            <w:tcW w:w="1413" w:type="pct"/>
            <w:vAlign w:val="center"/>
          </w:tcPr>
          <w:p>
            <w:pPr>
              <w:adjustRightInd w:val="0"/>
              <w:snapToGrid w:val="0"/>
              <w:jc w:val="center"/>
              <w:rPr>
                <w:sz w:val="21"/>
                <w:szCs w:val="21"/>
              </w:rPr>
            </w:pPr>
            <w:r>
              <w:rPr>
                <w:rFonts w:hint="eastAsia"/>
                <w:sz w:val="21"/>
                <w:szCs w:val="21"/>
              </w:rPr>
              <w:t>洗车废水</w:t>
            </w:r>
          </w:p>
        </w:tc>
        <w:tc>
          <w:tcPr>
            <w:tcW w:w="1459" w:type="pct"/>
            <w:vAlign w:val="center"/>
          </w:tcPr>
          <w:p>
            <w:pPr>
              <w:adjustRightInd w:val="0"/>
              <w:snapToGrid w:val="0"/>
              <w:jc w:val="center"/>
              <w:rPr>
                <w:sz w:val="21"/>
                <w:szCs w:val="21"/>
              </w:rPr>
            </w:pPr>
            <w:r>
              <w:rPr>
                <w:rFonts w:hint="eastAsia"/>
                <w:sz w:val="21"/>
                <w:szCs w:val="21"/>
              </w:rPr>
              <w:t>盐类</w:t>
            </w:r>
          </w:p>
        </w:tc>
        <w:tc>
          <w:tcPr>
            <w:tcW w:w="1619" w:type="pct"/>
            <w:vAlign w:val="center"/>
          </w:tcPr>
          <w:p>
            <w:pPr>
              <w:adjustRightInd w:val="0"/>
              <w:snapToGrid w:val="0"/>
              <w:jc w:val="center"/>
              <w:rPr>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pct"/>
            <w:vMerge w:val="restart"/>
            <w:vAlign w:val="center"/>
          </w:tcPr>
          <w:p>
            <w:pPr>
              <w:adjustRightInd w:val="0"/>
              <w:snapToGrid w:val="0"/>
              <w:jc w:val="center"/>
              <w:rPr>
                <w:sz w:val="21"/>
                <w:szCs w:val="21"/>
              </w:rPr>
            </w:pPr>
            <w:r>
              <w:rPr>
                <w:sz w:val="21"/>
                <w:szCs w:val="21"/>
              </w:rPr>
              <w:t>固废</w:t>
            </w:r>
          </w:p>
        </w:tc>
        <w:tc>
          <w:tcPr>
            <w:tcW w:w="1413" w:type="pct"/>
            <w:vAlign w:val="center"/>
          </w:tcPr>
          <w:p>
            <w:pPr>
              <w:adjustRightInd w:val="0"/>
              <w:snapToGrid w:val="0"/>
              <w:jc w:val="center"/>
              <w:rPr>
                <w:sz w:val="21"/>
                <w:szCs w:val="21"/>
              </w:rPr>
            </w:pPr>
            <w:r>
              <w:rPr>
                <w:rFonts w:hint="eastAsia"/>
                <w:sz w:val="21"/>
                <w:szCs w:val="21"/>
              </w:rPr>
              <w:t>开采</w:t>
            </w:r>
          </w:p>
        </w:tc>
        <w:tc>
          <w:tcPr>
            <w:tcW w:w="1459" w:type="pct"/>
            <w:vAlign w:val="center"/>
          </w:tcPr>
          <w:p>
            <w:pPr>
              <w:adjustRightInd w:val="0"/>
              <w:snapToGrid w:val="0"/>
              <w:jc w:val="center"/>
              <w:rPr>
                <w:sz w:val="21"/>
                <w:szCs w:val="21"/>
              </w:rPr>
            </w:pPr>
            <w:r>
              <w:rPr>
                <w:rFonts w:hint="eastAsia"/>
                <w:sz w:val="21"/>
                <w:szCs w:val="21"/>
              </w:rPr>
              <w:t>剥离土</w:t>
            </w:r>
          </w:p>
        </w:tc>
        <w:tc>
          <w:tcPr>
            <w:tcW w:w="1619" w:type="pct"/>
            <w:vAlign w:val="center"/>
          </w:tcPr>
          <w:p>
            <w:pPr>
              <w:adjustRightInd w:val="0"/>
              <w:snapToGrid w:val="0"/>
              <w:jc w:val="center"/>
              <w:rPr>
                <w:bCs/>
                <w:sz w:val="21"/>
                <w:szCs w:val="21"/>
              </w:rPr>
            </w:pPr>
            <w:r>
              <w:rPr>
                <w:rFonts w:hint="eastAsia"/>
                <w:bCs/>
                <w:sz w:val="21"/>
                <w:szCs w:val="21"/>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pct"/>
            <w:vMerge w:val="continue"/>
            <w:vAlign w:val="center"/>
          </w:tcPr>
          <w:p>
            <w:pPr>
              <w:adjustRightInd w:val="0"/>
              <w:snapToGrid w:val="0"/>
              <w:jc w:val="center"/>
              <w:rPr>
                <w:sz w:val="21"/>
                <w:szCs w:val="21"/>
              </w:rPr>
            </w:pPr>
          </w:p>
        </w:tc>
        <w:tc>
          <w:tcPr>
            <w:tcW w:w="1413" w:type="pct"/>
            <w:vAlign w:val="center"/>
          </w:tcPr>
          <w:p>
            <w:pPr>
              <w:adjustRightInd w:val="0"/>
              <w:snapToGrid w:val="0"/>
              <w:jc w:val="center"/>
              <w:rPr>
                <w:sz w:val="21"/>
                <w:szCs w:val="21"/>
              </w:rPr>
            </w:pPr>
            <w:r>
              <w:rPr>
                <w:rFonts w:hint="eastAsia"/>
                <w:sz w:val="21"/>
                <w:szCs w:val="21"/>
              </w:rPr>
              <w:t>职工生活</w:t>
            </w:r>
          </w:p>
        </w:tc>
        <w:tc>
          <w:tcPr>
            <w:tcW w:w="1459" w:type="pct"/>
            <w:vAlign w:val="center"/>
          </w:tcPr>
          <w:p>
            <w:pPr>
              <w:adjustRightInd w:val="0"/>
              <w:snapToGrid w:val="0"/>
              <w:jc w:val="center"/>
              <w:rPr>
                <w:sz w:val="21"/>
                <w:szCs w:val="21"/>
              </w:rPr>
            </w:pPr>
            <w:r>
              <w:rPr>
                <w:rFonts w:hint="eastAsia"/>
                <w:sz w:val="21"/>
                <w:szCs w:val="21"/>
              </w:rPr>
              <w:t>生活垃圾</w:t>
            </w:r>
          </w:p>
        </w:tc>
        <w:tc>
          <w:tcPr>
            <w:tcW w:w="1619" w:type="pct"/>
            <w:vAlign w:val="center"/>
          </w:tcPr>
          <w:p>
            <w:pPr>
              <w:adjustRightInd w:val="0"/>
              <w:snapToGrid w:val="0"/>
              <w:jc w:val="center"/>
              <w:rPr>
                <w:bCs/>
                <w:sz w:val="21"/>
                <w:szCs w:val="21"/>
              </w:rPr>
            </w:pPr>
            <w:r>
              <w:rPr>
                <w:rFonts w:hint="eastAsia"/>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pct"/>
            <w:vMerge w:val="continue"/>
            <w:vAlign w:val="center"/>
          </w:tcPr>
          <w:p>
            <w:pPr>
              <w:adjustRightInd w:val="0"/>
              <w:snapToGrid w:val="0"/>
              <w:jc w:val="center"/>
              <w:rPr>
                <w:sz w:val="21"/>
                <w:szCs w:val="21"/>
              </w:rPr>
            </w:pPr>
          </w:p>
        </w:tc>
        <w:tc>
          <w:tcPr>
            <w:tcW w:w="1413" w:type="pct"/>
            <w:vAlign w:val="center"/>
          </w:tcPr>
          <w:p>
            <w:pPr>
              <w:adjustRightInd w:val="0"/>
              <w:snapToGrid w:val="0"/>
              <w:jc w:val="center"/>
              <w:rPr>
                <w:sz w:val="21"/>
                <w:szCs w:val="21"/>
              </w:rPr>
            </w:pPr>
            <w:r>
              <w:rPr>
                <w:rFonts w:hint="eastAsia"/>
                <w:sz w:val="21"/>
                <w:szCs w:val="21"/>
              </w:rPr>
              <w:t>设备维修</w:t>
            </w:r>
          </w:p>
        </w:tc>
        <w:tc>
          <w:tcPr>
            <w:tcW w:w="1459" w:type="pct"/>
            <w:vAlign w:val="center"/>
          </w:tcPr>
          <w:p>
            <w:pPr>
              <w:adjustRightInd w:val="0"/>
              <w:snapToGrid w:val="0"/>
              <w:jc w:val="center"/>
              <w:rPr>
                <w:sz w:val="21"/>
                <w:szCs w:val="21"/>
              </w:rPr>
            </w:pPr>
            <w:r>
              <w:rPr>
                <w:rFonts w:hint="eastAsia"/>
                <w:sz w:val="21"/>
                <w:szCs w:val="21"/>
              </w:rPr>
              <w:t>废机油</w:t>
            </w:r>
          </w:p>
        </w:tc>
        <w:tc>
          <w:tcPr>
            <w:tcW w:w="1619" w:type="pct"/>
            <w:vAlign w:val="center"/>
          </w:tcPr>
          <w:p>
            <w:pPr>
              <w:adjustRightInd w:val="0"/>
              <w:snapToGrid w:val="0"/>
              <w:jc w:val="center"/>
              <w:rPr>
                <w:bCs/>
                <w:sz w:val="21"/>
                <w:szCs w:val="21"/>
              </w:rPr>
            </w:pPr>
            <w:r>
              <w:rPr>
                <w:rFonts w:hint="eastAsia"/>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pct"/>
            <w:vAlign w:val="center"/>
          </w:tcPr>
          <w:p>
            <w:pPr>
              <w:adjustRightInd w:val="0"/>
              <w:snapToGrid w:val="0"/>
              <w:jc w:val="center"/>
              <w:rPr>
                <w:sz w:val="21"/>
                <w:szCs w:val="21"/>
              </w:rPr>
            </w:pPr>
            <w:r>
              <w:rPr>
                <w:sz w:val="21"/>
                <w:szCs w:val="21"/>
              </w:rPr>
              <w:t>噪声</w:t>
            </w:r>
          </w:p>
        </w:tc>
        <w:tc>
          <w:tcPr>
            <w:tcW w:w="1413" w:type="pct"/>
            <w:vAlign w:val="center"/>
          </w:tcPr>
          <w:p>
            <w:pPr>
              <w:adjustRightInd w:val="0"/>
              <w:snapToGrid w:val="0"/>
              <w:jc w:val="center"/>
              <w:rPr>
                <w:sz w:val="21"/>
                <w:szCs w:val="21"/>
              </w:rPr>
            </w:pPr>
            <w:r>
              <w:rPr>
                <w:rFonts w:hint="eastAsia"/>
                <w:sz w:val="21"/>
                <w:szCs w:val="21"/>
              </w:rPr>
              <w:t>挖掘机、装载机、雾炮机、水泵和运输车辆等</w:t>
            </w:r>
          </w:p>
        </w:tc>
        <w:tc>
          <w:tcPr>
            <w:tcW w:w="1459" w:type="pct"/>
            <w:vAlign w:val="center"/>
          </w:tcPr>
          <w:p>
            <w:pPr>
              <w:adjustRightInd w:val="0"/>
              <w:snapToGrid w:val="0"/>
              <w:jc w:val="center"/>
              <w:rPr>
                <w:bCs/>
                <w:sz w:val="21"/>
                <w:szCs w:val="21"/>
              </w:rPr>
            </w:pPr>
            <w:r>
              <w:rPr>
                <w:rFonts w:hint="eastAsia"/>
                <w:bCs/>
                <w:sz w:val="21"/>
                <w:szCs w:val="21"/>
              </w:rPr>
              <w:t>噪声</w:t>
            </w:r>
          </w:p>
        </w:tc>
        <w:tc>
          <w:tcPr>
            <w:tcW w:w="1619" w:type="pct"/>
            <w:vAlign w:val="center"/>
          </w:tcPr>
          <w:p>
            <w:pPr>
              <w:adjustRightInd w:val="0"/>
              <w:snapToGrid w:val="0"/>
              <w:jc w:val="center"/>
              <w:rPr>
                <w:bCs/>
                <w:sz w:val="21"/>
                <w:szCs w:val="21"/>
              </w:rPr>
            </w:pPr>
            <w:r>
              <w:rPr>
                <w:rFonts w:hint="eastAsia"/>
                <w:bCs/>
                <w:sz w:val="21"/>
                <w:szCs w:val="21"/>
              </w:rPr>
              <w:t>80</w:t>
            </w:r>
            <w:r>
              <w:rPr>
                <w:bCs/>
                <w:sz w:val="21"/>
                <w:szCs w:val="21"/>
              </w:rPr>
              <w:t>～</w:t>
            </w:r>
            <w:r>
              <w:rPr>
                <w:rFonts w:hint="eastAsia"/>
                <w:bCs/>
                <w:sz w:val="21"/>
                <w:szCs w:val="21"/>
              </w:rPr>
              <w:t>90</w:t>
            </w:r>
            <w:r>
              <w:rPr>
                <w:bCs/>
                <w:sz w:val="21"/>
                <w:szCs w:val="21"/>
              </w:rPr>
              <w:t>dB(A)</w:t>
            </w:r>
          </w:p>
        </w:tc>
      </w:tr>
    </w:tbl>
    <w:p>
      <w:pPr>
        <w:pStyle w:val="5"/>
        <w:adjustRightInd w:val="0"/>
        <w:snapToGrid w:val="0"/>
        <w:spacing w:before="120" w:beforeLines="50" w:line="360" w:lineRule="auto"/>
        <w:rPr>
          <w:rFonts w:eastAsia="宋体"/>
          <w:sz w:val="28"/>
          <w:szCs w:val="28"/>
        </w:rPr>
      </w:pPr>
      <w:bookmarkStart w:id="400" w:name="_Toc27350"/>
      <w:r>
        <w:rPr>
          <w:rFonts w:eastAsia="宋体"/>
          <w:sz w:val="28"/>
          <w:szCs w:val="28"/>
        </w:rPr>
        <w:t>9.4</w:t>
      </w:r>
      <w:bookmarkEnd w:id="396"/>
      <w:bookmarkEnd w:id="397"/>
      <w:bookmarkEnd w:id="398"/>
      <w:bookmarkEnd w:id="399"/>
      <w:r>
        <w:rPr>
          <w:rFonts w:hint="eastAsia" w:eastAsia="宋体"/>
          <w:sz w:val="28"/>
          <w:szCs w:val="28"/>
        </w:rPr>
        <w:t>主要环境影响分析</w:t>
      </w:r>
      <w:bookmarkEnd w:id="400"/>
    </w:p>
    <w:p>
      <w:pPr>
        <w:spacing w:line="440" w:lineRule="exact"/>
        <w:ind w:firstLine="480" w:firstLineChars="200"/>
        <w:jc w:val="both"/>
      </w:pPr>
      <w:r>
        <w:rPr>
          <w:rFonts w:hint="eastAsia"/>
        </w:rPr>
        <w:t>1、环境空气影响</w:t>
      </w:r>
    </w:p>
    <w:p>
      <w:pPr>
        <w:spacing w:line="440" w:lineRule="exact"/>
        <w:ind w:firstLine="480" w:firstLineChars="200"/>
        <w:jc w:val="both"/>
        <w:rPr>
          <w:snapToGrid w:val="0"/>
        </w:rPr>
      </w:pPr>
      <w:r>
        <w:rPr>
          <w:rFonts w:hint="eastAsia"/>
          <w:snapToGrid w:val="0"/>
        </w:rPr>
        <w:t>本项目运营期大气污染物主要为采装作业粉尘、原料库粉尘和道路运输扬尘。</w:t>
      </w:r>
    </w:p>
    <w:p>
      <w:pPr>
        <w:spacing w:line="440" w:lineRule="exact"/>
        <w:ind w:firstLine="480" w:firstLineChars="200"/>
        <w:jc w:val="both"/>
        <w:rPr>
          <w:snapToGrid w:val="0"/>
        </w:rPr>
      </w:pPr>
      <w:r>
        <w:rPr>
          <w:rFonts w:hint="eastAsia"/>
          <w:snapToGrid w:val="0"/>
        </w:rPr>
        <w:t>采装作业区设移动雾炮机全覆盖喷雾洒水抑尘；排土场内堆土全部使用防尘网进行遮挡覆盖，作业区设雾炮机喷雾洒水抑尘；原料库全封闭，内设雾炮机喷雾洒水抑尘；工业场地进出口设洗车平台，运输车辆出厂时进行冲洗；厂区道路硬化，定期洒水、及时清扫；运输车辆进行苫盖。</w:t>
      </w:r>
    </w:p>
    <w:p>
      <w:pPr>
        <w:spacing w:line="440" w:lineRule="exact"/>
        <w:ind w:firstLine="480" w:firstLineChars="200"/>
        <w:jc w:val="both"/>
        <w:rPr>
          <w:snapToGrid w:val="0"/>
        </w:rPr>
      </w:pPr>
      <w:r>
        <w:rPr>
          <w:rFonts w:hint="eastAsia"/>
          <w:snapToGrid w:val="0"/>
        </w:rPr>
        <w:t>采取以上措施后，本项目大气污染物能够达标排放，不会对周边环境空气质量产生明显影响。</w:t>
      </w:r>
    </w:p>
    <w:p>
      <w:pPr>
        <w:spacing w:line="440" w:lineRule="exact"/>
        <w:ind w:firstLine="480" w:firstLineChars="200"/>
        <w:jc w:val="both"/>
        <w:rPr>
          <w:snapToGrid w:val="0"/>
        </w:rPr>
      </w:pPr>
      <w:r>
        <w:rPr>
          <w:rFonts w:hint="eastAsia"/>
          <w:snapToGrid w:val="0"/>
        </w:rPr>
        <w:t>2、地表水环境影响</w:t>
      </w:r>
    </w:p>
    <w:p>
      <w:pPr>
        <w:spacing w:line="440" w:lineRule="exact"/>
        <w:ind w:firstLine="480" w:firstLineChars="200"/>
        <w:jc w:val="both"/>
      </w:pPr>
      <w:r>
        <w:rPr>
          <w:rFonts w:hint="eastAsia"/>
        </w:rPr>
        <w:t>本项目洗车废水沉淀后后回用于洗车，生活污水沉淀后用于道路洒水抑尘。项目无废水外排，不会对区域地表水环境产生影响。</w:t>
      </w:r>
    </w:p>
    <w:p>
      <w:pPr>
        <w:spacing w:line="440" w:lineRule="exact"/>
        <w:ind w:firstLine="480" w:firstLineChars="200"/>
        <w:jc w:val="both"/>
      </w:pPr>
      <w:r>
        <w:rPr>
          <w:rFonts w:hint="eastAsia"/>
        </w:rPr>
        <w:t>3、声环境影响</w:t>
      </w:r>
    </w:p>
    <w:p>
      <w:pPr>
        <w:adjustRightInd w:val="0"/>
        <w:snapToGrid w:val="0"/>
        <w:spacing w:line="440" w:lineRule="exact"/>
        <w:ind w:firstLine="480" w:firstLineChars="200"/>
        <w:jc w:val="both"/>
      </w:pPr>
      <w:r>
        <w:rPr>
          <w:rFonts w:hint="eastAsia"/>
        </w:rPr>
        <w:t>根据预测，项目厂界噪声预测值为33.33~45.58dB（A），能够满足</w:t>
      </w:r>
      <w:r>
        <w:t>《工业企业厂界噪声排放标准》</w:t>
      </w:r>
      <w:r>
        <w:rPr>
          <w:rFonts w:hint="eastAsia"/>
        </w:rPr>
        <w:t>（</w:t>
      </w:r>
      <w:r>
        <w:t>GB12348-2008</w:t>
      </w:r>
      <w:r>
        <w:rPr>
          <w:rFonts w:hint="eastAsia"/>
        </w:rPr>
        <w:t>）</w:t>
      </w:r>
      <w:r>
        <w:rPr>
          <w:rFonts w:hint="eastAsia"/>
          <w:lang w:val="en-US" w:eastAsia="zh-CN"/>
        </w:rPr>
        <w:t>1</w:t>
      </w:r>
      <w:r>
        <w:t>类标准要求</w:t>
      </w:r>
      <w:r>
        <w:rPr>
          <w:rFonts w:hint="eastAsia"/>
        </w:rPr>
        <w:t>，厂界噪声能够达标排放</w:t>
      </w:r>
      <w:r>
        <w:t>。</w:t>
      </w:r>
    </w:p>
    <w:p>
      <w:pPr>
        <w:spacing w:line="440" w:lineRule="exact"/>
        <w:ind w:firstLine="480" w:firstLineChars="200"/>
        <w:jc w:val="both"/>
      </w:pPr>
      <w:r>
        <w:rPr>
          <w:rFonts w:hint="eastAsia"/>
        </w:rPr>
        <w:t>项目距离周边村庄较远，经距离衰减后，项目运营不会对周边声环境产生影响。</w:t>
      </w:r>
    </w:p>
    <w:p>
      <w:pPr>
        <w:spacing w:line="440" w:lineRule="exact"/>
        <w:ind w:firstLine="480" w:firstLineChars="200"/>
        <w:jc w:val="both"/>
      </w:pPr>
      <w:r>
        <w:rPr>
          <w:rFonts w:hint="eastAsia"/>
        </w:rPr>
        <w:t>4、固体废物影响</w:t>
      </w:r>
    </w:p>
    <w:p>
      <w:pPr>
        <w:pStyle w:val="245"/>
        <w:spacing w:line="440" w:lineRule="exact"/>
        <w:ind w:firstLine="480"/>
        <w:rPr>
          <w:rFonts w:eastAsiaTheme="minorEastAsia"/>
          <w:sz w:val="24"/>
          <w:szCs w:val="24"/>
        </w:rPr>
      </w:pPr>
      <w:r>
        <w:rPr>
          <w:rFonts w:hint="eastAsia" w:eastAsiaTheme="minorEastAsia"/>
          <w:sz w:val="24"/>
          <w:szCs w:val="24"/>
        </w:rPr>
        <w:t>本项目开采剥离土储存于排土场内，后期用于生态恢复和土地复垦；生活垃圾设垃圾箱收集，定期送环卫部门指定地点处置；废机油设危废暂存间暂存，定期由有处理资质的单位进行统一转运处置。</w:t>
      </w:r>
    </w:p>
    <w:p>
      <w:pPr>
        <w:pStyle w:val="245"/>
        <w:spacing w:line="440" w:lineRule="exact"/>
        <w:ind w:firstLine="480"/>
        <w:rPr>
          <w:rFonts w:eastAsiaTheme="minorEastAsia"/>
          <w:sz w:val="24"/>
          <w:szCs w:val="24"/>
        </w:rPr>
      </w:pPr>
      <w:r>
        <w:rPr>
          <w:rFonts w:hint="eastAsia" w:eastAsiaTheme="minorEastAsia"/>
          <w:sz w:val="24"/>
          <w:szCs w:val="24"/>
        </w:rPr>
        <w:t>本项目各类固体废物均能得到合理处置，</w:t>
      </w:r>
      <w:r>
        <w:rPr>
          <w:rFonts w:eastAsiaTheme="minorEastAsia"/>
          <w:sz w:val="24"/>
          <w:szCs w:val="24"/>
        </w:rPr>
        <w:t>不会对周围环境产生不利影响。</w:t>
      </w:r>
    </w:p>
    <w:p>
      <w:pPr>
        <w:spacing w:line="440" w:lineRule="exact"/>
        <w:ind w:firstLine="480" w:firstLineChars="200"/>
        <w:jc w:val="both"/>
      </w:pPr>
      <w:r>
        <w:rPr>
          <w:rFonts w:hint="eastAsia"/>
        </w:rPr>
        <w:t>5、生态环境影响</w:t>
      </w:r>
    </w:p>
    <w:p>
      <w:pPr>
        <w:pStyle w:val="361"/>
        <w:spacing w:line="440" w:lineRule="exact"/>
        <w:ind w:firstLineChars="200"/>
        <w:jc w:val="both"/>
        <w:rPr>
          <w:rFonts w:ascii="宋体" w:hAnsi="宋体" w:eastAsia="宋体"/>
        </w:rPr>
      </w:pPr>
      <w:r>
        <w:rPr>
          <w:rFonts w:ascii="宋体" w:hAnsi="宋体" w:eastAsia="宋体"/>
        </w:rPr>
        <w:t>本项目运行之后</w:t>
      </w:r>
      <w:r>
        <w:rPr>
          <w:rFonts w:hint="eastAsia" w:ascii="宋体" w:hAnsi="宋体" w:eastAsia="宋体"/>
        </w:rPr>
        <w:t>，</w:t>
      </w:r>
      <w:r>
        <w:rPr>
          <w:rFonts w:ascii="宋体" w:hAnsi="宋体" w:eastAsia="宋体"/>
        </w:rPr>
        <w:t>主要影响为</w:t>
      </w:r>
      <w:r>
        <w:rPr>
          <w:rFonts w:hint="eastAsia" w:ascii="宋体" w:hAnsi="宋体" w:eastAsia="宋体"/>
        </w:rPr>
        <w:t>粘土</w:t>
      </w:r>
      <w:r>
        <w:rPr>
          <w:rFonts w:ascii="宋体" w:hAnsi="宋体" w:eastAsia="宋体"/>
        </w:rPr>
        <w:t>开采对生态系统的影响</w:t>
      </w:r>
      <w:r>
        <w:rPr>
          <w:rFonts w:hint="eastAsia" w:ascii="宋体" w:hAnsi="宋体" w:eastAsia="宋体"/>
        </w:rPr>
        <w:t>，</w:t>
      </w:r>
      <w:r>
        <w:rPr>
          <w:rFonts w:ascii="宋体" w:hAnsi="宋体" w:eastAsia="宋体"/>
        </w:rPr>
        <w:t>其体现在采掘场和矿区道路等的开挖使地表土壤及植被完全破坏</w:t>
      </w:r>
      <w:r>
        <w:rPr>
          <w:rFonts w:hint="eastAsia" w:ascii="宋体" w:hAnsi="宋体" w:eastAsia="宋体"/>
        </w:rPr>
        <w:t>，</w:t>
      </w:r>
      <w:r>
        <w:rPr>
          <w:rFonts w:ascii="宋体" w:hAnsi="宋体" w:eastAsia="宋体"/>
        </w:rPr>
        <w:t>区域地表水土保持能力下降</w:t>
      </w:r>
      <w:r>
        <w:rPr>
          <w:rFonts w:hint="eastAsia" w:ascii="宋体" w:hAnsi="宋体" w:eastAsia="宋体"/>
        </w:rPr>
        <w:t>，</w:t>
      </w:r>
      <w:r>
        <w:rPr>
          <w:rFonts w:ascii="宋体" w:hAnsi="宋体" w:eastAsia="宋体"/>
        </w:rPr>
        <w:t>土壤侵蚀加重</w:t>
      </w:r>
      <w:r>
        <w:rPr>
          <w:rFonts w:hint="eastAsia" w:ascii="宋体" w:hAnsi="宋体" w:eastAsia="宋体"/>
        </w:rPr>
        <w:t>，</w:t>
      </w:r>
      <w:r>
        <w:rPr>
          <w:rFonts w:ascii="宋体" w:hAnsi="宋体" w:eastAsia="宋体"/>
        </w:rPr>
        <w:t>土地生产力下降</w:t>
      </w:r>
      <w:r>
        <w:rPr>
          <w:rFonts w:hint="eastAsia" w:ascii="宋体" w:hAnsi="宋体" w:eastAsia="宋体"/>
        </w:rPr>
        <w:t>，</w:t>
      </w:r>
      <w:r>
        <w:rPr>
          <w:rFonts w:ascii="宋体" w:hAnsi="宋体" w:eastAsia="宋体"/>
        </w:rPr>
        <w:t>同时导致区域地貌类型和生态景观发生变化</w:t>
      </w:r>
      <w:r>
        <w:rPr>
          <w:rFonts w:hint="eastAsia" w:ascii="宋体" w:hAnsi="宋体" w:eastAsia="宋体"/>
        </w:rPr>
        <w:t>。</w:t>
      </w:r>
    </w:p>
    <w:p>
      <w:pPr>
        <w:pStyle w:val="361"/>
        <w:spacing w:line="440" w:lineRule="exact"/>
        <w:ind w:firstLineChars="200"/>
        <w:jc w:val="both"/>
        <w:rPr>
          <w:rFonts w:ascii="宋体" w:hAnsi="宋体" w:eastAsia="宋体"/>
        </w:rPr>
      </w:pPr>
      <w:r>
        <w:rPr>
          <w:rFonts w:hint="eastAsia" w:ascii="宋体" w:hAnsi="宋体" w:eastAsia="宋体"/>
        </w:rPr>
        <w:t>露天开采</w:t>
      </w:r>
      <w:r>
        <w:rPr>
          <w:rFonts w:ascii="宋体" w:hAnsi="宋体" w:eastAsia="宋体"/>
        </w:rPr>
        <w:t>占活动将会使占地范围内的一些植被数量和类型受到破坏</w:t>
      </w:r>
      <w:r>
        <w:rPr>
          <w:rFonts w:hint="eastAsia" w:ascii="宋体" w:hAnsi="宋体" w:eastAsia="宋体"/>
        </w:rPr>
        <w:t>，</w:t>
      </w:r>
      <w:r>
        <w:rPr>
          <w:rFonts w:ascii="宋体" w:hAnsi="宋体" w:eastAsia="宋体"/>
        </w:rPr>
        <w:t>降低</w:t>
      </w:r>
      <w:r>
        <w:rPr>
          <w:rFonts w:hint="eastAsia" w:ascii="宋体" w:hAnsi="宋体" w:eastAsia="宋体"/>
        </w:rPr>
        <w:t>项目所在</w:t>
      </w:r>
      <w:r>
        <w:rPr>
          <w:rFonts w:ascii="宋体" w:hAnsi="宋体" w:eastAsia="宋体"/>
        </w:rPr>
        <w:t>区域的植被覆盖率</w:t>
      </w:r>
      <w:r>
        <w:rPr>
          <w:rFonts w:hint="eastAsia" w:ascii="宋体" w:hAnsi="宋体" w:eastAsia="宋体"/>
        </w:rPr>
        <w:t>，</w:t>
      </w:r>
      <w:r>
        <w:rPr>
          <w:rFonts w:ascii="宋体" w:hAnsi="宋体" w:eastAsia="宋体"/>
        </w:rPr>
        <w:t>从而增加了</w:t>
      </w:r>
      <w:r>
        <w:rPr>
          <w:rFonts w:hint="eastAsia" w:ascii="宋体" w:hAnsi="宋体" w:eastAsia="宋体"/>
        </w:rPr>
        <w:t>项目</w:t>
      </w:r>
      <w:r>
        <w:rPr>
          <w:rFonts w:ascii="宋体" w:hAnsi="宋体" w:eastAsia="宋体"/>
        </w:rPr>
        <w:t>区</w:t>
      </w:r>
      <w:r>
        <w:rPr>
          <w:rFonts w:hint="eastAsia" w:ascii="宋体" w:hAnsi="宋体" w:eastAsia="宋体"/>
        </w:rPr>
        <w:t>域</w:t>
      </w:r>
      <w:r>
        <w:rPr>
          <w:rFonts w:ascii="宋体" w:hAnsi="宋体" w:eastAsia="宋体"/>
        </w:rPr>
        <w:t>水土流失</w:t>
      </w:r>
      <w:r>
        <w:rPr>
          <w:rFonts w:hint="eastAsia" w:ascii="宋体" w:hAnsi="宋体" w:eastAsia="宋体"/>
        </w:rPr>
        <w:t>。</w:t>
      </w:r>
      <w:r>
        <w:rPr>
          <w:rFonts w:ascii="宋体" w:hAnsi="宋体" w:eastAsia="宋体"/>
        </w:rPr>
        <w:t>由于矿区原生态系统的自我调节能力较差</w:t>
      </w:r>
      <w:r>
        <w:rPr>
          <w:rFonts w:hint="eastAsia" w:ascii="宋体" w:hAnsi="宋体" w:eastAsia="宋体"/>
        </w:rPr>
        <w:t>，</w:t>
      </w:r>
      <w:r>
        <w:rPr>
          <w:rFonts w:ascii="宋体" w:hAnsi="宋体" w:eastAsia="宋体"/>
        </w:rPr>
        <w:t>矿山开采后自我调节能力完全丧失</w:t>
      </w:r>
      <w:r>
        <w:rPr>
          <w:rFonts w:hint="eastAsia" w:ascii="宋体" w:hAnsi="宋体" w:eastAsia="宋体"/>
        </w:rPr>
        <w:t>，</w:t>
      </w:r>
      <w:r>
        <w:rPr>
          <w:rFonts w:ascii="宋体" w:hAnsi="宋体" w:eastAsia="宋体"/>
        </w:rPr>
        <w:t>仅依靠生态系统的自我恢复是不可能的</w:t>
      </w:r>
      <w:r>
        <w:rPr>
          <w:rFonts w:hint="eastAsia" w:ascii="宋体" w:hAnsi="宋体" w:eastAsia="宋体"/>
        </w:rPr>
        <w:t>，</w:t>
      </w:r>
      <w:r>
        <w:rPr>
          <w:rFonts w:ascii="宋体" w:hAnsi="宋体" w:eastAsia="宋体"/>
        </w:rPr>
        <w:t>因此需要人工干预</w:t>
      </w:r>
      <w:r>
        <w:rPr>
          <w:rFonts w:hint="eastAsia" w:ascii="宋体" w:hAnsi="宋体" w:eastAsia="宋体"/>
        </w:rPr>
        <w:t>，</w:t>
      </w:r>
      <w:r>
        <w:rPr>
          <w:rFonts w:ascii="宋体" w:hAnsi="宋体" w:eastAsia="宋体"/>
        </w:rPr>
        <w:t>对开采破坏的生态环境采取生态恢复措施加以改善</w:t>
      </w:r>
      <w:r>
        <w:rPr>
          <w:rFonts w:hint="eastAsia" w:ascii="宋体" w:hAnsi="宋体" w:eastAsia="宋体"/>
        </w:rPr>
        <w:t>。</w:t>
      </w:r>
    </w:p>
    <w:p>
      <w:pPr>
        <w:pStyle w:val="361"/>
        <w:spacing w:line="440" w:lineRule="exact"/>
        <w:ind w:firstLineChars="200"/>
        <w:jc w:val="both"/>
        <w:rPr>
          <w:rFonts w:hAnsi="宋体" w:eastAsia="宋体"/>
        </w:rPr>
      </w:pPr>
      <w:r>
        <w:rPr>
          <w:rFonts w:ascii="宋体" w:hAnsi="宋体" w:eastAsia="宋体"/>
        </w:rPr>
        <w:t>在采取各种措施对受影响的各区域进行恢复治理后</w:t>
      </w:r>
      <w:r>
        <w:rPr>
          <w:rFonts w:hint="eastAsia" w:ascii="宋体" w:hAnsi="宋体" w:eastAsia="宋体"/>
        </w:rPr>
        <w:t>，</w:t>
      </w:r>
      <w:r>
        <w:rPr>
          <w:rFonts w:ascii="宋体" w:hAnsi="宋体" w:eastAsia="宋体"/>
        </w:rPr>
        <w:t>项目评价区综合值相较于</w:t>
      </w:r>
      <w:r>
        <w:rPr>
          <w:rFonts w:hint="eastAsia" w:ascii="宋体" w:hAnsi="宋体" w:eastAsia="宋体"/>
        </w:rPr>
        <w:t>现状值和</w:t>
      </w:r>
      <w:r>
        <w:rPr>
          <w:rFonts w:ascii="宋体" w:hAnsi="宋体" w:eastAsia="宋体"/>
        </w:rPr>
        <w:t>预测值有所增加</w:t>
      </w:r>
      <w:r>
        <w:rPr>
          <w:rFonts w:hint="eastAsia" w:ascii="宋体" w:hAnsi="宋体" w:eastAsia="宋体"/>
        </w:rPr>
        <w:t>，</w:t>
      </w:r>
      <w:r>
        <w:rPr>
          <w:rFonts w:ascii="宋体" w:hAnsi="宋体" w:eastAsia="宋体"/>
        </w:rPr>
        <w:t>生态治理及恢复措施对项目开采及运营产生的影响有明显的补偿作用</w:t>
      </w:r>
      <w:r>
        <w:rPr>
          <w:rFonts w:hint="eastAsia" w:ascii="宋体" w:hAnsi="宋体" w:eastAsia="宋体"/>
        </w:rPr>
        <w:t>，</w:t>
      </w:r>
      <w:r>
        <w:rPr>
          <w:rFonts w:ascii="宋体" w:hAnsi="宋体" w:eastAsia="宋体"/>
        </w:rPr>
        <w:t>项目</w:t>
      </w:r>
      <w:r>
        <w:rPr>
          <w:rFonts w:hint="eastAsia" w:ascii="宋体" w:hAnsi="宋体" w:eastAsia="宋体"/>
        </w:rPr>
        <w:t>建设</w:t>
      </w:r>
      <w:r>
        <w:rPr>
          <w:rFonts w:ascii="宋体" w:hAnsi="宋体" w:eastAsia="宋体"/>
        </w:rPr>
        <w:t>对生态环境的影响会降至最低</w:t>
      </w:r>
      <w:r>
        <w:rPr>
          <w:rFonts w:hint="eastAsia" w:ascii="宋体" w:hAnsi="宋体" w:eastAsia="宋体"/>
        </w:rPr>
        <w:t>，</w:t>
      </w:r>
      <w:r>
        <w:rPr>
          <w:rFonts w:ascii="宋体" w:hAnsi="宋体" w:eastAsia="宋体"/>
        </w:rPr>
        <w:t>其生态完整性不会发生变化</w:t>
      </w:r>
      <w:r>
        <w:rPr>
          <w:rFonts w:hint="eastAsia" w:ascii="宋体" w:hAnsi="宋体" w:eastAsia="宋体"/>
        </w:rPr>
        <w:t>。</w:t>
      </w:r>
    </w:p>
    <w:p>
      <w:pPr>
        <w:pStyle w:val="5"/>
        <w:adjustRightInd w:val="0"/>
        <w:snapToGrid w:val="0"/>
        <w:spacing w:before="120" w:beforeLines="50" w:line="360" w:lineRule="auto"/>
        <w:rPr>
          <w:rFonts w:eastAsia="宋体"/>
          <w:sz w:val="28"/>
          <w:szCs w:val="28"/>
        </w:rPr>
      </w:pPr>
      <w:bookmarkStart w:id="401" w:name="_Toc32659"/>
      <w:r>
        <w:rPr>
          <w:rFonts w:eastAsia="宋体"/>
          <w:sz w:val="28"/>
          <w:szCs w:val="28"/>
        </w:rPr>
        <w:t>9.5</w:t>
      </w:r>
      <w:r>
        <w:rPr>
          <w:rFonts w:hint="eastAsia" w:eastAsia="宋体"/>
          <w:sz w:val="28"/>
          <w:szCs w:val="28"/>
        </w:rPr>
        <w:t>环境保护措施</w:t>
      </w:r>
      <w:bookmarkEnd w:id="401"/>
    </w:p>
    <w:p>
      <w:pPr>
        <w:widowControl w:val="0"/>
        <w:spacing w:line="440" w:lineRule="exact"/>
        <w:ind w:firstLine="420" w:firstLineChars="200"/>
        <w:jc w:val="center"/>
        <w:rPr>
          <w:rFonts w:eastAsia="黑体"/>
          <w:sz w:val="21"/>
          <w:szCs w:val="21"/>
        </w:rPr>
      </w:pPr>
      <w:r>
        <w:rPr>
          <w:rFonts w:eastAsia="黑体"/>
          <w:sz w:val="21"/>
          <w:szCs w:val="21"/>
        </w:rPr>
        <w:t>表9.</w:t>
      </w:r>
      <w:r>
        <w:rPr>
          <w:rFonts w:hint="eastAsia" w:eastAsia="黑体"/>
          <w:sz w:val="21"/>
          <w:szCs w:val="21"/>
        </w:rPr>
        <w:t>5</w:t>
      </w:r>
      <w:r>
        <w:rPr>
          <w:rFonts w:eastAsia="黑体"/>
          <w:sz w:val="21"/>
          <w:szCs w:val="21"/>
        </w:rPr>
        <w:t xml:space="preserve">-1  </w:t>
      </w:r>
      <w:r>
        <w:rPr>
          <w:rFonts w:hint="eastAsia" w:eastAsia="黑体"/>
          <w:sz w:val="21"/>
          <w:szCs w:val="21"/>
        </w:rPr>
        <w:t>环境保护措施</w:t>
      </w:r>
      <w:r>
        <w:rPr>
          <w:rFonts w:eastAsia="黑体"/>
          <w:sz w:val="21"/>
          <w:szCs w:val="21"/>
        </w:rPr>
        <w:t>一览表</w:t>
      </w:r>
    </w:p>
    <w:tbl>
      <w:tblPr>
        <w:tblStyle w:val="88"/>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87"/>
        <w:gridCol w:w="1325"/>
        <w:gridCol w:w="1139"/>
        <w:gridCol w:w="61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1" w:hRule="atLeast"/>
        </w:trPr>
        <w:tc>
          <w:tcPr>
            <w:tcW w:w="370" w:type="pct"/>
            <w:vMerge w:val="restart"/>
            <w:tcBorders>
              <w:top w:val="single" w:color="000000" w:sz="6" w:space="0"/>
              <w:left w:val="single" w:color="000000" w:sz="6" w:space="0"/>
              <w:bottom w:val="single" w:color="000000" w:sz="6" w:space="0"/>
              <w:right w:val="single" w:color="000000" w:sz="6" w:space="0"/>
            </w:tcBorders>
            <w:vAlign w:val="center"/>
          </w:tcPr>
          <w:p>
            <w:pPr>
              <w:pStyle w:val="87"/>
              <w:snapToGrid/>
              <w:spacing w:after="0" w:line="240" w:lineRule="auto"/>
              <w:ind w:left="0" w:leftChars="0" w:firstLine="0" w:firstLineChars="0"/>
              <w:jc w:val="center"/>
            </w:pPr>
            <w:r>
              <w:t>分类</w:t>
            </w:r>
          </w:p>
        </w:tc>
        <w:tc>
          <w:tcPr>
            <w:tcW w:w="713" w:type="pct"/>
            <w:vMerge w:val="restar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t>排放源</w:t>
            </w:r>
          </w:p>
        </w:tc>
        <w:tc>
          <w:tcPr>
            <w:tcW w:w="613" w:type="pct"/>
            <w:vMerge w:val="restar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t>污染物</w:t>
            </w:r>
          </w:p>
        </w:tc>
        <w:tc>
          <w:tcPr>
            <w:tcW w:w="3302" w:type="pct"/>
            <w:vMerge w:val="restar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t>治理措施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12" w:hRule="atLeast"/>
        </w:trPr>
        <w:tc>
          <w:tcPr>
            <w:tcW w:w="370" w:type="pct"/>
            <w:vMerge w:val="continue"/>
            <w:tcBorders>
              <w:top w:val="single" w:color="000000" w:sz="6" w:space="0"/>
              <w:left w:val="single" w:color="000000" w:sz="6" w:space="0"/>
              <w:bottom w:val="single" w:color="000000" w:sz="6" w:space="0"/>
              <w:right w:val="single" w:color="000000" w:sz="6" w:space="0"/>
            </w:tcBorders>
            <w:vAlign w:val="center"/>
          </w:tcPr>
          <w:p>
            <w:pPr>
              <w:pStyle w:val="87"/>
              <w:snapToGrid/>
              <w:spacing w:after="0" w:line="240" w:lineRule="auto"/>
              <w:ind w:left="480" w:firstLine="0" w:firstLineChars="0"/>
              <w:jc w:val="center"/>
            </w:pPr>
          </w:p>
        </w:tc>
        <w:tc>
          <w:tcPr>
            <w:tcW w:w="713" w:type="pct"/>
            <w:vMerge w:val="continue"/>
            <w:tcBorders>
              <w:top w:val="single" w:color="000000" w:sz="6" w:space="0"/>
              <w:left w:val="nil"/>
              <w:bottom w:val="single" w:color="000000" w:sz="6" w:space="0"/>
              <w:right w:val="single" w:color="000000" w:sz="6" w:space="0"/>
            </w:tcBorders>
            <w:vAlign w:val="center"/>
          </w:tcPr>
          <w:p>
            <w:pPr>
              <w:pStyle w:val="87"/>
              <w:snapToGrid/>
              <w:spacing w:after="0" w:line="240" w:lineRule="auto"/>
              <w:ind w:left="480" w:firstLine="0" w:firstLineChars="0"/>
              <w:jc w:val="center"/>
            </w:pPr>
          </w:p>
        </w:tc>
        <w:tc>
          <w:tcPr>
            <w:tcW w:w="613" w:type="pct"/>
            <w:vMerge w:val="continue"/>
            <w:tcBorders>
              <w:top w:val="single" w:color="000000" w:sz="6" w:space="0"/>
              <w:left w:val="nil"/>
              <w:bottom w:val="single" w:color="000000" w:sz="6" w:space="0"/>
              <w:right w:val="single" w:color="000000" w:sz="6" w:space="0"/>
            </w:tcBorders>
            <w:vAlign w:val="center"/>
          </w:tcPr>
          <w:p>
            <w:pPr>
              <w:pStyle w:val="87"/>
              <w:snapToGrid/>
              <w:spacing w:after="0" w:line="240" w:lineRule="auto"/>
              <w:ind w:left="480" w:firstLine="0" w:firstLineChars="0"/>
              <w:jc w:val="center"/>
            </w:pPr>
          </w:p>
        </w:tc>
        <w:tc>
          <w:tcPr>
            <w:tcW w:w="3302" w:type="pct"/>
            <w:vMerge w:val="continue"/>
            <w:tcBorders>
              <w:top w:val="single" w:color="000000" w:sz="6" w:space="0"/>
              <w:left w:val="nil"/>
              <w:bottom w:val="single" w:color="000000" w:sz="6" w:space="0"/>
              <w:right w:val="single" w:color="000000" w:sz="6" w:space="0"/>
            </w:tcBorders>
            <w:vAlign w:val="center"/>
          </w:tcPr>
          <w:p>
            <w:pPr>
              <w:pStyle w:val="87"/>
              <w:snapToGrid/>
              <w:spacing w:after="0" w:line="240" w:lineRule="auto"/>
              <w:ind w:left="480" w:firstLine="0" w:firstLineChars="0"/>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370" w:type="pct"/>
            <w:vMerge w:val="restart"/>
            <w:tcBorders>
              <w:top w:val="nil"/>
              <w:left w:val="single" w:color="000000" w:sz="6" w:space="0"/>
              <w:bottom w:val="single" w:color="000000" w:sz="6" w:space="0"/>
              <w:right w:val="single" w:color="000000" w:sz="6" w:space="0"/>
            </w:tcBorders>
            <w:vAlign w:val="center"/>
          </w:tcPr>
          <w:p>
            <w:pPr>
              <w:pStyle w:val="87"/>
              <w:snapToGrid/>
              <w:spacing w:after="0" w:line="240" w:lineRule="auto"/>
              <w:ind w:left="0" w:leftChars="0" w:firstLine="0" w:firstLineChars="0"/>
              <w:jc w:val="center"/>
            </w:pPr>
            <w:r>
              <w:t>废气</w:t>
            </w:r>
          </w:p>
        </w:tc>
        <w:tc>
          <w:tcPr>
            <w:tcW w:w="7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rPr>
              <w:t>采装作业</w:t>
            </w:r>
          </w:p>
        </w:tc>
        <w:tc>
          <w:tcPr>
            <w:tcW w:w="6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rPr>
              <w:t>粉</w:t>
            </w:r>
            <w:r>
              <w:t>尘</w:t>
            </w:r>
          </w:p>
        </w:tc>
        <w:tc>
          <w:tcPr>
            <w:tcW w:w="3302"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snapToGrid w:val="0"/>
              </w:rPr>
              <w:t>设移动雾炮机全覆盖喷雾洒水抑尘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370" w:type="pct"/>
            <w:vMerge w:val="continue"/>
            <w:tcBorders>
              <w:left w:val="single" w:color="000000" w:sz="6" w:space="0"/>
              <w:right w:val="single" w:color="000000" w:sz="6" w:space="0"/>
            </w:tcBorders>
            <w:vAlign w:val="center"/>
          </w:tcPr>
          <w:p>
            <w:pPr>
              <w:pStyle w:val="87"/>
              <w:snapToGrid/>
              <w:spacing w:after="0" w:line="240" w:lineRule="auto"/>
              <w:ind w:left="0" w:leftChars="0" w:firstLine="0" w:firstLineChars="0"/>
              <w:jc w:val="center"/>
            </w:pPr>
          </w:p>
        </w:tc>
        <w:tc>
          <w:tcPr>
            <w:tcW w:w="7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rPr>
              <w:t>排土场</w:t>
            </w:r>
          </w:p>
        </w:tc>
        <w:tc>
          <w:tcPr>
            <w:tcW w:w="6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rPr>
              <w:t>粉尘</w:t>
            </w:r>
          </w:p>
        </w:tc>
        <w:tc>
          <w:tcPr>
            <w:tcW w:w="3302"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snapToGrid w:val="0"/>
              </w:rPr>
            </w:pPr>
            <w:r>
              <w:rPr>
                <w:rFonts w:hint="eastAsia"/>
                <w:snapToGrid w:val="0"/>
              </w:rPr>
              <w:t>排土场内堆土全部使用防尘网进行遮挡覆盖，作业区设雾炮机喷雾洒水抑尘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370" w:type="pct"/>
            <w:vMerge w:val="continue"/>
            <w:tcBorders>
              <w:top w:val="nil"/>
              <w:left w:val="single" w:color="000000" w:sz="6" w:space="0"/>
              <w:bottom w:val="single" w:color="000000" w:sz="6" w:space="0"/>
              <w:right w:val="single" w:color="000000" w:sz="6" w:space="0"/>
            </w:tcBorders>
            <w:vAlign w:val="center"/>
          </w:tcPr>
          <w:p>
            <w:pPr>
              <w:pStyle w:val="87"/>
              <w:snapToGrid/>
              <w:spacing w:after="0" w:line="240" w:lineRule="auto"/>
              <w:ind w:left="480" w:firstLine="0" w:firstLineChars="0"/>
              <w:jc w:val="center"/>
            </w:pPr>
          </w:p>
        </w:tc>
        <w:tc>
          <w:tcPr>
            <w:tcW w:w="7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rPr>
              <w:t>原料库</w:t>
            </w:r>
          </w:p>
        </w:tc>
        <w:tc>
          <w:tcPr>
            <w:tcW w:w="6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rPr>
              <w:t>粉</w:t>
            </w:r>
            <w:r>
              <w:t>尘</w:t>
            </w:r>
          </w:p>
        </w:tc>
        <w:tc>
          <w:tcPr>
            <w:tcW w:w="3302"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snapToGrid w:val="0"/>
              </w:rPr>
              <w:t>原料库全封闭，内设雾炮机喷雾洒水抑尘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370" w:type="pct"/>
            <w:vMerge w:val="continue"/>
            <w:tcBorders>
              <w:top w:val="nil"/>
              <w:left w:val="single" w:color="000000" w:sz="6" w:space="0"/>
              <w:bottom w:val="single" w:color="000000" w:sz="6" w:space="0"/>
              <w:right w:val="single" w:color="000000" w:sz="6" w:space="0"/>
            </w:tcBorders>
            <w:vAlign w:val="center"/>
          </w:tcPr>
          <w:p>
            <w:pPr>
              <w:pStyle w:val="87"/>
              <w:snapToGrid/>
              <w:spacing w:after="0" w:line="240" w:lineRule="auto"/>
              <w:ind w:left="480" w:firstLine="0" w:firstLineChars="0"/>
              <w:jc w:val="center"/>
            </w:pPr>
          </w:p>
        </w:tc>
        <w:tc>
          <w:tcPr>
            <w:tcW w:w="7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rPr>
              <w:t>道路运输</w:t>
            </w:r>
          </w:p>
        </w:tc>
        <w:tc>
          <w:tcPr>
            <w:tcW w:w="6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rPr>
              <w:t>扬尘</w:t>
            </w:r>
          </w:p>
        </w:tc>
        <w:tc>
          <w:tcPr>
            <w:tcW w:w="3302"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snapToGrid w:val="0"/>
              </w:rPr>
              <w:t>工业场地进出口设洗车平台，运输车辆出厂时进行冲洗；厂区道路硬化，定期洒水、及时清扫；运输车辆进行苫盖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370" w:type="pct"/>
            <w:vMerge w:val="restart"/>
            <w:tcBorders>
              <w:top w:val="nil"/>
              <w:left w:val="single" w:color="000000" w:sz="6" w:space="0"/>
              <w:right w:val="single" w:color="000000" w:sz="6" w:space="0"/>
            </w:tcBorders>
            <w:vAlign w:val="center"/>
          </w:tcPr>
          <w:p>
            <w:pPr>
              <w:pStyle w:val="87"/>
              <w:snapToGrid/>
              <w:spacing w:after="0" w:line="240" w:lineRule="auto"/>
              <w:ind w:left="0" w:leftChars="0" w:firstLine="0" w:firstLineChars="0"/>
              <w:jc w:val="center"/>
            </w:pPr>
            <w:r>
              <w:t>废水</w:t>
            </w:r>
          </w:p>
        </w:tc>
        <w:tc>
          <w:tcPr>
            <w:tcW w:w="7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t>生活污水</w:t>
            </w:r>
          </w:p>
        </w:tc>
        <w:tc>
          <w:tcPr>
            <w:tcW w:w="6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t>SS、COD</w:t>
            </w:r>
          </w:p>
        </w:tc>
        <w:tc>
          <w:tcPr>
            <w:tcW w:w="3302"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rPr>
              <w:t>沉淀后</w:t>
            </w:r>
            <w:r>
              <w:t>用于厂区道路洒水抑尘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370" w:type="pct"/>
            <w:vMerge w:val="continue"/>
            <w:tcBorders>
              <w:left w:val="single" w:color="000000" w:sz="6" w:space="0"/>
              <w:bottom w:val="single" w:color="000000" w:sz="6" w:space="0"/>
              <w:right w:val="single" w:color="000000" w:sz="6" w:space="0"/>
            </w:tcBorders>
            <w:vAlign w:val="center"/>
          </w:tcPr>
          <w:p>
            <w:pPr>
              <w:pStyle w:val="87"/>
              <w:snapToGrid/>
              <w:spacing w:after="0" w:line="240" w:lineRule="auto"/>
              <w:ind w:left="0" w:leftChars="0" w:firstLine="0" w:firstLineChars="0"/>
              <w:jc w:val="center"/>
            </w:pPr>
          </w:p>
        </w:tc>
        <w:tc>
          <w:tcPr>
            <w:tcW w:w="7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rPr>
              <w:t>洗车废水</w:t>
            </w:r>
          </w:p>
        </w:tc>
        <w:tc>
          <w:tcPr>
            <w:tcW w:w="6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rPr>
              <w:t>盐类</w:t>
            </w:r>
          </w:p>
        </w:tc>
        <w:tc>
          <w:tcPr>
            <w:tcW w:w="3302"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rPr>
              <w:t>沉淀后用于洗车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370" w:type="pct"/>
            <w:vMerge w:val="restart"/>
            <w:tcBorders>
              <w:top w:val="nil"/>
              <w:left w:val="single" w:color="000000" w:sz="6" w:space="0"/>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rPr>
              <w:t>固废</w:t>
            </w:r>
          </w:p>
        </w:tc>
        <w:tc>
          <w:tcPr>
            <w:tcW w:w="7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rPr>
              <w:t>开采</w:t>
            </w:r>
          </w:p>
        </w:tc>
        <w:tc>
          <w:tcPr>
            <w:tcW w:w="6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rPr>
              <w:t>剥离土</w:t>
            </w:r>
          </w:p>
        </w:tc>
        <w:tc>
          <w:tcPr>
            <w:tcW w:w="3302"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szCs w:val="21"/>
              </w:rPr>
              <w:t>矿区内设排土场，剥离土后期用于土地复垦；排土场内单独设置表土临时堆场，排土场上游设截洪沟，下游设拦土墙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370" w:type="pct"/>
            <w:vMerge w:val="continue"/>
            <w:tcBorders>
              <w:left w:val="single" w:color="000000" w:sz="6" w:space="0"/>
              <w:right w:val="single" w:color="000000" w:sz="6" w:space="0"/>
            </w:tcBorders>
            <w:vAlign w:val="center"/>
          </w:tcPr>
          <w:p>
            <w:pPr>
              <w:pStyle w:val="87"/>
              <w:snapToGrid/>
              <w:spacing w:after="0" w:line="240" w:lineRule="auto"/>
              <w:ind w:left="0" w:leftChars="0" w:firstLine="0" w:firstLineChars="0"/>
              <w:jc w:val="center"/>
            </w:pPr>
          </w:p>
        </w:tc>
        <w:tc>
          <w:tcPr>
            <w:tcW w:w="7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rPr>
              <w:t>职工生活</w:t>
            </w:r>
          </w:p>
        </w:tc>
        <w:tc>
          <w:tcPr>
            <w:tcW w:w="6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t>生活垃圾</w:t>
            </w:r>
          </w:p>
        </w:tc>
        <w:tc>
          <w:tcPr>
            <w:tcW w:w="3302"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rPr>
                <w:rFonts w:eastAsia="宋体"/>
              </w:rPr>
            </w:pPr>
            <w:r>
              <w:rPr>
                <w:rFonts w:hint="eastAsia"/>
              </w:rPr>
              <w:t>设垃圾箱收集，定期</w:t>
            </w:r>
            <w:r>
              <w:t>送至环卫部门指定地点统一处置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370" w:type="pct"/>
            <w:vMerge w:val="continue"/>
            <w:tcBorders>
              <w:top w:val="nil"/>
              <w:left w:val="single" w:color="000000" w:sz="6" w:space="0"/>
              <w:bottom w:val="single" w:color="000000" w:sz="6" w:space="0"/>
              <w:right w:val="single" w:color="000000" w:sz="6" w:space="0"/>
            </w:tcBorders>
            <w:vAlign w:val="center"/>
          </w:tcPr>
          <w:p>
            <w:pPr>
              <w:pStyle w:val="87"/>
              <w:snapToGrid/>
              <w:spacing w:after="0" w:line="240" w:lineRule="auto"/>
              <w:ind w:left="480" w:firstLine="0" w:firstLineChars="0"/>
              <w:jc w:val="center"/>
            </w:pPr>
          </w:p>
        </w:tc>
        <w:tc>
          <w:tcPr>
            <w:tcW w:w="7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t>设备</w:t>
            </w:r>
            <w:r>
              <w:rPr>
                <w:rFonts w:hint="eastAsia"/>
              </w:rPr>
              <w:t>维修</w:t>
            </w:r>
          </w:p>
        </w:tc>
        <w:tc>
          <w:tcPr>
            <w:tcW w:w="6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t>废机油</w:t>
            </w:r>
          </w:p>
        </w:tc>
        <w:tc>
          <w:tcPr>
            <w:tcW w:w="3302"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rPr>
              <w:t>设危废</w:t>
            </w:r>
            <w:r>
              <w:t>暂存间</w:t>
            </w:r>
            <w:r>
              <w:rPr>
                <w:rFonts w:hint="eastAsia"/>
              </w:rPr>
              <w:t>暂存</w:t>
            </w:r>
            <w:r>
              <w:t>，定期</w:t>
            </w:r>
            <w:r>
              <w:rPr>
                <w:rFonts w:hint="eastAsia"/>
              </w:rPr>
              <w:t>由</w:t>
            </w:r>
            <w:r>
              <w:t>有资质单位</w:t>
            </w:r>
            <w:r>
              <w:rPr>
                <w:rFonts w:hint="eastAsia"/>
              </w:rPr>
              <w:t>统一转运</w:t>
            </w:r>
            <w:r>
              <w:t>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trPr>
        <w:tc>
          <w:tcPr>
            <w:tcW w:w="370" w:type="pct"/>
            <w:tcBorders>
              <w:top w:val="single" w:color="000000" w:sz="6" w:space="0"/>
              <w:left w:val="single" w:color="000000" w:sz="6" w:space="0"/>
              <w:bottom w:val="single" w:color="000000" w:sz="6" w:space="0"/>
              <w:right w:val="single" w:color="000000" w:sz="6" w:space="0"/>
            </w:tcBorders>
            <w:vAlign w:val="center"/>
          </w:tcPr>
          <w:p>
            <w:pPr>
              <w:pStyle w:val="87"/>
              <w:snapToGrid/>
              <w:spacing w:after="0" w:line="240" w:lineRule="auto"/>
              <w:ind w:left="0" w:leftChars="0" w:firstLine="0" w:firstLineChars="0"/>
              <w:jc w:val="center"/>
            </w:pPr>
            <w:r>
              <w:t>噪声</w:t>
            </w:r>
          </w:p>
        </w:tc>
        <w:tc>
          <w:tcPr>
            <w:tcW w:w="7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rPr>
              <w:t>挖掘机、装载机、雾炮机、水泵和运输车辆等</w:t>
            </w:r>
          </w:p>
        </w:tc>
        <w:tc>
          <w:tcPr>
            <w:tcW w:w="613"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t>噪声</w:t>
            </w:r>
          </w:p>
        </w:tc>
        <w:tc>
          <w:tcPr>
            <w:tcW w:w="3302" w:type="pct"/>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szCs w:val="21"/>
              </w:rPr>
              <w:t>选用低噪声设备，基础减振，封闭隔声，加强管理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98" w:hRule="atLeast"/>
        </w:trPr>
        <w:tc>
          <w:tcPr>
            <w:tcW w:w="370" w:type="pct"/>
            <w:tcBorders>
              <w:top w:val="single" w:color="000000" w:sz="6" w:space="0"/>
              <w:left w:val="single" w:color="000000" w:sz="6" w:space="0"/>
              <w:bottom w:val="single" w:color="000000" w:sz="6" w:space="0"/>
              <w:right w:val="single" w:color="000000" w:sz="6" w:space="0"/>
            </w:tcBorders>
            <w:vAlign w:val="center"/>
          </w:tcPr>
          <w:p>
            <w:pPr>
              <w:pStyle w:val="87"/>
              <w:snapToGrid/>
              <w:spacing w:after="0" w:line="240" w:lineRule="auto"/>
              <w:ind w:left="0" w:leftChars="0" w:firstLine="0" w:firstLineChars="0"/>
              <w:jc w:val="center"/>
            </w:pPr>
            <w:r>
              <w:t>生态</w:t>
            </w:r>
          </w:p>
        </w:tc>
        <w:tc>
          <w:tcPr>
            <w:tcW w:w="4629" w:type="pct"/>
            <w:gridSpan w:val="3"/>
            <w:tcBorders>
              <w:top w:val="single" w:color="000000" w:sz="6" w:space="0"/>
              <w:left w:val="nil"/>
              <w:bottom w:val="single" w:color="000000" w:sz="6" w:space="0"/>
              <w:right w:val="single" w:color="000000" w:sz="6" w:space="0"/>
            </w:tcBorders>
            <w:vAlign w:val="center"/>
          </w:tcPr>
          <w:p>
            <w:pPr>
              <w:pStyle w:val="87"/>
              <w:snapToGrid/>
              <w:spacing w:after="0" w:line="240" w:lineRule="auto"/>
              <w:ind w:left="0" w:leftChars="0" w:firstLine="0" w:firstLineChars="0"/>
              <w:jc w:val="center"/>
            </w:pPr>
            <w:r>
              <w:rPr>
                <w:rFonts w:hint="eastAsia" w:ascii="宋体" w:hAnsi="宋体" w:cs="宋体"/>
                <w:bCs/>
                <w:szCs w:val="21"/>
              </w:rPr>
              <w:t>①粘土矿区要求“边开采，边恢复”，当一个采矿台段工作终结时，随即进行覆土，恢复植被，并对边坡进行防护处理</w:t>
            </w:r>
            <w:r>
              <w:rPr>
                <w:rFonts w:hint="eastAsia"/>
                <w:bCs/>
                <w:szCs w:val="21"/>
              </w:rPr>
              <w:t>②道路和工业场地进行硬化</w:t>
            </w:r>
            <w:r>
              <w:rPr>
                <w:bCs/>
                <w:szCs w:val="21"/>
              </w:rPr>
              <w:t>和绿化</w:t>
            </w:r>
            <w:r>
              <w:rPr>
                <w:rFonts w:hint="eastAsia"/>
                <w:bCs/>
                <w:szCs w:val="21"/>
              </w:rPr>
              <w:t>，绿化面积500m</w:t>
            </w:r>
            <w:r>
              <w:rPr>
                <w:rFonts w:hint="eastAsia"/>
                <w:bCs/>
                <w:szCs w:val="21"/>
                <w:vertAlign w:val="superscript"/>
              </w:rPr>
              <w:t>2</w:t>
            </w:r>
            <w:r>
              <w:rPr>
                <w:rFonts w:hint="eastAsia"/>
                <w:bCs/>
                <w:szCs w:val="21"/>
              </w:rPr>
              <w:t>；</w:t>
            </w:r>
            <w:r>
              <w:rPr>
                <w:bCs/>
                <w:szCs w:val="21"/>
              </w:rPr>
              <w:t>③</w:t>
            </w:r>
            <w:r>
              <w:rPr>
                <w:rFonts w:hint="eastAsia" w:ascii="宋体" w:hAnsi="宋体" w:cs="宋体"/>
                <w:bCs/>
                <w:szCs w:val="21"/>
              </w:rPr>
              <w:t>生态恢复治理完成后2年内对生态恢复及治理措施进行后期监测和管护</w:t>
            </w:r>
            <w:r>
              <w:rPr>
                <w:rFonts w:hint="eastAsia" w:ascii="宋体"/>
                <w:bCs/>
                <w:szCs w:val="21"/>
              </w:rPr>
              <w:t>；</w:t>
            </w:r>
          </w:p>
        </w:tc>
      </w:tr>
    </w:tbl>
    <w:p>
      <w:pPr>
        <w:pStyle w:val="5"/>
        <w:adjustRightInd w:val="0"/>
        <w:snapToGrid w:val="0"/>
        <w:spacing w:before="120" w:beforeLines="50" w:line="360" w:lineRule="auto"/>
        <w:rPr>
          <w:rFonts w:eastAsia="宋体"/>
          <w:sz w:val="28"/>
          <w:szCs w:val="28"/>
        </w:rPr>
      </w:pPr>
      <w:bookmarkStart w:id="402" w:name="_Toc19570"/>
      <w:r>
        <w:rPr>
          <w:rFonts w:eastAsia="宋体"/>
          <w:sz w:val="28"/>
          <w:szCs w:val="28"/>
        </w:rPr>
        <w:t>9.6</w:t>
      </w:r>
      <w:r>
        <w:rPr>
          <w:rFonts w:hint="eastAsia" w:eastAsia="宋体"/>
          <w:sz w:val="28"/>
          <w:szCs w:val="28"/>
        </w:rPr>
        <w:t>公众意见采纳情况</w:t>
      </w:r>
      <w:bookmarkEnd w:id="402"/>
    </w:p>
    <w:p>
      <w:pPr>
        <w:pStyle w:val="361"/>
        <w:widowControl w:val="0"/>
        <w:spacing w:line="440" w:lineRule="exact"/>
        <w:ind w:firstLineChars="200"/>
        <w:jc w:val="both"/>
        <w:rPr>
          <w:rFonts w:eastAsia="宋体"/>
        </w:rPr>
      </w:pPr>
      <w:r>
        <w:rPr>
          <w:rFonts w:eastAsia="宋体"/>
        </w:rPr>
        <w:t>本项目公众参与由建设单位组织完成</w:t>
      </w:r>
      <w:r>
        <w:rPr>
          <w:rFonts w:hint="eastAsia" w:eastAsia="宋体"/>
        </w:rPr>
        <w:t>。</w:t>
      </w:r>
      <w:r>
        <w:rPr>
          <w:rFonts w:eastAsia="宋体"/>
        </w:rPr>
        <w:t>其中：</w:t>
      </w:r>
    </w:p>
    <w:p>
      <w:pPr>
        <w:pStyle w:val="361"/>
        <w:widowControl w:val="0"/>
        <w:spacing w:line="440" w:lineRule="exact"/>
        <w:ind w:firstLineChars="200"/>
        <w:jc w:val="both"/>
        <w:rPr>
          <w:rFonts w:hint="eastAsia" w:eastAsia="宋体"/>
        </w:rPr>
      </w:pPr>
      <w:r>
        <w:rPr>
          <w:rFonts w:eastAsia="宋体"/>
        </w:rPr>
        <w:fldChar w:fldCharType="begin"/>
      </w:r>
      <w:r>
        <w:rPr>
          <w:rFonts w:eastAsia="宋体"/>
        </w:rPr>
        <w:instrText xml:space="preserve"> </w:instrText>
      </w:r>
      <w:r>
        <w:rPr>
          <w:rFonts w:hint="eastAsia" w:eastAsia="宋体"/>
        </w:rPr>
        <w:instrText xml:space="preserve">= 1 \* GB3</w:instrText>
      </w:r>
      <w:r>
        <w:rPr>
          <w:rFonts w:eastAsia="宋体"/>
        </w:rPr>
        <w:instrText xml:space="preserve"> </w:instrText>
      </w:r>
      <w:r>
        <w:rPr>
          <w:rFonts w:eastAsia="宋体"/>
        </w:rPr>
        <w:fldChar w:fldCharType="separate"/>
      </w:r>
      <w:r>
        <w:rPr>
          <w:rFonts w:hint="eastAsia" w:eastAsia="宋体"/>
        </w:rPr>
        <w:t>①</w:t>
      </w:r>
      <w:r>
        <w:rPr>
          <w:rFonts w:eastAsia="宋体"/>
        </w:rPr>
        <w:fldChar w:fldCharType="end"/>
      </w:r>
      <w:r>
        <w:rPr>
          <w:rFonts w:eastAsia="宋体"/>
        </w:rPr>
        <w:t>在确定环境影响报告书编制单位后7个工作日内</w:t>
      </w:r>
      <w:r>
        <w:rPr>
          <w:rFonts w:hint="eastAsia" w:eastAsia="宋体"/>
        </w:rPr>
        <w:t>，</w:t>
      </w:r>
      <w:r>
        <w:rPr>
          <w:rFonts w:hint="eastAsia" w:eastAsia="宋体"/>
          <w:lang w:eastAsia="zh-CN"/>
        </w:rPr>
        <w:t>建设单位于</w:t>
      </w:r>
      <w:r>
        <w:rPr>
          <w:rFonts w:hint="eastAsia" w:eastAsia="宋体"/>
          <w:lang w:val="en-US" w:eastAsia="zh-CN"/>
        </w:rPr>
        <w:t>2019年10月23日</w:t>
      </w:r>
      <w:r>
        <w:rPr>
          <w:rFonts w:eastAsia="宋体"/>
        </w:rPr>
        <w:t>通过建设项目所在地网络平台</w:t>
      </w:r>
      <w:r>
        <w:rPr>
          <w:rFonts w:hint="eastAsia" w:eastAsia="宋体"/>
        </w:rPr>
        <w:t>忻州环保信息网</w:t>
      </w:r>
      <w:r>
        <w:rPr>
          <w:rFonts w:eastAsia="宋体"/>
        </w:rPr>
        <w:t>进行了</w:t>
      </w:r>
      <w:r>
        <w:rPr>
          <w:rFonts w:hint="eastAsia" w:eastAsia="宋体"/>
          <w:lang w:eastAsia="zh-CN"/>
        </w:rPr>
        <w:t>一次公示</w:t>
      </w:r>
      <w:r>
        <w:rPr>
          <w:rFonts w:hint="eastAsia" w:eastAsia="宋体"/>
        </w:rPr>
        <w:t>。</w:t>
      </w:r>
    </w:p>
    <w:p>
      <w:pPr>
        <w:pStyle w:val="361"/>
        <w:widowControl w:val="0"/>
        <w:spacing w:line="440" w:lineRule="exact"/>
        <w:ind w:firstLineChars="200"/>
        <w:jc w:val="both"/>
        <w:rPr>
          <w:rFonts w:eastAsia="宋体"/>
        </w:rPr>
      </w:pPr>
      <w:r>
        <w:rPr>
          <w:rFonts w:eastAsia="宋体"/>
        </w:rPr>
        <w:fldChar w:fldCharType="begin"/>
      </w:r>
      <w:r>
        <w:rPr>
          <w:rFonts w:eastAsia="宋体"/>
        </w:rPr>
        <w:instrText xml:space="preserve"> </w:instrText>
      </w:r>
      <w:r>
        <w:rPr>
          <w:rFonts w:hint="eastAsia" w:eastAsia="宋体"/>
        </w:rPr>
        <w:instrText xml:space="preserve">= 2 \* GB3</w:instrText>
      </w:r>
      <w:r>
        <w:rPr>
          <w:rFonts w:eastAsia="宋体"/>
        </w:rPr>
        <w:instrText xml:space="preserve"> </w:instrText>
      </w:r>
      <w:r>
        <w:rPr>
          <w:rFonts w:eastAsia="宋体"/>
        </w:rPr>
        <w:fldChar w:fldCharType="separate"/>
      </w:r>
      <w:r>
        <w:rPr>
          <w:rFonts w:hint="eastAsia" w:eastAsia="宋体"/>
        </w:rPr>
        <w:t>②</w:t>
      </w:r>
      <w:r>
        <w:rPr>
          <w:rFonts w:eastAsia="宋体"/>
        </w:rPr>
        <w:fldChar w:fldCharType="end"/>
      </w:r>
      <w:r>
        <w:rPr>
          <w:rFonts w:eastAsia="宋体"/>
        </w:rPr>
        <w:t>本项目环境影响报告书征求意见稿形成后</w:t>
      </w:r>
      <w:r>
        <w:rPr>
          <w:rFonts w:hint="eastAsia" w:eastAsia="宋体"/>
          <w:lang w:eastAsia="zh-CN"/>
        </w:rPr>
        <w:t>，建设单位于</w:t>
      </w:r>
      <w:r>
        <w:rPr>
          <w:rFonts w:hint="eastAsia" w:eastAsia="宋体"/>
          <w:lang w:val="en-US" w:eastAsia="zh-CN"/>
        </w:rPr>
        <w:t>2019年11月19日-2019年12月5日进行了项目二次公示。二次公示严格按照</w:t>
      </w:r>
      <w:r>
        <w:rPr>
          <w:rFonts w:hint="eastAsia" w:ascii="Times New Roman" w:eastAsia="宋体"/>
          <w:b w:val="0"/>
          <w:bCs w:val="0"/>
          <w:sz w:val="24"/>
          <w:lang w:eastAsia="zh-CN"/>
        </w:rPr>
        <w:t>严格按照《环境影响评价公众参与暂行办法》、《环境影响评价公众参与办法》（生态环境部令第4号）的要求，在忻州环保信息网进行</w:t>
      </w:r>
      <w:r>
        <w:rPr>
          <w:rFonts w:hint="eastAsia" w:eastAsia="宋体"/>
          <w:lang w:val="en-US" w:eastAsia="zh-CN"/>
        </w:rPr>
        <w:t>了网站公示，在山西青年报进行了报纸公示（11月19日和11月20日），在横涧乡村务栏进行了张贴公示。</w:t>
      </w:r>
      <w:r>
        <w:rPr>
          <w:rFonts w:eastAsia="宋体"/>
        </w:rPr>
        <w:t>公示期间未收到公众提出有关的建议和意见</w:t>
      </w:r>
      <w:r>
        <w:rPr>
          <w:rFonts w:hint="eastAsia" w:eastAsia="宋体"/>
        </w:rPr>
        <w:t>。</w:t>
      </w:r>
    </w:p>
    <w:p>
      <w:pPr>
        <w:pStyle w:val="361"/>
        <w:jc w:val="both"/>
        <w:rPr>
          <w:rFonts w:hint="eastAsia" w:eastAsia="宋体"/>
        </w:rPr>
      </w:pPr>
      <w:r>
        <w:rPr>
          <w:rFonts w:hint="default" w:ascii="Times New Roman" w:hAnsi="Times New Roman" w:eastAsia="宋体" w:cs="Times New Roman"/>
        </w:rPr>
        <w:t>③</w:t>
      </w:r>
      <w:r>
        <w:rPr>
          <w:rFonts w:hint="eastAsia" w:ascii="Times New Roman" w:hAnsi="Times New Roman" w:eastAsia="宋体" w:cs="Times New Roman"/>
          <w:lang w:eastAsia="zh-CN"/>
        </w:rPr>
        <w:t>繁峙县东胜砖厂向</w:t>
      </w:r>
      <w:r>
        <w:rPr>
          <w:rFonts w:hint="eastAsia" w:eastAsia="宋体"/>
        </w:rPr>
        <w:t>生态环境主管部门报批环境影响报告书前，通过忻州环保信息网公开</w:t>
      </w:r>
      <w:r>
        <w:rPr>
          <w:rFonts w:hint="eastAsia" w:eastAsia="宋体"/>
          <w:lang w:eastAsia="zh-CN"/>
        </w:rPr>
        <w:t>了</w:t>
      </w:r>
      <w:r>
        <w:rPr>
          <w:rFonts w:hint="eastAsia" w:eastAsia="宋体"/>
        </w:rPr>
        <w:t>拟报批环境影响报告书全文和公众参与说明。</w:t>
      </w:r>
    </w:p>
    <w:p>
      <w:pPr>
        <w:pStyle w:val="5"/>
        <w:adjustRightInd w:val="0"/>
        <w:snapToGrid w:val="0"/>
        <w:spacing w:before="120" w:beforeLines="50" w:line="360" w:lineRule="auto"/>
        <w:rPr>
          <w:rFonts w:eastAsia="宋体"/>
          <w:sz w:val="28"/>
          <w:szCs w:val="28"/>
        </w:rPr>
      </w:pPr>
      <w:bookmarkStart w:id="403" w:name="_Toc32065"/>
      <w:r>
        <w:rPr>
          <w:rFonts w:eastAsia="宋体"/>
          <w:sz w:val="28"/>
          <w:szCs w:val="28"/>
        </w:rPr>
        <w:t>9.</w:t>
      </w:r>
      <w:r>
        <w:rPr>
          <w:rFonts w:hint="eastAsia" w:eastAsia="宋体"/>
          <w:sz w:val="28"/>
          <w:szCs w:val="28"/>
        </w:rPr>
        <w:t>7环境经济损益分析</w:t>
      </w:r>
      <w:bookmarkEnd w:id="403"/>
    </w:p>
    <w:p>
      <w:pPr>
        <w:spacing w:line="440" w:lineRule="exact"/>
        <w:ind w:firstLine="480" w:firstLineChars="200"/>
        <w:jc w:val="both"/>
      </w:pPr>
      <w:r>
        <w:rPr>
          <w:rFonts w:hint="eastAsia"/>
          <w:bCs/>
        </w:rPr>
        <w:t>项目投产后，将带来较好的经济效益和社会效益，同时由于工程在设计中采取了严格的污染治理措施，减少了污染物排放量，在创造较好的经济效益和社会效益的同时，也取得了较好的环境效益。本项目建设能够实现社会、经济和环境三效益的和谐统一。</w:t>
      </w:r>
    </w:p>
    <w:p>
      <w:pPr>
        <w:pStyle w:val="5"/>
        <w:adjustRightInd w:val="0"/>
        <w:snapToGrid w:val="0"/>
        <w:spacing w:before="120" w:beforeLines="50" w:line="360" w:lineRule="auto"/>
        <w:rPr>
          <w:rFonts w:eastAsia="宋体"/>
          <w:sz w:val="28"/>
          <w:szCs w:val="28"/>
        </w:rPr>
      </w:pPr>
      <w:bookmarkStart w:id="404" w:name="_Toc14973"/>
      <w:bookmarkStart w:id="405" w:name="_Toc154203239"/>
      <w:bookmarkStart w:id="406" w:name="_Toc335399990"/>
      <w:bookmarkStart w:id="407" w:name="_Toc203275227"/>
      <w:bookmarkStart w:id="408" w:name="_Toc203275152"/>
      <w:bookmarkStart w:id="409" w:name="_Toc334629482"/>
      <w:bookmarkStart w:id="410" w:name="_Toc245722097"/>
      <w:bookmarkStart w:id="411" w:name="_Toc155253203"/>
      <w:bookmarkStart w:id="412" w:name="_Toc202926940"/>
      <w:bookmarkStart w:id="413" w:name="_Toc157242855"/>
      <w:r>
        <w:rPr>
          <w:rFonts w:eastAsia="宋体"/>
          <w:sz w:val="28"/>
          <w:szCs w:val="28"/>
        </w:rPr>
        <w:t>9.</w:t>
      </w:r>
      <w:r>
        <w:rPr>
          <w:rFonts w:hint="eastAsia" w:eastAsia="宋体"/>
          <w:sz w:val="28"/>
          <w:szCs w:val="28"/>
        </w:rPr>
        <w:t>8</w:t>
      </w:r>
      <w:r>
        <w:rPr>
          <w:rFonts w:eastAsia="宋体"/>
          <w:sz w:val="28"/>
          <w:szCs w:val="28"/>
        </w:rPr>
        <w:t xml:space="preserve"> 环境管理与监测计划</w:t>
      </w:r>
      <w:bookmarkEnd w:id="404"/>
    </w:p>
    <w:p>
      <w:pPr>
        <w:pStyle w:val="361"/>
        <w:spacing w:line="440" w:lineRule="exact"/>
        <w:ind w:firstLineChars="200"/>
        <w:jc w:val="both"/>
        <w:rPr>
          <w:rFonts w:eastAsia="宋体"/>
        </w:rPr>
      </w:pPr>
      <w:r>
        <w:rPr>
          <w:rFonts w:eastAsia="宋体"/>
        </w:rPr>
        <w:t>1.</w:t>
      </w:r>
      <w:r>
        <w:rPr>
          <w:rFonts w:ascii="宋体" w:hAnsi="宋体" w:eastAsia="宋体"/>
        </w:rPr>
        <w:t>环境管理</w:t>
      </w:r>
    </w:p>
    <w:p>
      <w:pPr>
        <w:pStyle w:val="361"/>
        <w:spacing w:line="440" w:lineRule="exact"/>
        <w:ind w:firstLineChars="200"/>
        <w:jc w:val="both"/>
        <w:rPr>
          <w:rFonts w:hAnsi="宋体" w:eastAsia="宋体"/>
        </w:rPr>
      </w:pPr>
      <w:r>
        <w:rPr>
          <w:rFonts w:ascii="宋体" w:hAnsi="宋体" w:eastAsia="宋体"/>
        </w:rPr>
        <w:t>评价从环境管理计划、环境管理制度、环保台帐、环境记录、规范排污口等方面对项目厂提出了严格的环境管理计划和要求</w:t>
      </w:r>
      <w:r>
        <w:rPr>
          <w:rFonts w:hint="eastAsia" w:ascii="宋体" w:hAnsi="宋体" w:eastAsia="宋体"/>
        </w:rPr>
        <w:t>。</w:t>
      </w:r>
    </w:p>
    <w:p>
      <w:pPr>
        <w:pStyle w:val="361"/>
        <w:spacing w:line="440" w:lineRule="exact"/>
        <w:ind w:firstLineChars="200"/>
        <w:jc w:val="both"/>
        <w:rPr>
          <w:rFonts w:eastAsia="宋体"/>
        </w:rPr>
      </w:pPr>
      <w:r>
        <w:rPr>
          <w:rFonts w:eastAsia="宋体"/>
        </w:rPr>
        <w:t>2.</w:t>
      </w:r>
      <w:r>
        <w:rPr>
          <w:rFonts w:ascii="宋体" w:hAnsi="宋体" w:eastAsia="宋体"/>
        </w:rPr>
        <w:t>监测计划</w:t>
      </w:r>
    </w:p>
    <w:p>
      <w:pPr>
        <w:pStyle w:val="361"/>
        <w:spacing w:line="440" w:lineRule="exact"/>
        <w:ind w:firstLineChars="200"/>
        <w:jc w:val="both"/>
        <w:rPr>
          <w:rFonts w:hAnsi="宋体" w:eastAsia="宋体"/>
        </w:rPr>
      </w:pPr>
      <w:r>
        <w:rPr>
          <w:rFonts w:hint="eastAsia" w:ascii="宋体" w:hAnsi="宋体" w:eastAsia="宋体"/>
        </w:rPr>
        <w:t>本</w:t>
      </w:r>
      <w:r>
        <w:rPr>
          <w:rFonts w:ascii="宋体" w:hAnsi="宋体" w:eastAsia="宋体"/>
        </w:rPr>
        <w:t>项目污染源监测</w:t>
      </w:r>
      <w:r>
        <w:rPr>
          <w:rFonts w:hint="eastAsia" w:ascii="宋体" w:hAnsi="宋体" w:eastAsia="宋体"/>
        </w:rPr>
        <w:t>由手工监测和自动监测相结合的技术手段，手工监测</w:t>
      </w:r>
      <w:r>
        <w:rPr>
          <w:rFonts w:ascii="宋体" w:hAnsi="宋体" w:eastAsia="宋体"/>
        </w:rPr>
        <w:t>委托</w:t>
      </w:r>
      <w:r>
        <w:rPr>
          <w:rFonts w:hint="eastAsia" w:ascii="宋体" w:hAnsi="宋体" w:eastAsia="宋体"/>
        </w:rPr>
        <w:t>有</w:t>
      </w:r>
      <w:r>
        <w:rPr>
          <w:rFonts w:ascii="宋体" w:hAnsi="宋体" w:eastAsia="宋体"/>
        </w:rPr>
        <w:t>环境监测</w:t>
      </w:r>
      <w:r>
        <w:rPr>
          <w:rFonts w:hint="eastAsia" w:ascii="宋体" w:hAnsi="宋体" w:eastAsia="宋体"/>
        </w:rPr>
        <w:t>资质的单位</w:t>
      </w:r>
      <w:r>
        <w:rPr>
          <w:rFonts w:ascii="宋体" w:hAnsi="宋体" w:eastAsia="宋体"/>
        </w:rPr>
        <w:t>进行</w:t>
      </w:r>
      <w:r>
        <w:rPr>
          <w:rFonts w:hint="eastAsia" w:ascii="宋体" w:hAnsi="宋体" w:eastAsia="宋体"/>
        </w:rPr>
        <w:t>，</w:t>
      </w:r>
      <w:r>
        <w:rPr>
          <w:rFonts w:ascii="宋体" w:hAnsi="宋体" w:eastAsia="宋体"/>
        </w:rPr>
        <w:t>企业不配备专门的监测人员</w:t>
      </w:r>
      <w:r>
        <w:rPr>
          <w:rFonts w:hint="eastAsia" w:ascii="宋体" w:hAnsi="宋体" w:eastAsia="宋体"/>
        </w:rPr>
        <w:t>。</w:t>
      </w:r>
      <w:r>
        <w:rPr>
          <w:rFonts w:ascii="宋体" w:hAnsi="宋体" w:eastAsia="宋体"/>
        </w:rPr>
        <w:t>评价陈述了项目营运后污染源的跟踪监测方案</w:t>
      </w:r>
      <w:r>
        <w:rPr>
          <w:rFonts w:hint="eastAsia" w:ascii="宋体" w:hAnsi="宋体" w:eastAsia="宋体"/>
        </w:rPr>
        <w:t>，</w:t>
      </w:r>
      <w:r>
        <w:rPr>
          <w:rFonts w:ascii="宋体" w:hAnsi="宋体" w:eastAsia="宋体"/>
        </w:rPr>
        <w:t>供远期环境保护主管部门进行跟踪监测</w:t>
      </w:r>
      <w:r>
        <w:rPr>
          <w:rFonts w:hint="eastAsia" w:ascii="宋体" w:hAnsi="宋体" w:eastAsia="宋体"/>
        </w:rPr>
        <w:t>。</w:t>
      </w:r>
    </w:p>
    <w:bookmarkEnd w:id="405"/>
    <w:bookmarkEnd w:id="406"/>
    <w:bookmarkEnd w:id="407"/>
    <w:bookmarkEnd w:id="408"/>
    <w:bookmarkEnd w:id="409"/>
    <w:bookmarkEnd w:id="410"/>
    <w:bookmarkEnd w:id="411"/>
    <w:bookmarkEnd w:id="412"/>
    <w:bookmarkEnd w:id="413"/>
    <w:p>
      <w:pPr>
        <w:pStyle w:val="5"/>
        <w:adjustRightInd w:val="0"/>
        <w:snapToGrid w:val="0"/>
        <w:spacing w:before="120" w:beforeLines="50" w:line="360" w:lineRule="auto"/>
        <w:rPr>
          <w:rFonts w:eastAsia="宋体"/>
          <w:sz w:val="28"/>
          <w:szCs w:val="28"/>
        </w:rPr>
      </w:pPr>
      <w:bookmarkStart w:id="414" w:name="_Toc4605"/>
      <w:r>
        <w:rPr>
          <w:rFonts w:eastAsia="宋体"/>
          <w:sz w:val="28"/>
          <w:szCs w:val="28"/>
        </w:rPr>
        <w:t>9.</w:t>
      </w:r>
      <w:r>
        <w:rPr>
          <w:rFonts w:hint="eastAsia" w:eastAsia="宋体"/>
          <w:sz w:val="28"/>
          <w:szCs w:val="28"/>
        </w:rPr>
        <w:t>9</w:t>
      </w:r>
      <w:r>
        <w:rPr>
          <w:rFonts w:eastAsia="宋体"/>
          <w:sz w:val="28"/>
          <w:szCs w:val="28"/>
        </w:rPr>
        <w:t xml:space="preserve"> </w:t>
      </w:r>
      <w:r>
        <w:rPr>
          <w:rFonts w:hint="eastAsia" w:eastAsia="宋体"/>
          <w:sz w:val="28"/>
          <w:szCs w:val="28"/>
        </w:rPr>
        <w:t>选址合理性</w:t>
      </w:r>
      <w:bookmarkEnd w:id="414"/>
      <w:r>
        <w:rPr>
          <w:rFonts w:hint="eastAsia" w:eastAsia="宋体"/>
          <w:sz w:val="28"/>
          <w:szCs w:val="28"/>
        </w:rPr>
        <w:t xml:space="preserve"> </w:t>
      </w:r>
    </w:p>
    <w:p>
      <w:pPr>
        <w:pStyle w:val="361"/>
        <w:spacing w:line="440" w:lineRule="exact"/>
        <w:ind w:firstLineChars="200"/>
        <w:jc w:val="both"/>
        <w:rPr>
          <w:rFonts w:ascii="宋体" w:hAnsi="宋体" w:eastAsia="宋体"/>
        </w:rPr>
      </w:pPr>
      <w:r>
        <w:rPr>
          <w:rFonts w:ascii="宋体" w:hAnsi="宋体" w:eastAsia="宋体"/>
        </w:rPr>
        <w:t>本项目位于山西省</w:t>
      </w:r>
      <w:r>
        <w:rPr>
          <w:rFonts w:hint="eastAsia" w:ascii="宋体" w:hAnsi="宋体" w:eastAsia="宋体"/>
        </w:rPr>
        <w:t>忻州市</w:t>
      </w:r>
      <w:r>
        <w:rPr>
          <w:rFonts w:ascii="宋体" w:hAnsi="宋体" w:eastAsia="宋体"/>
        </w:rPr>
        <w:t>繁峙县</w:t>
      </w:r>
      <w:r>
        <w:rPr>
          <w:rFonts w:hint="eastAsia" w:ascii="宋体" w:hAnsi="宋体" w:eastAsia="宋体"/>
        </w:rPr>
        <w:t>横涧乡前所村北，</w:t>
      </w:r>
      <w:r>
        <w:rPr>
          <w:rFonts w:ascii="宋体" w:hAnsi="宋体" w:eastAsia="宋体"/>
        </w:rPr>
        <w:t>行政区划隶属</w:t>
      </w:r>
      <w:r>
        <w:rPr>
          <w:rFonts w:hint="eastAsia" w:ascii="宋体" w:hAnsi="宋体" w:eastAsia="宋体"/>
        </w:rPr>
        <w:t>横涧乡</w:t>
      </w:r>
      <w:r>
        <w:rPr>
          <w:rFonts w:ascii="宋体" w:hAnsi="宋体" w:eastAsia="宋体"/>
        </w:rPr>
        <w:t>管辖</w:t>
      </w:r>
      <w:r>
        <w:rPr>
          <w:rFonts w:hint="eastAsia" w:ascii="宋体" w:hAnsi="宋体" w:eastAsia="宋体"/>
        </w:rPr>
        <w:t>。</w:t>
      </w:r>
      <w:r>
        <w:rPr>
          <w:rFonts w:ascii="宋体" w:hAnsi="宋体" w:eastAsia="宋体"/>
        </w:rPr>
        <w:t>项目区交通较为方便</w:t>
      </w:r>
      <w:r>
        <w:rPr>
          <w:rFonts w:hint="eastAsia" w:ascii="宋体" w:hAnsi="宋体" w:eastAsia="宋体"/>
        </w:rPr>
        <w:t>，</w:t>
      </w:r>
      <w:r>
        <w:rPr>
          <w:rFonts w:ascii="宋体" w:hAnsi="宋体" w:eastAsia="宋体"/>
        </w:rPr>
        <w:t>公共设施等外部条件供给有保障</w:t>
      </w:r>
      <w:r>
        <w:rPr>
          <w:rFonts w:hint="eastAsia" w:ascii="宋体" w:hAnsi="宋体" w:eastAsia="宋体"/>
        </w:rPr>
        <w:t>，</w:t>
      </w:r>
      <w:r>
        <w:rPr>
          <w:rFonts w:ascii="宋体" w:hAnsi="宋体" w:eastAsia="宋体"/>
        </w:rPr>
        <w:t>可满足本项目建设需求</w:t>
      </w:r>
      <w:r>
        <w:rPr>
          <w:rFonts w:hint="eastAsia" w:ascii="宋体" w:hAnsi="宋体" w:eastAsia="宋体"/>
        </w:rPr>
        <w:t>。</w:t>
      </w:r>
    </w:p>
    <w:p>
      <w:pPr>
        <w:pStyle w:val="361"/>
        <w:spacing w:line="440" w:lineRule="exact"/>
        <w:ind w:firstLineChars="200"/>
        <w:jc w:val="both"/>
        <w:rPr>
          <w:rFonts w:ascii="宋体" w:hAnsi="宋体" w:eastAsia="宋体"/>
        </w:rPr>
      </w:pPr>
      <w:r>
        <w:rPr>
          <w:rFonts w:ascii="宋体" w:hAnsi="宋体" w:eastAsia="宋体"/>
        </w:rPr>
        <w:t>项目</w:t>
      </w:r>
      <w:r>
        <w:rPr>
          <w:rFonts w:hint="eastAsia" w:ascii="宋体" w:hAnsi="宋体" w:eastAsia="宋体"/>
        </w:rPr>
        <w:t>所在区域不涉及</w:t>
      </w:r>
      <w:r>
        <w:rPr>
          <w:rFonts w:ascii="宋体" w:hAnsi="宋体" w:eastAsia="宋体"/>
        </w:rPr>
        <w:t>饮用水源保护区、自然保护区、风景名胜区、文物古迹等环境敏感区</w:t>
      </w:r>
      <w:r>
        <w:rPr>
          <w:rFonts w:hint="eastAsia" w:ascii="宋体" w:hAnsi="宋体" w:eastAsia="宋体"/>
        </w:rPr>
        <w:t>，</w:t>
      </w:r>
      <w:r>
        <w:rPr>
          <w:rFonts w:ascii="宋体" w:hAnsi="宋体" w:eastAsia="宋体"/>
        </w:rPr>
        <w:t>无环境敏感制</w:t>
      </w:r>
      <w:r>
        <w:rPr>
          <w:rFonts w:hint="eastAsia" w:ascii="宋体" w:hAnsi="宋体" w:eastAsia="宋体"/>
        </w:rPr>
        <w:t>约</w:t>
      </w:r>
      <w:r>
        <w:rPr>
          <w:rFonts w:ascii="宋体" w:hAnsi="宋体" w:eastAsia="宋体"/>
        </w:rPr>
        <w:t>因素</w:t>
      </w:r>
      <w:r>
        <w:rPr>
          <w:rFonts w:hint="eastAsia" w:ascii="宋体" w:hAnsi="宋体" w:eastAsia="宋体"/>
        </w:rPr>
        <w:t>。</w:t>
      </w:r>
    </w:p>
    <w:p>
      <w:pPr>
        <w:pStyle w:val="361"/>
        <w:spacing w:line="440" w:lineRule="exact"/>
        <w:ind w:firstLineChars="200"/>
        <w:jc w:val="both"/>
        <w:rPr>
          <w:rFonts w:ascii="宋体" w:hAnsi="宋体" w:eastAsia="宋体"/>
        </w:rPr>
      </w:pPr>
      <w:r>
        <w:rPr>
          <w:rFonts w:hint="eastAsia" w:ascii="宋体" w:hAnsi="宋体" w:eastAsia="宋体"/>
        </w:rPr>
        <w:t>此外，</w:t>
      </w:r>
      <w:r>
        <w:rPr>
          <w:rFonts w:ascii="宋体" w:hAnsi="宋体" w:eastAsia="宋体"/>
        </w:rPr>
        <w:t>项目</w:t>
      </w:r>
      <w:r>
        <w:rPr>
          <w:rFonts w:hint="eastAsia" w:ascii="宋体" w:hAnsi="宋体" w:eastAsia="宋体"/>
        </w:rPr>
        <w:t>建设不违背</w:t>
      </w:r>
      <w:r>
        <w:rPr>
          <w:rFonts w:ascii="宋体" w:hAnsi="宋体" w:eastAsia="宋体"/>
        </w:rPr>
        <w:t>山西省主体功能区划</w:t>
      </w:r>
      <w:r>
        <w:rPr>
          <w:rFonts w:hint="eastAsia" w:ascii="宋体" w:hAnsi="宋体" w:eastAsia="宋体"/>
        </w:rPr>
        <w:t>、山西省矿产资源总体规划、</w:t>
      </w:r>
      <w:r>
        <w:rPr>
          <w:rFonts w:ascii="宋体" w:hAnsi="宋体" w:eastAsia="宋体"/>
        </w:rPr>
        <w:t>繁峙县</w:t>
      </w:r>
      <w:r>
        <w:rPr>
          <w:rFonts w:hint="eastAsia" w:ascii="宋体" w:hAnsi="宋体" w:eastAsia="宋体"/>
        </w:rPr>
        <w:t>县城</w:t>
      </w:r>
      <w:r>
        <w:rPr>
          <w:rFonts w:ascii="宋体" w:hAnsi="宋体" w:eastAsia="宋体"/>
        </w:rPr>
        <w:t>总体规划、繁峙县生态功能区划、繁峙县生态经济区划等规划</w:t>
      </w:r>
      <w:r>
        <w:rPr>
          <w:rFonts w:hint="eastAsia" w:ascii="宋体" w:hAnsi="宋体" w:eastAsia="宋体"/>
        </w:rPr>
        <w:t>要求。</w:t>
      </w:r>
    </w:p>
    <w:p>
      <w:pPr>
        <w:pStyle w:val="361"/>
        <w:spacing w:line="440" w:lineRule="exact"/>
        <w:ind w:firstLineChars="200"/>
        <w:jc w:val="both"/>
        <w:rPr>
          <w:rFonts w:hAnsi="宋体" w:eastAsia="宋体"/>
        </w:rPr>
      </w:pPr>
      <w:r>
        <w:rPr>
          <w:rFonts w:hint="eastAsia" w:ascii="宋体" w:hAnsi="宋体" w:eastAsia="宋体"/>
        </w:rPr>
        <w:t>因而，</w:t>
      </w:r>
      <w:r>
        <w:rPr>
          <w:rFonts w:ascii="宋体" w:hAnsi="宋体" w:eastAsia="宋体"/>
        </w:rPr>
        <w:t>本项目选址可行</w:t>
      </w:r>
      <w:r>
        <w:rPr>
          <w:rFonts w:hint="eastAsia" w:ascii="宋体" w:hAnsi="宋体" w:eastAsia="宋体"/>
        </w:rPr>
        <w:t>。</w:t>
      </w:r>
    </w:p>
    <w:p>
      <w:pPr>
        <w:pStyle w:val="5"/>
        <w:adjustRightInd w:val="0"/>
        <w:snapToGrid w:val="0"/>
        <w:spacing w:before="120" w:beforeLines="50" w:line="360" w:lineRule="auto"/>
        <w:rPr>
          <w:rFonts w:eastAsia="宋体"/>
          <w:sz w:val="28"/>
          <w:szCs w:val="28"/>
        </w:rPr>
      </w:pPr>
      <w:bookmarkStart w:id="415" w:name="_Toc9045"/>
      <w:r>
        <w:rPr>
          <w:rFonts w:eastAsia="宋体"/>
          <w:sz w:val="28"/>
          <w:szCs w:val="28"/>
        </w:rPr>
        <w:t>9.</w:t>
      </w:r>
      <w:r>
        <w:rPr>
          <w:rFonts w:hint="eastAsia" w:eastAsia="宋体"/>
          <w:sz w:val="28"/>
          <w:szCs w:val="28"/>
        </w:rPr>
        <w:t>10</w:t>
      </w:r>
      <w:r>
        <w:rPr>
          <w:rFonts w:eastAsia="宋体"/>
          <w:sz w:val="28"/>
          <w:szCs w:val="28"/>
        </w:rPr>
        <w:t xml:space="preserve"> </w:t>
      </w:r>
      <w:r>
        <w:rPr>
          <w:rFonts w:hint="eastAsia" w:eastAsia="宋体"/>
          <w:sz w:val="28"/>
          <w:szCs w:val="28"/>
        </w:rPr>
        <w:t>环境影响评价结论</w:t>
      </w:r>
      <w:bookmarkEnd w:id="415"/>
      <w:r>
        <w:rPr>
          <w:rFonts w:hint="eastAsia" w:eastAsia="宋体"/>
          <w:sz w:val="28"/>
          <w:szCs w:val="28"/>
        </w:rPr>
        <w:t xml:space="preserve"> </w:t>
      </w:r>
    </w:p>
    <w:p>
      <w:pPr>
        <w:pStyle w:val="361"/>
        <w:spacing w:line="440" w:lineRule="exact"/>
        <w:ind w:firstLineChars="200"/>
        <w:jc w:val="both"/>
        <w:rPr>
          <w:rFonts w:hAnsi="宋体" w:eastAsia="宋体"/>
        </w:rPr>
      </w:pPr>
      <w:r>
        <w:rPr>
          <w:rFonts w:ascii="宋体" w:hAnsi="宋体" w:eastAsia="宋体"/>
        </w:rPr>
        <w:t>综上所述</w:t>
      </w:r>
      <w:r>
        <w:rPr>
          <w:rFonts w:hint="eastAsia" w:ascii="宋体" w:hAnsi="宋体" w:eastAsia="宋体"/>
        </w:rPr>
        <w:t>，</w:t>
      </w:r>
      <w:r>
        <w:rPr>
          <w:rFonts w:eastAsia="宋体"/>
        </w:rPr>
        <w:t>繁峙县</w:t>
      </w:r>
      <w:r>
        <w:rPr>
          <w:rFonts w:hint="eastAsia" w:eastAsia="宋体"/>
        </w:rPr>
        <w:t>东胜砖厂年开采1.5万m</w:t>
      </w:r>
      <w:r>
        <w:rPr>
          <w:rFonts w:hint="eastAsia" w:eastAsia="宋体"/>
          <w:vertAlign w:val="superscript"/>
        </w:rPr>
        <w:t>3</w:t>
      </w:r>
      <w:r>
        <w:rPr>
          <w:rFonts w:hint="eastAsia" w:eastAsia="宋体"/>
        </w:rPr>
        <w:t>砖瓦用粘土矿</w:t>
      </w:r>
      <w:r>
        <w:rPr>
          <w:rFonts w:eastAsia="宋体"/>
        </w:rPr>
        <w:t>建设项目</w:t>
      </w:r>
      <w:r>
        <w:rPr>
          <w:rFonts w:ascii="宋体" w:hAnsi="宋体" w:eastAsia="宋体"/>
        </w:rPr>
        <w:t>的实施符合国家和地方产业政策要求</w:t>
      </w:r>
      <w:r>
        <w:rPr>
          <w:rFonts w:hint="eastAsia" w:ascii="宋体" w:hAnsi="宋体" w:eastAsia="宋体"/>
        </w:rPr>
        <w:t>。项目所在地不涉及</w:t>
      </w:r>
      <w:r>
        <w:rPr>
          <w:rFonts w:ascii="宋体" w:hAnsi="宋体" w:eastAsia="宋体"/>
        </w:rPr>
        <w:t>饮用水源保护区、自然保护区、风景名胜区、文物古迹等环境敏感区</w:t>
      </w:r>
      <w:r>
        <w:rPr>
          <w:rFonts w:hint="eastAsia" w:ascii="宋体" w:hAnsi="宋体" w:eastAsia="宋体"/>
        </w:rPr>
        <w:t>；项目建设不违背</w:t>
      </w:r>
      <w:r>
        <w:rPr>
          <w:rFonts w:ascii="宋体" w:hAnsi="宋体" w:eastAsia="宋体"/>
        </w:rPr>
        <w:t>山西省主体功能区划</w:t>
      </w:r>
      <w:r>
        <w:rPr>
          <w:rFonts w:hint="eastAsia" w:ascii="宋体" w:hAnsi="宋体" w:eastAsia="宋体"/>
        </w:rPr>
        <w:t>、山西省矿产资源总体规划、繁峙县县城规划</w:t>
      </w:r>
      <w:r>
        <w:rPr>
          <w:rFonts w:ascii="宋体" w:hAnsi="宋体" w:eastAsia="宋体"/>
        </w:rPr>
        <w:t>、繁峙县生态功能区划、</w:t>
      </w:r>
      <w:r>
        <w:rPr>
          <w:rFonts w:hint="eastAsia" w:ascii="宋体" w:hAnsi="宋体" w:eastAsia="宋体"/>
        </w:rPr>
        <w:t>繁峙县</w:t>
      </w:r>
      <w:r>
        <w:rPr>
          <w:rFonts w:ascii="宋体" w:hAnsi="宋体" w:eastAsia="宋体"/>
        </w:rPr>
        <w:t>生态经济区划等相关规划要求</w:t>
      </w:r>
      <w:r>
        <w:rPr>
          <w:rFonts w:hint="eastAsia" w:ascii="宋体" w:hAnsi="宋体" w:eastAsia="宋体"/>
        </w:rPr>
        <w:t>，项目选址可行。</w:t>
      </w:r>
      <w:r>
        <w:rPr>
          <w:rFonts w:ascii="宋体" w:hAnsi="宋体" w:eastAsia="宋体"/>
        </w:rPr>
        <w:t>公众对项目的建设也表示支持和赞成</w:t>
      </w:r>
      <w:r>
        <w:rPr>
          <w:rFonts w:hint="eastAsia" w:ascii="宋体" w:hAnsi="宋体" w:eastAsia="宋体"/>
        </w:rPr>
        <w:t>。</w:t>
      </w:r>
    </w:p>
    <w:p>
      <w:pPr>
        <w:pStyle w:val="361"/>
        <w:widowControl w:val="0"/>
        <w:spacing w:line="440" w:lineRule="exact"/>
        <w:ind w:firstLineChars="200"/>
        <w:jc w:val="both"/>
        <w:rPr>
          <w:rFonts w:hint="eastAsia" w:ascii="宋体" w:hAnsi="宋体" w:eastAsia="宋体"/>
        </w:rPr>
      </w:pPr>
      <w:r>
        <w:rPr>
          <w:rFonts w:ascii="宋体" w:hAnsi="宋体" w:eastAsia="宋体"/>
        </w:rPr>
        <w:t>在切实落实报告书提出的生态保护和污染防治措施</w:t>
      </w:r>
      <w:r>
        <w:rPr>
          <w:rFonts w:hint="eastAsia" w:ascii="宋体" w:hAnsi="宋体" w:eastAsia="宋体"/>
        </w:rPr>
        <w:t>，</w:t>
      </w:r>
      <w:r>
        <w:rPr>
          <w:rFonts w:ascii="宋体" w:hAnsi="宋体" w:eastAsia="宋体"/>
        </w:rPr>
        <w:t>确保污染物达标排放前提下</w:t>
      </w:r>
      <w:r>
        <w:rPr>
          <w:rFonts w:hint="eastAsia" w:ascii="宋体" w:hAnsi="宋体" w:eastAsia="宋体"/>
        </w:rPr>
        <w:t>，</w:t>
      </w:r>
      <w:r>
        <w:rPr>
          <w:rFonts w:ascii="宋体" w:hAnsi="宋体" w:eastAsia="宋体"/>
        </w:rPr>
        <w:t>从环境保护角度分析</w:t>
      </w:r>
      <w:r>
        <w:rPr>
          <w:rFonts w:hint="eastAsia" w:ascii="宋体" w:hAnsi="宋体" w:eastAsia="宋体"/>
        </w:rPr>
        <w:t>，</w:t>
      </w:r>
      <w:r>
        <w:rPr>
          <w:rFonts w:ascii="宋体" w:hAnsi="宋体" w:eastAsia="宋体"/>
        </w:rPr>
        <w:t>本项目建设是可行的</w:t>
      </w:r>
      <w:r>
        <w:rPr>
          <w:rFonts w:hint="eastAsia" w:ascii="宋体" w:hAnsi="宋体" w:eastAsia="宋体"/>
        </w:rPr>
        <w:t>。</w:t>
      </w:r>
      <w:bookmarkStart w:id="416" w:name="_PictureBullets"/>
      <w:bookmarkEnd w:id="416"/>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p>
      <w:pPr>
        <w:pStyle w:val="361"/>
        <w:widowControl w:val="0"/>
        <w:spacing w:line="440" w:lineRule="exact"/>
        <w:ind w:firstLineChars="200"/>
        <w:jc w:val="both"/>
        <w:rPr>
          <w:rFonts w:hint="eastAsia" w:ascii="宋体" w:hAnsi="宋体" w:eastAsia="宋体"/>
        </w:rPr>
      </w:pPr>
    </w:p>
    <w:sectPr>
      <w:headerReference r:id="rId21" w:type="default"/>
      <w:footerReference r:id="rId22" w:type="default"/>
      <w:pgSz w:w="11907" w:h="16840"/>
      <w:pgMar w:top="1247" w:right="1418" w:bottom="1247" w:left="1418" w:header="992"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简魏碑">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Consolas">
    <w:panose1 w:val="020B0609020204030204"/>
    <w:charset w:val="00"/>
    <w:family w:val="modern"/>
    <w:pitch w:val="default"/>
    <w:sig w:usb0="E10002FF" w:usb1="4000FCFF" w:usb2="00000009" w:usb3="00000000" w:csb0="6000019F" w:csb1="DFD7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AngsanaUPC">
    <w:panose1 w:val="02020603050405020304"/>
    <w:charset w:val="00"/>
    <w:family w:val="roman"/>
    <w:pitch w:val="default"/>
    <w:sig w:usb0="81000003" w:usb1="00000000" w:usb2="00000000" w:usb3="00000000" w:csb0="00010001" w:csb1="00000000"/>
  </w:font>
  <w:font w:name="Sylfaen">
    <w:panose1 w:val="010A0502050306030303"/>
    <w:charset w:val="00"/>
    <w:family w:val="roman"/>
    <w:pitch w:val="default"/>
    <w:sig w:usb0="040006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Book Antiqua">
    <w:altName w:val="Segoe Print"/>
    <w:panose1 w:val="02040602050305030304"/>
    <w:charset w:val="00"/>
    <w:family w:val="roman"/>
    <w:pitch w:val="default"/>
    <w:sig w:usb0="00000000" w:usb1="00000000" w:usb2="00000000" w:usb3="00000000" w:csb0="2000009F" w:csb1="DFD70000"/>
  </w:font>
  <w:font w:name="David">
    <w:panose1 w:val="020E0502060401010101"/>
    <w:charset w:val="B1"/>
    <w:family w:val="swiss"/>
    <w:pitch w:val="default"/>
    <w:sig w:usb0="00000801" w:usb1="00000000" w:usb2="00000000" w:usb3="00000000" w:csb0="00000020" w:csb1="00200000"/>
  </w:font>
  <w:font w:name="华文仿宋">
    <w:altName w:val="仿宋"/>
    <w:panose1 w:val="02010600040101010101"/>
    <w:charset w:val="86"/>
    <w:family w:val="auto"/>
    <w:pitch w:val="default"/>
    <w:sig w:usb0="00000000" w:usb1="00000000" w:usb2="00000000" w:usb3="00000000" w:csb0="0004009F" w:csb1="DFD70000"/>
  </w:font>
  <w:font w:name="Palatino Linotype">
    <w:panose1 w:val="02040502050505030304"/>
    <w:charset w:val="00"/>
    <w:family w:val="roman"/>
    <w:pitch w:val="default"/>
    <w:sig w:usb0="E0000287" w:usb1="40000013" w:usb2="00000000" w:usb3="00000000" w:csb0="2000019F" w:csb1="00000000"/>
  </w:font>
  <w:font w:name="Constantia">
    <w:panose1 w:val="02030602050306030303"/>
    <w:charset w:val="00"/>
    <w:family w:val="roman"/>
    <w:pitch w:val="default"/>
    <w:sig w:usb0="A00002EF" w:usb1="4000204B" w:usb2="00000000" w:usb3="00000000" w:csb0="2000019F" w:csb1="00000000"/>
  </w:font>
  <w:font w:name="仿宋">
    <w:panose1 w:val="02010609060101010101"/>
    <w:charset w:val="86"/>
    <w:family w:val="auto"/>
    <w:pitch w:val="default"/>
    <w:sig w:usb0="800002BF" w:usb1="38CF7CFA" w:usb2="00000016" w:usb3="00000000" w:csb0="00040001" w:csb1="00000000"/>
  </w:font>
  <w:font w:name="Segoe UI Emoji">
    <w:altName w:val="Segoe UI"/>
    <w:panose1 w:val="020B0502040204020203"/>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1"/>
      <w:rPr>
        <w:rStyle w:val="94"/>
      </w:rPr>
    </w:pPr>
    <w:r>
      <w:rPr>
        <w:rStyle w:val="94"/>
      </w:rPr>
      <w:fldChar w:fldCharType="begin"/>
    </w:r>
    <w:r>
      <w:rPr>
        <w:rStyle w:val="94"/>
      </w:rPr>
      <w:instrText xml:space="preserve">PAGE  </w:instrText>
    </w:r>
    <w:r>
      <w:rPr>
        <w:rStyle w:val="94"/>
      </w:rPr>
      <w:fldChar w:fldCharType="separate"/>
    </w:r>
    <w:r>
      <w:rPr>
        <w:rStyle w:val="94"/>
      </w:rPr>
      <w:t>30</w:t>
    </w:r>
    <w:r>
      <w:rPr>
        <w:rStyle w:val="94"/>
      </w:rPr>
      <w:fldChar w:fldCharType="end"/>
    </w:r>
  </w:p>
  <w:p>
    <w:pPr>
      <w:pStyle w:val="5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top w:val="thickThinSmallGap" w:color="auto" w:sz="24" w:space="1"/>
      </w:pBdr>
      <w:rPr>
        <w:rFonts w:ascii="微软雅黑" w:hAnsi="微软雅黑" w:eastAsia="微软雅黑"/>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56515</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jc w:val="both"/>
                            <w:rPr>
                              <w:rStyle w:val="94"/>
                              <w:rFonts w:ascii="微软雅黑" w:hAnsi="微软雅黑" w:eastAsia="微软雅黑"/>
                              <w:szCs w:val="21"/>
                            </w:rPr>
                          </w:pPr>
                          <w:r>
                            <w:rPr>
                              <w:rFonts w:ascii="微软雅黑" w:hAnsi="微软雅黑" w:eastAsia="微软雅黑"/>
                              <w:szCs w:val="21"/>
                            </w:rPr>
                            <w:fldChar w:fldCharType="begin"/>
                          </w:r>
                          <w:r>
                            <w:rPr>
                              <w:rStyle w:val="94"/>
                              <w:rFonts w:ascii="微软雅黑" w:hAnsi="微软雅黑" w:eastAsia="微软雅黑"/>
                              <w:szCs w:val="21"/>
                            </w:rPr>
                            <w:instrText xml:space="preserve">PAGE  </w:instrText>
                          </w:r>
                          <w:r>
                            <w:rPr>
                              <w:rFonts w:ascii="微软雅黑" w:hAnsi="微软雅黑" w:eastAsia="微软雅黑"/>
                              <w:szCs w:val="21"/>
                            </w:rPr>
                            <w:fldChar w:fldCharType="separate"/>
                          </w:r>
                          <w:r>
                            <w:rPr>
                              <w:rStyle w:val="94"/>
                              <w:rFonts w:ascii="微软雅黑" w:hAnsi="微软雅黑" w:eastAsia="微软雅黑"/>
                              <w:szCs w:val="21"/>
                            </w:rPr>
                            <w:t>4</w:t>
                          </w:r>
                          <w:r>
                            <w:rPr>
                              <w:rFonts w:ascii="微软雅黑" w:hAnsi="微软雅黑" w:eastAsia="微软雅黑"/>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4.45pt;height:144pt;width:144pt;mso-position-horizontal:center;mso-position-horizontal-relative:margin;mso-wrap-style:none;z-index:251668480;mso-width-relative:page;mso-height-relative:page;" filled="f" stroked="f" coordsize="21600,21600" o:gfxdata="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sc2p9MAAAAGAQAADwAAAAAAAAABACAAAAAiAAAAZHJzL2Rvd25yZXYueG1sUEsBAhQAFAAA&#10;AAgAh07iQCZNNQgtAgAAVwQAAA4AAAAAAAAAAQAgAAAAIgEAAGRycy9lMm9Eb2MueG1sUEsFBgAA&#10;AAAGAAYAWQEAAMEFAAAAAA==&#10;">
              <v:fill on="f" focussize="0,0"/>
              <v:stroke on="f" weight="0.5pt"/>
              <v:imagedata o:title=""/>
              <o:lock v:ext="edit" aspectratio="f"/>
              <v:textbox inset="0mm,0mm,0mm,0mm" style="mso-fit-shape-to-text:t;">
                <w:txbxContent>
                  <w:p>
                    <w:pPr>
                      <w:pStyle w:val="56"/>
                      <w:jc w:val="both"/>
                      <w:rPr>
                        <w:rStyle w:val="94"/>
                        <w:rFonts w:ascii="微软雅黑" w:hAnsi="微软雅黑" w:eastAsia="微软雅黑"/>
                        <w:szCs w:val="21"/>
                      </w:rPr>
                    </w:pPr>
                    <w:r>
                      <w:rPr>
                        <w:rFonts w:ascii="微软雅黑" w:hAnsi="微软雅黑" w:eastAsia="微软雅黑"/>
                        <w:szCs w:val="21"/>
                      </w:rPr>
                      <w:fldChar w:fldCharType="begin"/>
                    </w:r>
                    <w:r>
                      <w:rPr>
                        <w:rStyle w:val="94"/>
                        <w:rFonts w:ascii="微软雅黑" w:hAnsi="微软雅黑" w:eastAsia="微软雅黑"/>
                        <w:szCs w:val="21"/>
                      </w:rPr>
                      <w:instrText xml:space="preserve">PAGE  </w:instrText>
                    </w:r>
                    <w:r>
                      <w:rPr>
                        <w:rFonts w:ascii="微软雅黑" w:hAnsi="微软雅黑" w:eastAsia="微软雅黑"/>
                        <w:szCs w:val="21"/>
                      </w:rPr>
                      <w:fldChar w:fldCharType="separate"/>
                    </w:r>
                    <w:r>
                      <w:rPr>
                        <w:rStyle w:val="94"/>
                        <w:rFonts w:ascii="微软雅黑" w:hAnsi="微软雅黑" w:eastAsia="微软雅黑"/>
                        <w:szCs w:val="21"/>
                      </w:rPr>
                      <w:t>4</w:t>
                    </w:r>
                    <w:r>
                      <w:rPr>
                        <w:rFonts w:ascii="微软雅黑" w:hAnsi="微软雅黑" w:eastAsia="微软雅黑"/>
                        <w:szCs w:val="21"/>
                      </w:rPr>
                      <w:fldChar w:fldCharType="end"/>
                    </w:r>
                  </w:p>
                </w:txbxContent>
              </v:textbox>
            </v:shape>
          </w:pict>
        </mc:Fallback>
      </mc:AlternateContent>
    </w: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sz w:val="15"/>
        <w:szCs w:val="15"/>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jc w:val="center"/>
                          </w:pPr>
                          <w:r>
                            <w:fldChar w:fldCharType="begin"/>
                          </w:r>
                          <w:r>
                            <w:instrText xml:space="preserve"> PAGE   \* MERGEFORMAT </w:instrText>
                          </w:r>
                          <w:r>
                            <w:fldChar w:fldCharType="separate"/>
                          </w:r>
                          <w:r>
                            <w:rPr>
                              <w:lang w:val="zh-CN"/>
                            </w:rPr>
                            <w:t>59</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QGEu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N31CimULJT9+/&#10;nX78Ov38SuIhJGqtnyHywSI2dG9Nh8YZzj0OI/Oucip+wYnAD4GPF4FFFwiPl6aT6TSHi8M3bICf&#10;PV63zod3wigSjYI6VDAJyw4bH/rQISRm02bdSJmqKDVpC3p99T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bskBhLgIAAFkEAAAOAAAAAAAAAAEAIAAAAB8BAABkcnMvZTJvRG9jLnhtbFBLBQYAAAAA&#10;BgAGAFkBAAC/BQAAAAA=&#10;">
              <v:fill on="f" focussize="0,0"/>
              <v:stroke on="f" weight="0.5pt"/>
              <v:imagedata o:title=""/>
              <o:lock v:ext="edit" aspectratio="f"/>
              <v:textbox inset="0mm,0mm,0mm,0mm" style="mso-fit-shape-to-text:t;">
                <w:txbxContent>
                  <w:p>
                    <w:pPr>
                      <w:pStyle w:val="56"/>
                      <w:jc w:val="center"/>
                    </w:pPr>
                    <w:r>
                      <w:fldChar w:fldCharType="begin"/>
                    </w:r>
                    <w:r>
                      <w:instrText xml:space="preserve"> PAGE   \* MERGEFORMAT </w:instrText>
                    </w:r>
                    <w:r>
                      <w:fldChar w:fldCharType="separate"/>
                    </w:r>
                    <w:r>
                      <w:rPr>
                        <w:lang w:val="zh-CN"/>
                      </w:rPr>
                      <w:t>59</w:t>
                    </w:r>
                    <w:r>
                      <w:rPr>
                        <w:lang w:val="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top w:val="thickThinSmallGap" w:color="auto" w:sz="24" w:space="1"/>
      </w:pBdr>
      <w:rPr>
        <w:rFonts w:ascii="微软雅黑" w:hAnsi="微软雅黑" w:eastAsia="微软雅黑"/>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57785</wp:posOffset>
              </wp:positionV>
              <wp:extent cx="313690" cy="19748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13690" cy="197485"/>
                      </a:xfrm>
                      <a:prstGeom prst="rect">
                        <a:avLst/>
                      </a:prstGeom>
                      <a:noFill/>
                      <a:ln>
                        <a:noFill/>
                      </a:ln>
                    </wps:spPr>
                    <wps:txbx>
                      <w:txbxContent>
                        <w:p>
                          <w:pPr>
                            <w:pStyle w:val="56"/>
                            <w:jc w:val="both"/>
                            <w:rPr>
                              <w:rStyle w:val="94"/>
                              <w:rFonts w:ascii="微软雅黑" w:hAnsi="微软雅黑" w:eastAsia="微软雅黑"/>
                              <w:sz w:val="24"/>
                              <w:szCs w:val="24"/>
                            </w:rPr>
                          </w:pPr>
                          <w:r>
                            <w:rPr>
                              <w:rFonts w:ascii="微软雅黑" w:hAnsi="微软雅黑" w:eastAsia="微软雅黑"/>
                              <w:sz w:val="24"/>
                              <w:szCs w:val="24"/>
                            </w:rPr>
                            <w:fldChar w:fldCharType="begin"/>
                          </w:r>
                          <w:r>
                            <w:rPr>
                              <w:rStyle w:val="94"/>
                              <w:rFonts w:ascii="微软雅黑" w:hAnsi="微软雅黑" w:eastAsia="微软雅黑"/>
                              <w:sz w:val="24"/>
                              <w:szCs w:val="24"/>
                            </w:rPr>
                            <w:instrText xml:space="preserve">PAGE  </w:instrText>
                          </w:r>
                          <w:r>
                            <w:rPr>
                              <w:rFonts w:ascii="微软雅黑" w:hAnsi="微软雅黑" w:eastAsia="微软雅黑"/>
                              <w:sz w:val="24"/>
                              <w:szCs w:val="24"/>
                            </w:rPr>
                            <w:fldChar w:fldCharType="separate"/>
                          </w:r>
                          <w:r>
                            <w:rPr>
                              <w:rStyle w:val="94"/>
                              <w:rFonts w:ascii="微软雅黑" w:hAnsi="微软雅黑" w:eastAsia="微软雅黑"/>
                              <w:sz w:val="24"/>
                              <w:szCs w:val="24"/>
                            </w:rPr>
                            <w:t>72</w:t>
                          </w:r>
                          <w:r>
                            <w:rPr>
                              <w:rFonts w:ascii="微软雅黑" w:hAnsi="微软雅黑" w:eastAsia="微软雅黑"/>
                              <w:sz w:val="24"/>
                              <w:szCs w:val="24"/>
                            </w:rPr>
                            <w:fldChar w:fldCharType="end"/>
                          </w:r>
                        </w:p>
                      </w:txbxContent>
                    </wps:txbx>
                    <wps:bodyPr lIns="0" tIns="0" rIns="0" bIns="0"/>
                  </wps:wsp>
                </a:graphicData>
              </a:graphic>
            </wp:anchor>
          </w:drawing>
        </mc:Choice>
        <mc:Fallback>
          <w:pict>
            <v:shape id="_x0000_s1026" o:spid="_x0000_s1026" o:spt="202" type="#_x0000_t202" style="position:absolute;left:0pt;margin-top:4.55pt;height:15.55pt;width:24.7pt;mso-position-horizontal:center;mso-position-horizontal-relative:margin;z-index:251667456;mso-width-relative:page;mso-height-relative:page;" filled="f" stroked="f" coordsize="21600,21600" o:gfxdata="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F&#10;Xkys1AAAAAQBAAAPAAAAAAAAAAEAIAAAACIAAABkcnMvZG93bnJldi54bWxQSwECFAAUAAAACACH&#10;TuJAYDoY0bYBAABnAwAADgAAAAAAAAABACAAAAAjAQAAZHJzL2Uyb0RvYy54bWxQSwUGAAAAAAYA&#10;BgBZAQAASwUAAAAA&#10;">
              <v:fill on="f" focussize="0,0"/>
              <v:stroke on="f"/>
              <v:imagedata o:title=""/>
              <o:lock v:ext="edit" aspectratio="f"/>
              <v:textbox inset="0mm,0mm,0mm,0mm">
                <w:txbxContent>
                  <w:p>
                    <w:pPr>
                      <w:pStyle w:val="56"/>
                      <w:jc w:val="both"/>
                      <w:rPr>
                        <w:rStyle w:val="94"/>
                        <w:rFonts w:ascii="微软雅黑" w:hAnsi="微软雅黑" w:eastAsia="微软雅黑"/>
                        <w:sz w:val="24"/>
                        <w:szCs w:val="24"/>
                      </w:rPr>
                    </w:pPr>
                    <w:r>
                      <w:rPr>
                        <w:rFonts w:ascii="微软雅黑" w:hAnsi="微软雅黑" w:eastAsia="微软雅黑"/>
                        <w:sz w:val="24"/>
                        <w:szCs w:val="24"/>
                      </w:rPr>
                      <w:fldChar w:fldCharType="begin"/>
                    </w:r>
                    <w:r>
                      <w:rPr>
                        <w:rStyle w:val="94"/>
                        <w:rFonts w:ascii="微软雅黑" w:hAnsi="微软雅黑" w:eastAsia="微软雅黑"/>
                        <w:sz w:val="24"/>
                        <w:szCs w:val="24"/>
                      </w:rPr>
                      <w:instrText xml:space="preserve">PAGE  </w:instrText>
                    </w:r>
                    <w:r>
                      <w:rPr>
                        <w:rFonts w:ascii="微软雅黑" w:hAnsi="微软雅黑" w:eastAsia="微软雅黑"/>
                        <w:sz w:val="24"/>
                        <w:szCs w:val="24"/>
                      </w:rPr>
                      <w:fldChar w:fldCharType="separate"/>
                    </w:r>
                    <w:r>
                      <w:rPr>
                        <w:rStyle w:val="94"/>
                        <w:rFonts w:ascii="微软雅黑" w:hAnsi="微软雅黑" w:eastAsia="微软雅黑"/>
                        <w:sz w:val="24"/>
                        <w:szCs w:val="24"/>
                      </w:rPr>
                      <w:t>72</w:t>
                    </w:r>
                    <w:r>
                      <w:rPr>
                        <w:rFonts w:ascii="微软雅黑" w:hAnsi="微软雅黑" w:eastAsia="微软雅黑"/>
                        <w:sz w:val="24"/>
                        <w:szCs w:val="24"/>
                      </w:rPr>
                      <w:fldChar w:fldCharType="end"/>
                    </w:r>
                  </w:p>
                </w:txbxContent>
              </v:textbox>
            </v:shape>
          </w:pict>
        </mc:Fallback>
      </mc:AlternateContent>
    </w: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top w:val="single" w:color="auto" w:sz="4" w:space="1"/>
        <w:left w:val="none" w:color="auto" w:sz="0" w:space="4"/>
        <w:bottom w:val="none" w:color="auto" w:sz="0" w:space="1"/>
        <w:right w:val="none" w:color="auto" w:sz="0" w:space="4"/>
      </w:pBdr>
      <w:ind w:firstLine="2880" w:firstLineChars="1600"/>
      <w:jc w:val="both"/>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rPr>
                              <w:rFonts w:hint="eastAsia"/>
                            </w:rPr>
                            <w:fldChar w:fldCharType="begin"/>
                          </w:r>
                          <w:r>
                            <w:rPr>
                              <w:rFonts w:hint="eastAsia"/>
                            </w:rPr>
                            <w:instrText xml:space="preserve"> PAGE  \* MERGEFORMAT </w:instrText>
                          </w:r>
                          <w:r>
                            <w:rPr>
                              <w:rFonts w:hint="eastAsia"/>
                            </w:rPr>
                            <w:fldChar w:fldCharType="separate"/>
                          </w:r>
                          <w:r>
                            <w:t>117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56"/>
                    </w:pPr>
                    <w:r>
                      <w:rPr>
                        <w:rFonts w:hint="eastAsia"/>
                      </w:rPr>
                      <w:fldChar w:fldCharType="begin"/>
                    </w:r>
                    <w:r>
                      <w:rPr>
                        <w:rFonts w:hint="eastAsia"/>
                      </w:rPr>
                      <w:instrText xml:space="preserve"> PAGE  \* MERGEFORMAT </w:instrText>
                    </w:r>
                    <w:r>
                      <w:rPr>
                        <w:rFonts w:hint="eastAsia"/>
                      </w:rPr>
                      <w:fldChar w:fldCharType="separate"/>
                    </w:r>
                    <w:r>
                      <w:t>117</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top w:val="thickThinSmallGap" w:color="auto" w:sz="24" w:space="1"/>
      </w:pBdr>
      <w:rPr>
        <w:rFonts w:ascii="微软雅黑" w:hAnsi="微软雅黑" w:eastAsia="微软雅黑"/>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56515</wp:posOffset>
              </wp:positionV>
              <wp:extent cx="323215" cy="19748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323215" cy="197485"/>
                      </a:xfrm>
                      <a:prstGeom prst="rect">
                        <a:avLst/>
                      </a:prstGeom>
                      <a:noFill/>
                      <a:ln>
                        <a:noFill/>
                      </a:ln>
                    </wps:spPr>
                    <wps:txbx>
                      <w:txbxContent>
                        <w:p>
                          <w:pPr>
                            <w:pStyle w:val="56"/>
                            <w:jc w:val="both"/>
                            <w:rPr>
                              <w:rStyle w:val="94"/>
                              <w:rFonts w:ascii="微软雅黑" w:hAnsi="微软雅黑" w:eastAsia="微软雅黑"/>
                              <w:sz w:val="24"/>
                              <w:szCs w:val="24"/>
                            </w:rPr>
                          </w:pPr>
                          <w:r>
                            <w:rPr>
                              <w:rFonts w:ascii="微软雅黑" w:hAnsi="微软雅黑" w:eastAsia="微软雅黑"/>
                              <w:sz w:val="24"/>
                              <w:szCs w:val="24"/>
                            </w:rPr>
                            <w:fldChar w:fldCharType="begin"/>
                          </w:r>
                          <w:r>
                            <w:rPr>
                              <w:rStyle w:val="94"/>
                              <w:rFonts w:ascii="微软雅黑" w:hAnsi="微软雅黑" w:eastAsia="微软雅黑"/>
                              <w:sz w:val="24"/>
                              <w:szCs w:val="24"/>
                            </w:rPr>
                            <w:instrText xml:space="preserve">PAGE  </w:instrText>
                          </w:r>
                          <w:r>
                            <w:rPr>
                              <w:rFonts w:ascii="微软雅黑" w:hAnsi="微软雅黑" w:eastAsia="微软雅黑"/>
                              <w:sz w:val="24"/>
                              <w:szCs w:val="24"/>
                            </w:rPr>
                            <w:fldChar w:fldCharType="separate"/>
                          </w:r>
                          <w:r>
                            <w:rPr>
                              <w:rStyle w:val="94"/>
                              <w:rFonts w:ascii="微软雅黑" w:hAnsi="微软雅黑" w:eastAsia="微软雅黑"/>
                              <w:sz w:val="24"/>
                              <w:szCs w:val="24"/>
                            </w:rPr>
                            <w:t>122</w:t>
                          </w:r>
                          <w:r>
                            <w:rPr>
                              <w:rFonts w:ascii="微软雅黑" w:hAnsi="微软雅黑" w:eastAsia="微软雅黑"/>
                              <w:sz w:val="24"/>
                              <w:szCs w:val="24"/>
                            </w:rPr>
                            <w:fldChar w:fldCharType="end"/>
                          </w:r>
                        </w:p>
                      </w:txbxContent>
                    </wps:txbx>
                    <wps:bodyPr lIns="0" tIns="0" rIns="0" bIns="0"/>
                  </wps:wsp>
                </a:graphicData>
              </a:graphic>
            </wp:anchor>
          </w:drawing>
        </mc:Choice>
        <mc:Fallback>
          <w:pict>
            <v:shape id="_x0000_s1026" o:spid="_x0000_s1026" o:spt="202" type="#_x0000_t202" style="position:absolute;left:0pt;margin-top:4.45pt;height:15.55pt;width:25.45pt;mso-position-horizontal:center;mso-position-horizontal-relative:margin;z-index:251669504;mso-width-relative:page;mso-height-relative:page;" filled="f" stroked="f" coordsize="21600,21600" o:gfxdata="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7&#10;R58l1AAAAAQBAAAPAAAAAAAAAAEAIAAAACIAAABkcnMvZG93bnJldi54bWxQSwECFAAUAAAACACH&#10;TuJADuPnMLYBAABnAwAADgAAAAAAAAABACAAAAAjAQAAZHJzL2Uyb0RvYy54bWxQSwUGAAAAAAYA&#10;BgBZAQAASwUAAAAA&#10;">
              <v:fill on="f" focussize="0,0"/>
              <v:stroke on="f"/>
              <v:imagedata o:title=""/>
              <o:lock v:ext="edit" aspectratio="f"/>
              <v:textbox inset="0mm,0mm,0mm,0mm">
                <w:txbxContent>
                  <w:p>
                    <w:pPr>
                      <w:pStyle w:val="56"/>
                      <w:jc w:val="both"/>
                      <w:rPr>
                        <w:rStyle w:val="94"/>
                        <w:rFonts w:ascii="微软雅黑" w:hAnsi="微软雅黑" w:eastAsia="微软雅黑"/>
                        <w:sz w:val="24"/>
                        <w:szCs w:val="24"/>
                      </w:rPr>
                    </w:pPr>
                    <w:r>
                      <w:rPr>
                        <w:rFonts w:ascii="微软雅黑" w:hAnsi="微软雅黑" w:eastAsia="微软雅黑"/>
                        <w:sz w:val="24"/>
                        <w:szCs w:val="24"/>
                      </w:rPr>
                      <w:fldChar w:fldCharType="begin"/>
                    </w:r>
                    <w:r>
                      <w:rPr>
                        <w:rStyle w:val="94"/>
                        <w:rFonts w:ascii="微软雅黑" w:hAnsi="微软雅黑" w:eastAsia="微软雅黑"/>
                        <w:sz w:val="24"/>
                        <w:szCs w:val="24"/>
                      </w:rPr>
                      <w:instrText xml:space="preserve">PAGE  </w:instrText>
                    </w:r>
                    <w:r>
                      <w:rPr>
                        <w:rFonts w:ascii="微软雅黑" w:hAnsi="微软雅黑" w:eastAsia="微软雅黑"/>
                        <w:sz w:val="24"/>
                        <w:szCs w:val="24"/>
                      </w:rPr>
                      <w:fldChar w:fldCharType="separate"/>
                    </w:r>
                    <w:r>
                      <w:rPr>
                        <w:rStyle w:val="94"/>
                        <w:rFonts w:ascii="微软雅黑" w:hAnsi="微软雅黑" w:eastAsia="微软雅黑"/>
                        <w:sz w:val="24"/>
                        <w:szCs w:val="24"/>
                      </w:rPr>
                      <w:t>122</w:t>
                    </w:r>
                    <w:r>
                      <w:rPr>
                        <w:rFonts w:ascii="微软雅黑" w:hAnsi="微软雅黑" w:eastAsia="微软雅黑"/>
                        <w:sz w:val="24"/>
                        <w:szCs w:val="24"/>
                      </w:rPr>
                      <w:fldChar w:fldCharType="end"/>
                    </w:r>
                  </w:p>
                </w:txbxContent>
              </v:textbox>
            </v:shape>
          </w:pict>
        </mc:Fallback>
      </mc:AlternateContent>
    </w: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hAnsi="宋体"/>
        <w:iCs/>
        <w:szCs w:val="18"/>
      </w:rPr>
    </w:pPr>
    <w:r>
      <w:t>繁峙县</w:t>
    </w:r>
    <w:r>
      <w:rPr>
        <w:rFonts w:hint="eastAsia"/>
      </w:rPr>
      <w:t>东胜砖厂年开采1.5万m</w:t>
    </w:r>
    <w:r>
      <w:rPr>
        <w:rFonts w:hint="eastAsia"/>
        <w:vertAlign w:val="superscript"/>
      </w:rPr>
      <w:t>3</w:t>
    </w:r>
    <w:r>
      <w:rPr>
        <w:rFonts w:hint="eastAsia"/>
      </w:rPr>
      <w:t>砖瓦用粘土矿</w:t>
    </w:r>
    <w:r>
      <w:t>建设项目</w:t>
    </w:r>
    <w:r>
      <w:rPr>
        <w:rFonts w:hAnsi="宋体"/>
        <w:iCs/>
        <w:szCs w:val="18"/>
      </w:rPr>
      <w:t>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繁峙县</w:t>
    </w:r>
    <w:r>
      <w:rPr>
        <w:rFonts w:hint="eastAsia"/>
      </w:rPr>
      <w:t>东胜砖厂年开采1.5万m</w:t>
    </w:r>
    <w:r>
      <w:rPr>
        <w:rFonts w:hint="eastAsia"/>
        <w:vertAlign w:val="superscript"/>
      </w:rPr>
      <w:t>3</w:t>
    </w:r>
    <w:r>
      <w:rPr>
        <w:rFonts w:hint="eastAsia"/>
      </w:rPr>
      <w:t>砖瓦用粘土矿</w:t>
    </w:r>
    <w:r>
      <w:t>建设项目</w:t>
    </w:r>
    <w:r>
      <w:rPr>
        <w:rFonts w:hAnsi="宋体"/>
        <w:iCs/>
        <w:szCs w:val="18"/>
      </w:rPr>
      <w:t>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繁峙县</w:t>
    </w:r>
    <w:r>
      <w:rPr>
        <w:rFonts w:hint="eastAsia"/>
      </w:rPr>
      <w:t>东胜砖厂年开采1.5万m</w:t>
    </w:r>
    <w:r>
      <w:rPr>
        <w:rFonts w:hint="eastAsia"/>
        <w:vertAlign w:val="superscript"/>
      </w:rPr>
      <w:t>3</w:t>
    </w:r>
    <w:r>
      <w:rPr>
        <w:rFonts w:hint="eastAsia"/>
      </w:rPr>
      <w:t>砖瓦用粘土矿</w:t>
    </w:r>
    <w:r>
      <w:t>建设项目</w:t>
    </w:r>
    <w:r>
      <w:rPr>
        <w:rFonts w:hAnsi="宋体"/>
        <w:iCs/>
        <w:szCs w:val="18"/>
      </w:rPr>
      <w:t>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繁峙县</w:t>
    </w:r>
    <w:r>
      <w:rPr>
        <w:rFonts w:hint="eastAsia"/>
      </w:rPr>
      <w:t>东胜砖厂年开采1.5万m</w:t>
    </w:r>
    <w:r>
      <w:rPr>
        <w:rFonts w:hint="eastAsia"/>
        <w:vertAlign w:val="superscript"/>
      </w:rPr>
      <w:t>3</w:t>
    </w:r>
    <w:r>
      <w:rPr>
        <w:rFonts w:hint="eastAsia"/>
      </w:rPr>
      <w:t>砖瓦用粘土矿</w:t>
    </w:r>
    <w:r>
      <w:t>建设项目</w:t>
    </w:r>
    <w:r>
      <w:rPr>
        <w:rFonts w:hAnsi="宋体"/>
        <w:iCs/>
        <w:szCs w:val="18"/>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繁峙县</w:t>
    </w:r>
    <w:r>
      <w:rPr>
        <w:rFonts w:hint="eastAsia"/>
      </w:rPr>
      <w:t>东胜砖厂年开采1.5万m</w:t>
    </w:r>
    <w:r>
      <w:rPr>
        <w:rFonts w:hint="eastAsia"/>
        <w:vertAlign w:val="superscript"/>
      </w:rPr>
      <w:t>3</w:t>
    </w:r>
    <w:r>
      <w:rPr>
        <w:rFonts w:hint="eastAsia"/>
      </w:rPr>
      <w:t>砖瓦用粘土矿</w:t>
    </w:r>
    <w:r>
      <w:t>建设项目</w:t>
    </w:r>
    <w:r>
      <w:rPr>
        <w:rFonts w:hAnsi="宋体"/>
        <w:iCs/>
        <w:szCs w:val="18"/>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hAnsi="宋体"/>
        <w:iCs/>
        <w:szCs w:val="18"/>
      </w:rPr>
    </w:pPr>
    <w:r>
      <w:t>繁峙县</w:t>
    </w:r>
    <w:r>
      <w:rPr>
        <w:rFonts w:hint="eastAsia"/>
      </w:rPr>
      <w:t>东胜砖厂年开采1.5万m</w:t>
    </w:r>
    <w:r>
      <w:rPr>
        <w:rFonts w:hint="eastAsia"/>
        <w:vertAlign w:val="superscript"/>
      </w:rPr>
      <w:t>3</w:t>
    </w:r>
    <w:r>
      <w:rPr>
        <w:rFonts w:hint="eastAsia"/>
      </w:rPr>
      <w:t>砖瓦用粘土矿</w:t>
    </w:r>
    <w:r>
      <w:t>建设项目</w:t>
    </w:r>
    <w:r>
      <w:rPr>
        <w:rFonts w:hAnsi="宋体"/>
        <w:iCs/>
        <w:szCs w:val="18"/>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hAnsi="宋体"/>
        <w:iCs/>
        <w:szCs w:val="18"/>
      </w:rPr>
    </w:pPr>
    <w:r>
      <w:t>繁峙县</w:t>
    </w:r>
    <w:r>
      <w:rPr>
        <w:rFonts w:hint="eastAsia"/>
      </w:rPr>
      <w:t>东胜砖厂年开采1.5万m</w:t>
    </w:r>
    <w:r>
      <w:rPr>
        <w:rFonts w:hint="eastAsia"/>
        <w:vertAlign w:val="superscript"/>
      </w:rPr>
      <w:t>3</w:t>
    </w:r>
    <w:r>
      <w:rPr>
        <w:rFonts w:hint="eastAsia"/>
      </w:rPr>
      <w:t>砖瓦用粘土矿</w:t>
    </w:r>
    <w:r>
      <w:t>建设项目</w:t>
    </w:r>
    <w:r>
      <w:rPr>
        <w:rFonts w:hAnsi="宋体"/>
        <w:iCs/>
        <w:szCs w:val="18"/>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hAnsi="宋体"/>
        <w:iCs/>
        <w:szCs w:val="18"/>
      </w:rPr>
    </w:pPr>
    <w:r>
      <w:t>繁峙县</w:t>
    </w:r>
    <w:r>
      <w:rPr>
        <w:rFonts w:hint="eastAsia"/>
      </w:rPr>
      <w:t>东胜砖厂年开采1.5万m</w:t>
    </w:r>
    <w:r>
      <w:rPr>
        <w:rFonts w:hint="eastAsia"/>
        <w:vertAlign w:val="superscript"/>
      </w:rPr>
      <w:t>3</w:t>
    </w:r>
    <w:r>
      <w:rPr>
        <w:rFonts w:hint="eastAsia"/>
      </w:rPr>
      <w:t>砖瓦用粘土矿</w:t>
    </w:r>
    <w:r>
      <w:t>建设项目</w:t>
    </w:r>
    <w:r>
      <w:rPr>
        <w:rFonts w:hAnsi="宋体"/>
        <w:iCs/>
        <w:szCs w:val="18"/>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繁峙县</w:t>
    </w:r>
    <w:r>
      <w:rPr>
        <w:rFonts w:hint="eastAsia"/>
      </w:rPr>
      <w:t>东胜砖厂年开采1.5万m</w:t>
    </w:r>
    <w:r>
      <w:rPr>
        <w:rFonts w:hint="eastAsia"/>
        <w:vertAlign w:val="superscript"/>
      </w:rPr>
      <w:t>3</w:t>
    </w:r>
    <w:r>
      <w:rPr>
        <w:rFonts w:hint="eastAsia"/>
      </w:rPr>
      <w:t>砖瓦用粘土矿</w:t>
    </w:r>
    <w:r>
      <w:t>建设项目</w:t>
    </w:r>
    <w:r>
      <w:rPr>
        <w:rFonts w:hAnsi="宋体"/>
        <w:iCs/>
        <w:szCs w:val="18"/>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hAnsi="宋体"/>
        <w:iCs/>
        <w:szCs w:val="18"/>
      </w:rPr>
    </w:pPr>
    <w:r>
      <w:t>繁峙县</w:t>
    </w:r>
    <w:r>
      <w:rPr>
        <w:rFonts w:hint="eastAsia"/>
      </w:rPr>
      <w:t>东胜砖厂年开采1.5万m</w:t>
    </w:r>
    <w:r>
      <w:rPr>
        <w:rFonts w:hint="eastAsia"/>
        <w:vertAlign w:val="superscript"/>
      </w:rPr>
      <w:t>3</w:t>
    </w:r>
    <w:r>
      <w:rPr>
        <w:rFonts w:hint="eastAsia"/>
      </w:rPr>
      <w:t>砖瓦用粘土矿</w:t>
    </w:r>
    <w:r>
      <w:t>建设项目</w:t>
    </w:r>
    <w:r>
      <w:rPr>
        <w:rFonts w:hAnsi="宋体"/>
        <w:iCs/>
        <w:szCs w:val="18"/>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eastAsia="黑体"/>
        <w:i/>
        <w:iCs/>
      </w:rPr>
    </w:pPr>
    <w:r>
      <w:rPr>
        <w:rFonts w:eastAsia="黑体"/>
        <w:i/>
        <w:iCs/>
        <w:sz w:val="20"/>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137795</wp:posOffset>
              </wp:positionV>
              <wp:extent cx="5583555" cy="0"/>
              <wp:effectExtent l="11430" t="13970" r="15240" b="14605"/>
              <wp:wrapNone/>
              <wp:docPr id="7" name="Line 11"/>
              <wp:cNvGraphicFramePr/>
              <a:graphic xmlns:a="http://schemas.openxmlformats.org/drawingml/2006/main">
                <a:graphicData uri="http://schemas.microsoft.com/office/word/2010/wordprocessingShape">
                  <wps:wsp>
                    <wps:cNvCnPr>
                      <a:cxnSpLocks noChangeShapeType="1"/>
                    </wps:cNvCnPr>
                    <wps:spPr bwMode="auto">
                      <a:xfrm>
                        <a:off x="0" y="0"/>
                        <a:ext cx="5583555" cy="0"/>
                      </a:xfrm>
                      <a:prstGeom prst="line">
                        <a:avLst/>
                      </a:prstGeom>
                      <a:noFill/>
                      <a:ln w="19050">
                        <a:solidFill>
                          <a:srgbClr val="000000"/>
                        </a:solidFill>
                        <a:round/>
                      </a:ln>
                    </wps:spPr>
                    <wps:bodyPr/>
                  </wps:wsp>
                </a:graphicData>
              </a:graphic>
            </wp:anchor>
          </w:drawing>
        </mc:Choice>
        <mc:Fallback>
          <w:pict>
            <v:line id="Line 11" o:spid="_x0000_s1026" o:spt="20" style="position:absolute;left:0pt;margin-left:-1.35pt;margin-top:10.85pt;height:0pt;width:439.65pt;z-index:251662336;mso-width-relative:page;mso-height-relative:page;" filled="f" stroked="t" coordsize="21600,21600" o:gfxdata="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lrwHa1QAAAAgBAAAPAAAAAAAAAAEAIAAAACIAAABkcnMvZG93&#10;bnJldi54bWxQSwECFAAUAAAACACHTuJAp7JbbsoBAAChAwAADgAAAAAAAAABACAAAAAkAQAAZHJz&#10;L2Uyb0RvYy54bWxQSwUGAAAAAAYABgBZAQAAYAUAAAAA&#10;">
              <v:fill on="f" focussize="0,0"/>
              <v:stroke weight="1.5pt" color="#000000" joinstyle="round"/>
              <v:imagedata o:title=""/>
              <o:lock v:ext="edit" aspectratio="f"/>
            </v:line>
          </w:pict>
        </mc:Fallback>
      </mc:AlternateContent>
    </w:r>
    <w:r>
      <w:rPr>
        <w:rFonts w:hint="eastAsia" w:eastAsia="黑体"/>
        <w:i/>
        <w:iCs/>
      </w:rPr>
      <w:t>国道北京至哈尔滨公路四平至长春段改扩建工程环境影响报告书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繁峙县</w:t>
    </w:r>
    <w:r>
      <w:rPr>
        <w:rFonts w:hint="eastAsia"/>
      </w:rPr>
      <w:t>东胜砖厂年开采1.5万m</w:t>
    </w:r>
    <w:r>
      <w:rPr>
        <w:rFonts w:hint="eastAsia"/>
        <w:vertAlign w:val="superscript"/>
      </w:rPr>
      <w:t>3</w:t>
    </w:r>
    <w:r>
      <w:rPr>
        <w:rFonts w:hint="eastAsia"/>
      </w:rPr>
      <w:t>砖瓦用粘土矿</w:t>
    </w:r>
    <w:r>
      <w:t>建设项目</w:t>
    </w:r>
    <w:r>
      <w:rPr>
        <w:rFonts w:hAnsi="宋体"/>
        <w:iCs/>
        <w:szCs w:val="18"/>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90ACB"/>
    <w:multiLevelType w:val="singleLevel"/>
    <w:tmpl w:val="82090ACB"/>
    <w:lvl w:ilvl="0" w:tentative="0">
      <w:start w:val="1"/>
      <w:numFmt w:val="decimal"/>
      <w:suff w:val="nothing"/>
      <w:lvlText w:val="（%1）"/>
      <w:lvlJc w:val="left"/>
    </w:lvl>
  </w:abstractNum>
  <w:abstractNum w:abstractNumId="1">
    <w:nsid w:val="E8B0EBB6"/>
    <w:multiLevelType w:val="singleLevel"/>
    <w:tmpl w:val="E8B0EBB6"/>
    <w:lvl w:ilvl="0" w:tentative="0">
      <w:start w:val="1"/>
      <w:numFmt w:val="decimal"/>
      <w:suff w:val="nothing"/>
      <w:lvlText w:val="（%1）"/>
      <w:lvlJc w:val="left"/>
    </w:lvl>
  </w:abstractNum>
  <w:abstractNum w:abstractNumId="2">
    <w:nsid w:val="FFFFFFFB"/>
    <w:multiLevelType w:val="multilevel"/>
    <w:tmpl w:val="FFFFFFFB"/>
    <w:lvl w:ilvl="0" w:tentative="0">
      <w:start w:val="1"/>
      <w:numFmt w:val="none"/>
      <w:suff w:val="nothing"/>
      <w:lvlText w:val=""/>
      <w:lvlJc w:val="left"/>
      <w:pPr>
        <w:ind w:left="425" w:hanging="425"/>
      </w:pPr>
      <w:rPr>
        <w:rFonts w:hint="eastAsia"/>
      </w:rPr>
    </w:lvl>
    <w:lvl w:ilvl="1" w:tentative="0">
      <w:start w:val="1"/>
      <w:numFmt w:val="none"/>
      <w:lvlText w:val=""/>
      <w:lvlJc w:val="left"/>
      <w:pPr>
        <w:tabs>
          <w:tab w:val="left" w:pos="0"/>
        </w:tabs>
        <w:ind w:left="425" w:firstLine="0"/>
      </w:pPr>
      <w:rPr>
        <w:rFonts w:hint="eastAsia"/>
      </w:rPr>
    </w:lvl>
    <w:lvl w:ilvl="2" w:tentative="0">
      <w:start w:val="1"/>
      <w:numFmt w:val="none"/>
      <w:suff w:val="nothing"/>
      <w:lvlText w:val=""/>
      <w:lvlJc w:val="left"/>
      <w:pPr>
        <w:ind w:left="425" w:firstLine="0"/>
      </w:pPr>
      <w:rPr>
        <w:rFonts w:hint="eastAsia"/>
      </w:rPr>
    </w:lvl>
    <w:lvl w:ilvl="3" w:tentative="0">
      <w:start w:val="1"/>
      <w:numFmt w:val="lowerLetter"/>
      <w:pStyle w:val="7"/>
      <w:lvlText w:val="%4."/>
      <w:lvlJc w:val="left"/>
      <w:pPr>
        <w:tabs>
          <w:tab w:val="left" w:pos="850"/>
        </w:tabs>
        <w:ind w:left="850" w:hanging="425"/>
      </w:pPr>
      <w:rPr>
        <w:rFonts w:hint="eastAsia"/>
      </w:rPr>
    </w:lvl>
    <w:lvl w:ilvl="4" w:tentative="0">
      <w:start w:val="1"/>
      <w:numFmt w:val="decimal"/>
      <w:pStyle w:val="8"/>
      <w:lvlText w:val="(%5)"/>
      <w:lvlJc w:val="left"/>
      <w:pPr>
        <w:tabs>
          <w:tab w:val="left" w:pos="0"/>
        </w:tabs>
        <w:ind w:left="1275" w:hanging="425"/>
      </w:pPr>
      <w:rPr>
        <w:rFonts w:hint="eastAsia"/>
      </w:rPr>
    </w:lvl>
    <w:lvl w:ilvl="5" w:tentative="0">
      <w:start w:val="1"/>
      <w:numFmt w:val="lowerLetter"/>
      <w:pStyle w:val="9"/>
      <w:lvlText w:val="(%6)"/>
      <w:lvlJc w:val="left"/>
      <w:pPr>
        <w:tabs>
          <w:tab w:val="left" w:pos="0"/>
        </w:tabs>
        <w:ind w:left="1700" w:hanging="425"/>
      </w:pPr>
      <w:rPr>
        <w:rFonts w:hint="eastAsia"/>
      </w:rPr>
    </w:lvl>
    <w:lvl w:ilvl="6" w:tentative="0">
      <w:start w:val="1"/>
      <w:numFmt w:val="lowerRoman"/>
      <w:pStyle w:val="10"/>
      <w:lvlText w:val="(%7)"/>
      <w:lvlJc w:val="left"/>
      <w:pPr>
        <w:tabs>
          <w:tab w:val="left" w:pos="0"/>
        </w:tabs>
        <w:ind w:left="2125" w:hanging="425"/>
      </w:pPr>
      <w:rPr>
        <w:rFonts w:hint="eastAsia"/>
      </w:rPr>
    </w:lvl>
    <w:lvl w:ilvl="7" w:tentative="0">
      <w:start w:val="1"/>
      <w:numFmt w:val="lowerLetter"/>
      <w:pStyle w:val="11"/>
      <w:lvlText w:val="(%8)"/>
      <w:lvlJc w:val="left"/>
      <w:pPr>
        <w:tabs>
          <w:tab w:val="left" w:pos="0"/>
        </w:tabs>
        <w:ind w:left="2550" w:hanging="425"/>
      </w:pPr>
      <w:rPr>
        <w:rFonts w:hint="eastAsia"/>
      </w:rPr>
    </w:lvl>
    <w:lvl w:ilvl="8" w:tentative="0">
      <w:start w:val="1"/>
      <w:numFmt w:val="lowerRoman"/>
      <w:pStyle w:val="12"/>
      <w:lvlText w:val="(%9)"/>
      <w:lvlJc w:val="left"/>
      <w:pPr>
        <w:tabs>
          <w:tab w:val="left" w:pos="0"/>
        </w:tabs>
        <w:ind w:left="2975" w:hanging="425"/>
      </w:pPr>
      <w:rPr>
        <w:rFonts w:hint="eastAsia"/>
      </w:rPr>
    </w:lvl>
  </w:abstractNum>
  <w:abstractNum w:abstractNumId="3">
    <w:nsid w:val="1014C92D"/>
    <w:multiLevelType w:val="singleLevel"/>
    <w:tmpl w:val="1014C92D"/>
    <w:lvl w:ilvl="0" w:tentative="0">
      <w:start w:val="1"/>
      <w:numFmt w:val="decimal"/>
      <w:suff w:val="nothing"/>
      <w:lvlText w:val="%1）"/>
      <w:lvlJc w:val="left"/>
    </w:lvl>
  </w:abstractNum>
  <w:abstractNum w:abstractNumId="4">
    <w:nsid w:val="15321555"/>
    <w:multiLevelType w:val="singleLevel"/>
    <w:tmpl w:val="15321555"/>
    <w:lvl w:ilvl="0" w:tentative="0">
      <w:start w:val="1"/>
      <w:numFmt w:val="decimal"/>
      <w:suff w:val="nothing"/>
      <w:lvlText w:val="（%1）"/>
      <w:lvlJc w:val="left"/>
    </w:lvl>
  </w:abstractNum>
  <w:abstractNum w:abstractNumId="5">
    <w:nsid w:val="2575F659"/>
    <w:multiLevelType w:val="singleLevel"/>
    <w:tmpl w:val="2575F659"/>
    <w:lvl w:ilvl="0" w:tentative="0">
      <w:start w:val="1"/>
      <w:numFmt w:val="decimal"/>
      <w:suff w:val="nothing"/>
      <w:lvlText w:val="（%1）"/>
      <w:lvlJc w:val="left"/>
    </w:lvl>
  </w:abstractNum>
  <w:abstractNum w:abstractNumId="6">
    <w:nsid w:val="488926F7"/>
    <w:multiLevelType w:val="singleLevel"/>
    <w:tmpl w:val="488926F7"/>
    <w:lvl w:ilvl="0" w:tentative="0">
      <w:start w:val="2"/>
      <w:numFmt w:val="decimal"/>
      <w:suff w:val="nothing"/>
      <w:lvlText w:val="%1）"/>
      <w:lvlJc w:val="left"/>
    </w:lvl>
  </w:abstractNum>
  <w:num w:numId="1">
    <w:abstractNumId w:val="2"/>
  </w:num>
  <w:num w:numId="2">
    <w:abstractNumId w:val="5"/>
  </w:num>
  <w:num w:numId="3">
    <w:abstractNumId w:val="0"/>
  </w:num>
  <w:num w:numId="4">
    <w:abstractNumId w:val="4"/>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iOTM3M2Q2NDY2ZWFhZGMxNzhmOTcyN2M4MzdhYTcifQ=="/>
  </w:docVars>
  <w:rsids>
    <w:rsidRoot w:val="00172A27"/>
    <w:rsid w:val="00000157"/>
    <w:rsid w:val="0000036A"/>
    <w:rsid w:val="00000688"/>
    <w:rsid w:val="000008E0"/>
    <w:rsid w:val="00000B00"/>
    <w:rsid w:val="00000C2F"/>
    <w:rsid w:val="00000C7E"/>
    <w:rsid w:val="00000CB8"/>
    <w:rsid w:val="00000D69"/>
    <w:rsid w:val="00000E32"/>
    <w:rsid w:val="00001110"/>
    <w:rsid w:val="00001220"/>
    <w:rsid w:val="000016FF"/>
    <w:rsid w:val="00001804"/>
    <w:rsid w:val="000019A2"/>
    <w:rsid w:val="00001FDD"/>
    <w:rsid w:val="000020EE"/>
    <w:rsid w:val="00002176"/>
    <w:rsid w:val="000021CF"/>
    <w:rsid w:val="000021F0"/>
    <w:rsid w:val="0000285B"/>
    <w:rsid w:val="00002980"/>
    <w:rsid w:val="00002B25"/>
    <w:rsid w:val="00002C63"/>
    <w:rsid w:val="0000305D"/>
    <w:rsid w:val="000033AD"/>
    <w:rsid w:val="0000346E"/>
    <w:rsid w:val="000034D8"/>
    <w:rsid w:val="0000356D"/>
    <w:rsid w:val="000035AB"/>
    <w:rsid w:val="00003AB8"/>
    <w:rsid w:val="00003C2F"/>
    <w:rsid w:val="00004300"/>
    <w:rsid w:val="0000462C"/>
    <w:rsid w:val="00004690"/>
    <w:rsid w:val="0000473D"/>
    <w:rsid w:val="00004936"/>
    <w:rsid w:val="00004957"/>
    <w:rsid w:val="00004AD7"/>
    <w:rsid w:val="00004BAB"/>
    <w:rsid w:val="00004C88"/>
    <w:rsid w:val="00005033"/>
    <w:rsid w:val="0000512A"/>
    <w:rsid w:val="000051D8"/>
    <w:rsid w:val="00005442"/>
    <w:rsid w:val="0000548B"/>
    <w:rsid w:val="00005900"/>
    <w:rsid w:val="00005B82"/>
    <w:rsid w:val="00005C39"/>
    <w:rsid w:val="00005E8A"/>
    <w:rsid w:val="00006070"/>
    <w:rsid w:val="00006239"/>
    <w:rsid w:val="000062BF"/>
    <w:rsid w:val="0000632D"/>
    <w:rsid w:val="000064D2"/>
    <w:rsid w:val="00006533"/>
    <w:rsid w:val="0000680C"/>
    <w:rsid w:val="00006829"/>
    <w:rsid w:val="00006990"/>
    <w:rsid w:val="00006ACB"/>
    <w:rsid w:val="00006AD2"/>
    <w:rsid w:val="00006B28"/>
    <w:rsid w:val="00006BC1"/>
    <w:rsid w:val="00006F37"/>
    <w:rsid w:val="00006FA4"/>
    <w:rsid w:val="00006FD3"/>
    <w:rsid w:val="00007030"/>
    <w:rsid w:val="00007088"/>
    <w:rsid w:val="00007160"/>
    <w:rsid w:val="0000733B"/>
    <w:rsid w:val="000075DA"/>
    <w:rsid w:val="00007704"/>
    <w:rsid w:val="0000780E"/>
    <w:rsid w:val="00007CBF"/>
    <w:rsid w:val="00007CFE"/>
    <w:rsid w:val="00007E9C"/>
    <w:rsid w:val="000100DD"/>
    <w:rsid w:val="00010367"/>
    <w:rsid w:val="000103E4"/>
    <w:rsid w:val="00010659"/>
    <w:rsid w:val="0001065B"/>
    <w:rsid w:val="00010B27"/>
    <w:rsid w:val="00010C94"/>
    <w:rsid w:val="00010F9C"/>
    <w:rsid w:val="00011299"/>
    <w:rsid w:val="0001139A"/>
    <w:rsid w:val="000115AC"/>
    <w:rsid w:val="000115FB"/>
    <w:rsid w:val="00011603"/>
    <w:rsid w:val="000117B4"/>
    <w:rsid w:val="0001195A"/>
    <w:rsid w:val="00011CA2"/>
    <w:rsid w:val="00011CB8"/>
    <w:rsid w:val="00011EF3"/>
    <w:rsid w:val="00011F84"/>
    <w:rsid w:val="00012205"/>
    <w:rsid w:val="00012491"/>
    <w:rsid w:val="000124ED"/>
    <w:rsid w:val="00012961"/>
    <w:rsid w:val="000129A5"/>
    <w:rsid w:val="00012B42"/>
    <w:rsid w:val="00012B78"/>
    <w:rsid w:val="00012B98"/>
    <w:rsid w:val="00012BBE"/>
    <w:rsid w:val="00012C40"/>
    <w:rsid w:val="00012C96"/>
    <w:rsid w:val="00012E01"/>
    <w:rsid w:val="00012E3E"/>
    <w:rsid w:val="00013096"/>
    <w:rsid w:val="0001316C"/>
    <w:rsid w:val="0001319C"/>
    <w:rsid w:val="000131DE"/>
    <w:rsid w:val="00013418"/>
    <w:rsid w:val="00013419"/>
    <w:rsid w:val="000134F2"/>
    <w:rsid w:val="000139BC"/>
    <w:rsid w:val="000139E2"/>
    <w:rsid w:val="00013C15"/>
    <w:rsid w:val="00013CF7"/>
    <w:rsid w:val="00013DBE"/>
    <w:rsid w:val="00013FA7"/>
    <w:rsid w:val="00013FAE"/>
    <w:rsid w:val="00014035"/>
    <w:rsid w:val="00014176"/>
    <w:rsid w:val="0001424D"/>
    <w:rsid w:val="00014499"/>
    <w:rsid w:val="0001464D"/>
    <w:rsid w:val="00014957"/>
    <w:rsid w:val="00014A11"/>
    <w:rsid w:val="00014CE1"/>
    <w:rsid w:val="00014E24"/>
    <w:rsid w:val="00014F0B"/>
    <w:rsid w:val="00015196"/>
    <w:rsid w:val="0001535E"/>
    <w:rsid w:val="0001541C"/>
    <w:rsid w:val="00015837"/>
    <w:rsid w:val="0001596E"/>
    <w:rsid w:val="00015A80"/>
    <w:rsid w:val="00015CB7"/>
    <w:rsid w:val="00015EAA"/>
    <w:rsid w:val="00015F57"/>
    <w:rsid w:val="000160C0"/>
    <w:rsid w:val="000160C2"/>
    <w:rsid w:val="00016252"/>
    <w:rsid w:val="000164F3"/>
    <w:rsid w:val="000168E6"/>
    <w:rsid w:val="0001695A"/>
    <w:rsid w:val="00016B1D"/>
    <w:rsid w:val="00016CC0"/>
    <w:rsid w:val="00016D84"/>
    <w:rsid w:val="00016ECA"/>
    <w:rsid w:val="00016F0F"/>
    <w:rsid w:val="00017097"/>
    <w:rsid w:val="000171D6"/>
    <w:rsid w:val="000173E4"/>
    <w:rsid w:val="00017528"/>
    <w:rsid w:val="000175CF"/>
    <w:rsid w:val="0001764A"/>
    <w:rsid w:val="000179A4"/>
    <w:rsid w:val="00017A02"/>
    <w:rsid w:val="00017ACD"/>
    <w:rsid w:val="00017B0A"/>
    <w:rsid w:val="00017E0A"/>
    <w:rsid w:val="00017F54"/>
    <w:rsid w:val="00017F62"/>
    <w:rsid w:val="00017FD4"/>
    <w:rsid w:val="0002003B"/>
    <w:rsid w:val="00020266"/>
    <w:rsid w:val="00020285"/>
    <w:rsid w:val="00020478"/>
    <w:rsid w:val="000204E1"/>
    <w:rsid w:val="0002071F"/>
    <w:rsid w:val="00020758"/>
    <w:rsid w:val="00020BBF"/>
    <w:rsid w:val="00020CC8"/>
    <w:rsid w:val="00020DAF"/>
    <w:rsid w:val="00020E3C"/>
    <w:rsid w:val="00020EC8"/>
    <w:rsid w:val="00020EE4"/>
    <w:rsid w:val="00020F36"/>
    <w:rsid w:val="00020F84"/>
    <w:rsid w:val="00021011"/>
    <w:rsid w:val="000210C3"/>
    <w:rsid w:val="0002120C"/>
    <w:rsid w:val="0002156C"/>
    <w:rsid w:val="00021688"/>
    <w:rsid w:val="00021717"/>
    <w:rsid w:val="0002175B"/>
    <w:rsid w:val="000217C1"/>
    <w:rsid w:val="000219CB"/>
    <w:rsid w:val="00021AD7"/>
    <w:rsid w:val="00021C0F"/>
    <w:rsid w:val="00021C4B"/>
    <w:rsid w:val="00021C62"/>
    <w:rsid w:val="000220B7"/>
    <w:rsid w:val="00022128"/>
    <w:rsid w:val="0002219D"/>
    <w:rsid w:val="0002233E"/>
    <w:rsid w:val="000223BC"/>
    <w:rsid w:val="000224D9"/>
    <w:rsid w:val="000228C8"/>
    <w:rsid w:val="00022EAD"/>
    <w:rsid w:val="0002300D"/>
    <w:rsid w:val="00023015"/>
    <w:rsid w:val="000230D6"/>
    <w:rsid w:val="0002324C"/>
    <w:rsid w:val="00023260"/>
    <w:rsid w:val="00023551"/>
    <w:rsid w:val="00023622"/>
    <w:rsid w:val="000239D7"/>
    <w:rsid w:val="00023B89"/>
    <w:rsid w:val="00023D03"/>
    <w:rsid w:val="0002410C"/>
    <w:rsid w:val="000241E9"/>
    <w:rsid w:val="000246E9"/>
    <w:rsid w:val="00024825"/>
    <w:rsid w:val="00024830"/>
    <w:rsid w:val="00024A83"/>
    <w:rsid w:val="00024E01"/>
    <w:rsid w:val="00024EA6"/>
    <w:rsid w:val="00025169"/>
    <w:rsid w:val="0002518D"/>
    <w:rsid w:val="00025203"/>
    <w:rsid w:val="0002527A"/>
    <w:rsid w:val="00025634"/>
    <w:rsid w:val="00025973"/>
    <w:rsid w:val="00025C50"/>
    <w:rsid w:val="00025EF4"/>
    <w:rsid w:val="0002609E"/>
    <w:rsid w:val="0002620A"/>
    <w:rsid w:val="00026480"/>
    <w:rsid w:val="000265A3"/>
    <w:rsid w:val="0002665C"/>
    <w:rsid w:val="00026A5D"/>
    <w:rsid w:val="00026D18"/>
    <w:rsid w:val="00026DEC"/>
    <w:rsid w:val="00026F1A"/>
    <w:rsid w:val="00027411"/>
    <w:rsid w:val="000275CC"/>
    <w:rsid w:val="00027627"/>
    <w:rsid w:val="000276C6"/>
    <w:rsid w:val="000276FE"/>
    <w:rsid w:val="000276FF"/>
    <w:rsid w:val="00027707"/>
    <w:rsid w:val="00027CBA"/>
    <w:rsid w:val="00027E1D"/>
    <w:rsid w:val="00027E96"/>
    <w:rsid w:val="000300C7"/>
    <w:rsid w:val="000303CE"/>
    <w:rsid w:val="000303D1"/>
    <w:rsid w:val="000304FB"/>
    <w:rsid w:val="0003052D"/>
    <w:rsid w:val="00030690"/>
    <w:rsid w:val="000306EB"/>
    <w:rsid w:val="000308C1"/>
    <w:rsid w:val="000309A2"/>
    <w:rsid w:val="00030CC0"/>
    <w:rsid w:val="00030EA6"/>
    <w:rsid w:val="00030F94"/>
    <w:rsid w:val="00031037"/>
    <w:rsid w:val="000310C5"/>
    <w:rsid w:val="00031135"/>
    <w:rsid w:val="0003154C"/>
    <w:rsid w:val="00031656"/>
    <w:rsid w:val="00031B07"/>
    <w:rsid w:val="00031BDF"/>
    <w:rsid w:val="00031F91"/>
    <w:rsid w:val="0003200A"/>
    <w:rsid w:val="00032386"/>
    <w:rsid w:val="00032398"/>
    <w:rsid w:val="000323E5"/>
    <w:rsid w:val="000323EE"/>
    <w:rsid w:val="00032579"/>
    <w:rsid w:val="00032688"/>
    <w:rsid w:val="000326F6"/>
    <w:rsid w:val="00032708"/>
    <w:rsid w:val="00032745"/>
    <w:rsid w:val="000329DF"/>
    <w:rsid w:val="00032AEE"/>
    <w:rsid w:val="00032B51"/>
    <w:rsid w:val="00032BBE"/>
    <w:rsid w:val="00032F90"/>
    <w:rsid w:val="00033121"/>
    <w:rsid w:val="0003321B"/>
    <w:rsid w:val="00033321"/>
    <w:rsid w:val="00033324"/>
    <w:rsid w:val="000333B8"/>
    <w:rsid w:val="000333D6"/>
    <w:rsid w:val="000334BC"/>
    <w:rsid w:val="00033557"/>
    <w:rsid w:val="00033603"/>
    <w:rsid w:val="0003381A"/>
    <w:rsid w:val="000339DF"/>
    <w:rsid w:val="00033A5B"/>
    <w:rsid w:val="00033B48"/>
    <w:rsid w:val="00033C9B"/>
    <w:rsid w:val="00033CE6"/>
    <w:rsid w:val="00033CF6"/>
    <w:rsid w:val="000341E9"/>
    <w:rsid w:val="0003426B"/>
    <w:rsid w:val="00034509"/>
    <w:rsid w:val="000348CA"/>
    <w:rsid w:val="00034CC1"/>
    <w:rsid w:val="00034D2D"/>
    <w:rsid w:val="00034D33"/>
    <w:rsid w:val="0003504A"/>
    <w:rsid w:val="000350CE"/>
    <w:rsid w:val="0003514C"/>
    <w:rsid w:val="00035193"/>
    <w:rsid w:val="000352FF"/>
    <w:rsid w:val="0003542F"/>
    <w:rsid w:val="000354A8"/>
    <w:rsid w:val="000356DD"/>
    <w:rsid w:val="000358AE"/>
    <w:rsid w:val="0003596C"/>
    <w:rsid w:val="000359D9"/>
    <w:rsid w:val="00035DD1"/>
    <w:rsid w:val="00035EF2"/>
    <w:rsid w:val="00035F98"/>
    <w:rsid w:val="000360A2"/>
    <w:rsid w:val="00036287"/>
    <w:rsid w:val="000363DE"/>
    <w:rsid w:val="000365C7"/>
    <w:rsid w:val="000365D4"/>
    <w:rsid w:val="000366CA"/>
    <w:rsid w:val="0003673C"/>
    <w:rsid w:val="00036846"/>
    <w:rsid w:val="00036B65"/>
    <w:rsid w:val="00036B69"/>
    <w:rsid w:val="00036D44"/>
    <w:rsid w:val="00036DCE"/>
    <w:rsid w:val="00036DFA"/>
    <w:rsid w:val="00036F90"/>
    <w:rsid w:val="00036FA0"/>
    <w:rsid w:val="000371F4"/>
    <w:rsid w:val="000372FB"/>
    <w:rsid w:val="00037534"/>
    <w:rsid w:val="00037818"/>
    <w:rsid w:val="00037A51"/>
    <w:rsid w:val="00037A88"/>
    <w:rsid w:val="00037AC2"/>
    <w:rsid w:val="00037AFD"/>
    <w:rsid w:val="00037B08"/>
    <w:rsid w:val="00040150"/>
    <w:rsid w:val="000401C6"/>
    <w:rsid w:val="00040566"/>
    <w:rsid w:val="00040759"/>
    <w:rsid w:val="0004076A"/>
    <w:rsid w:val="0004081A"/>
    <w:rsid w:val="000408F5"/>
    <w:rsid w:val="00040B39"/>
    <w:rsid w:val="00040BC7"/>
    <w:rsid w:val="00040BD9"/>
    <w:rsid w:val="00040BEC"/>
    <w:rsid w:val="00040C38"/>
    <w:rsid w:val="0004110B"/>
    <w:rsid w:val="00041190"/>
    <w:rsid w:val="00041209"/>
    <w:rsid w:val="0004125D"/>
    <w:rsid w:val="0004128D"/>
    <w:rsid w:val="00041331"/>
    <w:rsid w:val="00041379"/>
    <w:rsid w:val="0004158C"/>
    <w:rsid w:val="00041610"/>
    <w:rsid w:val="00041639"/>
    <w:rsid w:val="00041669"/>
    <w:rsid w:val="00041CA9"/>
    <w:rsid w:val="00041CCD"/>
    <w:rsid w:val="0004206E"/>
    <w:rsid w:val="000420C1"/>
    <w:rsid w:val="0004211C"/>
    <w:rsid w:val="00042377"/>
    <w:rsid w:val="0004244D"/>
    <w:rsid w:val="000424D8"/>
    <w:rsid w:val="00042524"/>
    <w:rsid w:val="000425A3"/>
    <w:rsid w:val="00042649"/>
    <w:rsid w:val="0004271C"/>
    <w:rsid w:val="00042AA9"/>
    <w:rsid w:val="00042CF2"/>
    <w:rsid w:val="00042EF7"/>
    <w:rsid w:val="00042F8C"/>
    <w:rsid w:val="0004308C"/>
    <w:rsid w:val="00043176"/>
    <w:rsid w:val="00043249"/>
    <w:rsid w:val="00043367"/>
    <w:rsid w:val="000435CD"/>
    <w:rsid w:val="000436F0"/>
    <w:rsid w:val="00043724"/>
    <w:rsid w:val="00043784"/>
    <w:rsid w:val="0004378E"/>
    <w:rsid w:val="000438EB"/>
    <w:rsid w:val="00043975"/>
    <w:rsid w:val="00043B7F"/>
    <w:rsid w:val="00043B98"/>
    <w:rsid w:val="00043C03"/>
    <w:rsid w:val="00043D0A"/>
    <w:rsid w:val="00043DCC"/>
    <w:rsid w:val="00043FC0"/>
    <w:rsid w:val="000442B0"/>
    <w:rsid w:val="00044300"/>
    <w:rsid w:val="000446BB"/>
    <w:rsid w:val="000446D9"/>
    <w:rsid w:val="0004474E"/>
    <w:rsid w:val="000449DB"/>
    <w:rsid w:val="00044C1D"/>
    <w:rsid w:val="00044C26"/>
    <w:rsid w:val="00044D73"/>
    <w:rsid w:val="00044DA6"/>
    <w:rsid w:val="00044EC2"/>
    <w:rsid w:val="00044F28"/>
    <w:rsid w:val="00045075"/>
    <w:rsid w:val="000450DC"/>
    <w:rsid w:val="000451E4"/>
    <w:rsid w:val="00045367"/>
    <w:rsid w:val="00045389"/>
    <w:rsid w:val="00045531"/>
    <w:rsid w:val="00045738"/>
    <w:rsid w:val="00045767"/>
    <w:rsid w:val="0004579F"/>
    <w:rsid w:val="000457D2"/>
    <w:rsid w:val="00045853"/>
    <w:rsid w:val="00045888"/>
    <w:rsid w:val="000458F3"/>
    <w:rsid w:val="00045AAB"/>
    <w:rsid w:val="00045B3B"/>
    <w:rsid w:val="00045D4B"/>
    <w:rsid w:val="00045DCD"/>
    <w:rsid w:val="00045E73"/>
    <w:rsid w:val="00045EDF"/>
    <w:rsid w:val="00045FB4"/>
    <w:rsid w:val="00046014"/>
    <w:rsid w:val="000460E3"/>
    <w:rsid w:val="00046131"/>
    <w:rsid w:val="000462E0"/>
    <w:rsid w:val="000462E8"/>
    <w:rsid w:val="000463ED"/>
    <w:rsid w:val="00046456"/>
    <w:rsid w:val="00046466"/>
    <w:rsid w:val="00046B7A"/>
    <w:rsid w:val="00046C42"/>
    <w:rsid w:val="00047139"/>
    <w:rsid w:val="0004758A"/>
    <w:rsid w:val="000476C1"/>
    <w:rsid w:val="00047812"/>
    <w:rsid w:val="0004796E"/>
    <w:rsid w:val="00047A33"/>
    <w:rsid w:val="00047A70"/>
    <w:rsid w:val="00047AF7"/>
    <w:rsid w:val="00047C6A"/>
    <w:rsid w:val="00047D5E"/>
    <w:rsid w:val="00047E86"/>
    <w:rsid w:val="00047EAE"/>
    <w:rsid w:val="00047F14"/>
    <w:rsid w:val="00047F5C"/>
    <w:rsid w:val="00047F6D"/>
    <w:rsid w:val="00047F8C"/>
    <w:rsid w:val="00050154"/>
    <w:rsid w:val="0005023A"/>
    <w:rsid w:val="00050482"/>
    <w:rsid w:val="00050685"/>
    <w:rsid w:val="000506FD"/>
    <w:rsid w:val="00050724"/>
    <w:rsid w:val="0005074F"/>
    <w:rsid w:val="00050922"/>
    <w:rsid w:val="0005095F"/>
    <w:rsid w:val="00050B2C"/>
    <w:rsid w:val="00050B88"/>
    <w:rsid w:val="00050D9B"/>
    <w:rsid w:val="00050E2F"/>
    <w:rsid w:val="00050E36"/>
    <w:rsid w:val="00050EF1"/>
    <w:rsid w:val="00050F41"/>
    <w:rsid w:val="00051338"/>
    <w:rsid w:val="000513C8"/>
    <w:rsid w:val="00051439"/>
    <w:rsid w:val="00051565"/>
    <w:rsid w:val="00051866"/>
    <w:rsid w:val="00051872"/>
    <w:rsid w:val="000518B0"/>
    <w:rsid w:val="000519E0"/>
    <w:rsid w:val="00051AF1"/>
    <w:rsid w:val="00051B07"/>
    <w:rsid w:val="00051CF5"/>
    <w:rsid w:val="00051F24"/>
    <w:rsid w:val="00052027"/>
    <w:rsid w:val="000523D4"/>
    <w:rsid w:val="000524EA"/>
    <w:rsid w:val="000526CE"/>
    <w:rsid w:val="0005286A"/>
    <w:rsid w:val="000528CD"/>
    <w:rsid w:val="000528E9"/>
    <w:rsid w:val="00052967"/>
    <w:rsid w:val="00052B70"/>
    <w:rsid w:val="00052C02"/>
    <w:rsid w:val="00052D58"/>
    <w:rsid w:val="00053180"/>
    <w:rsid w:val="000531BF"/>
    <w:rsid w:val="0005341A"/>
    <w:rsid w:val="000539C7"/>
    <w:rsid w:val="000539E0"/>
    <w:rsid w:val="00053A83"/>
    <w:rsid w:val="00053B87"/>
    <w:rsid w:val="00053BD0"/>
    <w:rsid w:val="00053D30"/>
    <w:rsid w:val="00053D74"/>
    <w:rsid w:val="00053D87"/>
    <w:rsid w:val="00053DD8"/>
    <w:rsid w:val="00053E85"/>
    <w:rsid w:val="00054165"/>
    <w:rsid w:val="0005418D"/>
    <w:rsid w:val="00054614"/>
    <w:rsid w:val="0005462C"/>
    <w:rsid w:val="000546C9"/>
    <w:rsid w:val="00054818"/>
    <w:rsid w:val="00055061"/>
    <w:rsid w:val="00055082"/>
    <w:rsid w:val="00055291"/>
    <w:rsid w:val="00055397"/>
    <w:rsid w:val="000553F7"/>
    <w:rsid w:val="000555B7"/>
    <w:rsid w:val="0005567D"/>
    <w:rsid w:val="000558C9"/>
    <w:rsid w:val="000559E2"/>
    <w:rsid w:val="000559E4"/>
    <w:rsid w:val="00055A1F"/>
    <w:rsid w:val="00055BD0"/>
    <w:rsid w:val="00055D47"/>
    <w:rsid w:val="00055EE3"/>
    <w:rsid w:val="00055F8E"/>
    <w:rsid w:val="00055FB4"/>
    <w:rsid w:val="00056076"/>
    <w:rsid w:val="000561E5"/>
    <w:rsid w:val="000561F4"/>
    <w:rsid w:val="00056240"/>
    <w:rsid w:val="000562D0"/>
    <w:rsid w:val="00056399"/>
    <w:rsid w:val="00056410"/>
    <w:rsid w:val="00056721"/>
    <w:rsid w:val="00056812"/>
    <w:rsid w:val="000568DD"/>
    <w:rsid w:val="0005697A"/>
    <w:rsid w:val="000569F8"/>
    <w:rsid w:val="00056ECF"/>
    <w:rsid w:val="00056FC2"/>
    <w:rsid w:val="000570BA"/>
    <w:rsid w:val="000572BA"/>
    <w:rsid w:val="0005762F"/>
    <w:rsid w:val="0005772F"/>
    <w:rsid w:val="00057877"/>
    <w:rsid w:val="00057AD3"/>
    <w:rsid w:val="00057B1C"/>
    <w:rsid w:val="00057C05"/>
    <w:rsid w:val="00057C46"/>
    <w:rsid w:val="000600FA"/>
    <w:rsid w:val="00060382"/>
    <w:rsid w:val="0006050E"/>
    <w:rsid w:val="00060572"/>
    <w:rsid w:val="000605E7"/>
    <w:rsid w:val="0006066B"/>
    <w:rsid w:val="00060713"/>
    <w:rsid w:val="000607EF"/>
    <w:rsid w:val="00060855"/>
    <w:rsid w:val="00060C5C"/>
    <w:rsid w:val="00060C5F"/>
    <w:rsid w:val="00060D73"/>
    <w:rsid w:val="00060FC3"/>
    <w:rsid w:val="000611E3"/>
    <w:rsid w:val="000614B6"/>
    <w:rsid w:val="000614C9"/>
    <w:rsid w:val="00061520"/>
    <w:rsid w:val="00061537"/>
    <w:rsid w:val="00061689"/>
    <w:rsid w:val="00061843"/>
    <w:rsid w:val="0006187A"/>
    <w:rsid w:val="00061B6F"/>
    <w:rsid w:val="00061D25"/>
    <w:rsid w:val="00061D5A"/>
    <w:rsid w:val="00061E6C"/>
    <w:rsid w:val="00061E7D"/>
    <w:rsid w:val="0006236E"/>
    <w:rsid w:val="0006266C"/>
    <w:rsid w:val="000627B3"/>
    <w:rsid w:val="00062821"/>
    <w:rsid w:val="00062BB4"/>
    <w:rsid w:val="00062C83"/>
    <w:rsid w:val="00062C95"/>
    <w:rsid w:val="000633BB"/>
    <w:rsid w:val="000637F8"/>
    <w:rsid w:val="00063C67"/>
    <w:rsid w:val="00063DD6"/>
    <w:rsid w:val="00063E11"/>
    <w:rsid w:val="00064048"/>
    <w:rsid w:val="000640BD"/>
    <w:rsid w:val="000643E6"/>
    <w:rsid w:val="00064441"/>
    <w:rsid w:val="000648A8"/>
    <w:rsid w:val="00064980"/>
    <w:rsid w:val="00064AD3"/>
    <w:rsid w:val="00064C17"/>
    <w:rsid w:val="00064C92"/>
    <w:rsid w:val="00064D5E"/>
    <w:rsid w:val="00064DB5"/>
    <w:rsid w:val="00064F2B"/>
    <w:rsid w:val="00064FF0"/>
    <w:rsid w:val="0006511A"/>
    <w:rsid w:val="000651E7"/>
    <w:rsid w:val="000655D3"/>
    <w:rsid w:val="00065630"/>
    <w:rsid w:val="00065D03"/>
    <w:rsid w:val="00065EBA"/>
    <w:rsid w:val="00065ED1"/>
    <w:rsid w:val="00066078"/>
    <w:rsid w:val="000660DA"/>
    <w:rsid w:val="000665B2"/>
    <w:rsid w:val="000666A4"/>
    <w:rsid w:val="000666B4"/>
    <w:rsid w:val="00066776"/>
    <w:rsid w:val="00066CA4"/>
    <w:rsid w:val="00066E0A"/>
    <w:rsid w:val="00067062"/>
    <w:rsid w:val="000671E1"/>
    <w:rsid w:val="00067409"/>
    <w:rsid w:val="00067620"/>
    <w:rsid w:val="00067645"/>
    <w:rsid w:val="000676D5"/>
    <w:rsid w:val="000678DA"/>
    <w:rsid w:val="00067A96"/>
    <w:rsid w:val="00067B6E"/>
    <w:rsid w:val="00067F67"/>
    <w:rsid w:val="00070140"/>
    <w:rsid w:val="000704BF"/>
    <w:rsid w:val="00070946"/>
    <w:rsid w:val="00070B4E"/>
    <w:rsid w:val="00070CCE"/>
    <w:rsid w:val="00070D6B"/>
    <w:rsid w:val="0007107E"/>
    <w:rsid w:val="00071247"/>
    <w:rsid w:val="000712B2"/>
    <w:rsid w:val="000712CB"/>
    <w:rsid w:val="000713A2"/>
    <w:rsid w:val="00071578"/>
    <w:rsid w:val="00071582"/>
    <w:rsid w:val="00071693"/>
    <w:rsid w:val="00071894"/>
    <w:rsid w:val="00071BE9"/>
    <w:rsid w:val="00072054"/>
    <w:rsid w:val="000721E0"/>
    <w:rsid w:val="000721F1"/>
    <w:rsid w:val="00072388"/>
    <w:rsid w:val="00072492"/>
    <w:rsid w:val="0007251B"/>
    <w:rsid w:val="00072575"/>
    <w:rsid w:val="00072616"/>
    <w:rsid w:val="000726E0"/>
    <w:rsid w:val="0007279C"/>
    <w:rsid w:val="00072CE0"/>
    <w:rsid w:val="000730AB"/>
    <w:rsid w:val="00073153"/>
    <w:rsid w:val="000734A1"/>
    <w:rsid w:val="000734C3"/>
    <w:rsid w:val="000735BE"/>
    <w:rsid w:val="0007377E"/>
    <w:rsid w:val="00073E44"/>
    <w:rsid w:val="00073EA9"/>
    <w:rsid w:val="00073F1F"/>
    <w:rsid w:val="00074095"/>
    <w:rsid w:val="0007440B"/>
    <w:rsid w:val="000746D8"/>
    <w:rsid w:val="000748B4"/>
    <w:rsid w:val="00074AE5"/>
    <w:rsid w:val="00074B16"/>
    <w:rsid w:val="00074B2D"/>
    <w:rsid w:val="00074C67"/>
    <w:rsid w:val="00074EF9"/>
    <w:rsid w:val="00074FC5"/>
    <w:rsid w:val="000751D8"/>
    <w:rsid w:val="000756A9"/>
    <w:rsid w:val="00075754"/>
    <w:rsid w:val="000758A8"/>
    <w:rsid w:val="0007595E"/>
    <w:rsid w:val="00075967"/>
    <w:rsid w:val="000759E9"/>
    <w:rsid w:val="00075F4F"/>
    <w:rsid w:val="00075F87"/>
    <w:rsid w:val="00076047"/>
    <w:rsid w:val="000760AA"/>
    <w:rsid w:val="0007615A"/>
    <w:rsid w:val="0007629A"/>
    <w:rsid w:val="000762B7"/>
    <w:rsid w:val="00076427"/>
    <w:rsid w:val="00076554"/>
    <w:rsid w:val="0007659D"/>
    <w:rsid w:val="000765E8"/>
    <w:rsid w:val="00076818"/>
    <w:rsid w:val="000768E9"/>
    <w:rsid w:val="0007698B"/>
    <w:rsid w:val="00076A14"/>
    <w:rsid w:val="00076B53"/>
    <w:rsid w:val="00076C6C"/>
    <w:rsid w:val="00076E61"/>
    <w:rsid w:val="00076F54"/>
    <w:rsid w:val="00076FB6"/>
    <w:rsid w:val="00076FDD"/>
    <w:rsid w:val="0007700D"/>
    <w:rsid w:val="0007706A"/>
    <w:rsid w:val="0007710B"/>
    <w:rsid w:val="000773B5"/>
    <w:rsid w:val="00077471"/>
    <w:rsid w:val="00077558"/>
    <w:rsid w:val="00077596"/>
    <w:rsid w:val="0007761A"/>
    <w:rsid w:val="000777B7"/>
    <w:rsid w:val="00077A36"/>
    <w:rsid w:val="00077ADF"/>
    <w:rsid w:val="00077B7C"/>
    <w:rsid w:val="00077BDE"/>
    <w:rsid w:val="00077C1B"/>
    <w:rsid w:val="00077D26"/>
    <w:rsid w:val="00080105"/>
    <w:rsid w:val="0008016D"/>
    <w:rsid w:val="000801AB"/>
    <w:rsid w:val="000801F1"/>
    <w:rsid w:val="00080245"/>
    <w:rsid w:val="00080326"/>
    <w:rsid w:val="0008045B"/>
    <w:rsid w:val="000807B9"/>
    <w:rsid w:val="00080814"/>
    <w:rsid w:val="000808D5"/>
    <w:rsid w:val="0008097C"/>
    <w:rsid w:val="000809D6"/>
    <w:rsid w:val="00080B44"/>
    <w:rsid w:val="00080BB4"/>
    <w:rsid w:val="00080C2C"/>
    <w:rsid w:val="00080C43"/>
    <w:rsid w:val="00080E69"/>
    <w:rsid w:val="00080FF9"/>
    <w:rsid w:val="00080FFB"/>
    <w:rsid w:val="0008101E"/>
    <w:rsid w:val="00081040"/>
    <w:rsid w:val="00081204"/>
    <w:rsid w:val="00081329"/>
    <w:rsid w:val="0008141D"/>
    <w:rsid w:val="00081436"/>
    <w:rsid w:val="0008147E"/>
    <w:rsid w:val="00081498"/>
    <w:rsid w:val="000814BC"/>
    <w:rsid w:val="000816F9"/>
    <w:rsid w:val="0008189B"/>
    <w:rsid w:val="00081A64"/>
    <w:rsid w:val="0008225A"/>
    <w:rsid w:val="00082336"/>
    <w:rsid w:val="000823F1"/>
    <w:rsid w:val="000824DE"/>
    <w:rsid w:val="000826EE"/>
    <w:rsid w:val="00082A0B"/>
    <w:rsid w:val="00082AD5"/>
    <w:rsid w:val="00082AD6"/>
    <w:rsid w:val="00082B24"/>
    <w:rsid w:val="00082C53"/>
    <w:rsid w:val="000831C3"/>
    <w:rsid w:val="000832E9"/>
    <w:rsid w:val="000832FA"/>
    <w:rsid w:val="00083489"/>
    <w:rsid w:val="000835CB"/>
    <w:rsid w:val="00083771"/>
    <w:rsid w:val="00083BED"/>
    <w:rsid w:val="00083C48"/>
    <w:rsid w:val="00083C8C"/>
    <w:rsid w:val="00083D8B"/>
    <w:rsid w:val="00083E44"/>
    <w:rsid w:val="00084310"/>
    <w:rsid w:val="000843D8"/>
    <w:rsid w:val="000843EA"/>
    <w:rsid w:val="000843FD"/>
    <w:rsid w:val="000845CB"/>
    <w:rsid w:val="000846FE"/>
    <w:rsid w:val="00084706"/>
    <w:rsid w:val="00084A4C"/>
    <w:rsid w:val="00084C3B"/>
    <w:rsid w:val="00084D1D"/>
    <w:rsid w:val="00084D8D"/>
    <w:rsid w:val="00084FBD"/>
    <w:rsid w:val="00085087"/>
    <w:rsid w:val="0008513E"/>
    <w:rsid w:val="0008514F"/>
    <w:rsid w:val="00085169"/>
    <w:rsid w:val="00085180"/>
    <w:rsid w:val="000851A6"/>
    <w:rsid w:val="000851C6"/>
    <w:rsid w:val="0008571B"/>
    <w:rsid w:val="000857D2"/>
    <w:rsid w:val="000857F7"/>
    <w:rsid w:val="00085A7F"/>
    <w:rsid w:val="00085A8C"/>
    <w:rsid w:val="00085CCF"/>
    <w:rsid w:val="00085D22"/>
    <w:rsid w:val="00085DE7"/>
    <w:rsid w:val="00085DFF"/>
    <w:rsid w:val="00085E57"/>
    <w:rsid w:val="00085F98"/>
    <w:rsid w:val="00086091"/>
    <w:rsid w:val="000860AD"/>
    <w:rsid w:val="000860AE"/>
    <w:rsid w:val="00086149"/>
    <w:rsid w:val="0008624D"/>
    <w:rsid w:val="000863BD"/>
    <w:rsid w:val="00086720"/>
    <w:rsid w:val="000867A0"/>
    <w:rsid w:val="000868ED"/>
    <w:rsid w:val="00086B3F"/>
    <w:rsid w:val="00086BE6"/>
    <w:rsid w:val="00086E52"/>
    <w:rsid w:val="00086F08"/>
    <w:rsid w:val="00086F29"/>
    <w:rsid w:val="00086F5C"/>
    <w:rsid w:val="0008704A"/>
    <w:rsid w:val="000872B8"/>
    <w:rsid w:val="0008781E"/>
    <w:rsid w:val="00087922"/>
    <w:rsid w:val="00087D8C"/>
    <w:rsid w:val="00087E54"/>
    <w:rsid w:val="0009007B"/>
    <w:rsid w:val="00090135"/>
    <w:rsid w:val="000901C4"/>
    <w:rsid w:val="0009022D"/>
    <w:rsid w:val="000902F3"/>
    <w:rsid w:val="000903BE"/>
    <w:rsid w:val="000904E4"/>
    <w:rsid w:val="00090A1D"/>
    <w:rsid w:val="00090A4B"/>
    <w:rsid w:val="00090CAD"/>
    <w:rsid w:val="00090F36"/>
    <w:rsid w:val="00090F8E"/>
    <w:rsid w:val="0009105F"/>
    <w:rsid w:val="0009109E"/>
    <w:rsid w:val="00091422"/>
    <w:rsid w:val="000916B9"/>
    <w:rsid w:val="000918A5"/>
    <w:rsid w:val="000918FB"/>
    <w:rsid w:val="00091975"/>
    <w:rsid w:val="00091A7D"/>
    <w:rsid w:val="00091B61"/>
    <w:rsid w:val="00091C05"/>
    <w:rsid w:val="00091D59"/>
    <w:rsid w:val="00091D92"/>
    <w:rsid w:val="00091ED8"/>
    <w:rsid w:val="00091F34"/>
    <w:rsid w:val="00091F78"/>
    <w:rsid w:val="00092054"/>
    <w:rsid w:val="0009238A"/>
    <w:rsid w:val="000923C3"/>
    <w:rsid w:val="00092514"/>
    <w:rsid w:val="00092519"/>
    <w:rsid w:val="00092577"/>
    <w:rsid w:val="0009268E"/>
    <w:rsid w:val="00092790"/>
    <w:rsid w:val="00092857"/>
    <w:rsid w:val="00092966"/>
    <w:rsid w:val="00092A81"/>
    <w:rsid w:val="00092BBB"/>
    <w:rsid w:val="00092CB8"/>
    <w:rsid w:val="00092DE5"/>
    <w:rsid w:val="00092E03"/>
    <w:rsid w:val="00092E31"/>
    <w:rsid w:val="00092F88"/>
    <w:rsid w:val="00093060"/>
    <w:rsid w:val="000930A0"/>
    <w:rsid w:val="000930BE"/>
    <w:rsid w:val="000930D2"/>
    <w:rsid w:val="000936F5"/>
    <w:rsid w:val="00093B6B"/>
    <w:rsid w:val="00093F98"/>
    <w:rsid w:val="00093FF0"/>
    <w:rsid w:val="000944DF"/>
    <w:rsid w:val="000946D9"/>
    <w:rsid w:val="00094811"/>
    <w:rsid w:val="00094949"/>
    <w:rsid w:val="00094AA2"/>
    <w:rsid w:val="00094E6B"/>
    <w:rsid w:val="0009502A"/>
    <w:rsid w:val="00095312"/>
    <w:rsid w:val="00095440"/>
    <w:rsid w:val="000954D7"/>
    <w:rsid w:val="0009550D"/>
    <w:rsid w:val="0009563C"/>
    <w:rsid w:val="0009598E"/>
    <w:rsid w:val="00095996"/>
    <w:rsid w:val="00095B72"/>
    <w:rsid w:val="00095C48"/>
    <w:rsid w:val="00095CE9"/>
    <w:rsid w:val="00095F80"/>
    <w:rsid w:val="00095F90"/>
    <w:rsid w:val="00096239"/>
    <w:rsid w:val="00096246"/>
    <w:rsid w:val="0009634D"/>
    <w:rsid w:val="00096434"/>
    <w:rsid w:val="0009643D"/>
    <w:rsid w:val="00096441"/>
    <w:rsid w:val="0009665A"/>
    <w:rsid w:val="00096661"/>
    <w:rsid w:val="000967ED"/>
    <w:rsid w:val="0009687B"/>
    <w:rsid w:val="0009687E"/>
    <w:rsid w:val="00096A55"/>
    <w:rsid w:val="00096B60"/>
    <w:rsid w:val="00096CA5"/>
    <w:rsid w:val="00096CEE"/>
    <w:rsid w:val="00096DE8"/>
    <w:rsid w:val="00096FE6"/>
    <w:rsid w:val="0009705A"/>
    <w:rsid w:val="00097158"/>
    <w:rsid w:val="0009724B"/>
    <w:rsid w:val="00097339"/>
    <w:rsid w:val="0009735E"/>
    <w:rsid w:val="00097436"/>
    <w:rsid w:val="00097551"/>
    <w:rsid w:val="000975A4"/>
    <w:rsid w:val="00097604"/>
    <w:rsid w:val="000976C4"/>
    <w:rsid w:val="000979DB"/>
    <w:rsid w:val="00097AA7"/>
    <w:rsid w:val="00097B1B"/>
    <w:rsid w:val="00097C13"/>
    <w:rsid w:val="00097CD2"/>
    <w:rsid w:val="00097D46"/>
    <w:rsid w:val="00097E1D"/>
    <w:rsid w:val="00097F56"/>
    <w:rsid w:val="00097F76"/>
    <w:rsid w:val="000A00FF"/>
    <w:rsid w:val="000A01A6"/>
    <w:rsid w:val="000A071C"/>
    <w:rsid w:val="000A07F3"/>
    <w:rsid w:val="000A0945"/>
    <w:rsid w:val="000A0960"/>
    <w:rsid w:val="000A0A09"/>
    <w:rsid w:val="000A0A5C"/>
    <w:rsid w:val="000A0AF8"/>
    <w:rsid w:val="000A0B79"/>
    <w:rsid w:val="000A0BEA"/>
    <w:rsid w:val="000A0E76"/>
    <w:rsid w:val="000A0F83"/>
    <w:rsid w:val="000A103B"/>
    <w:rsid w:val="000A1045"/>
    <w:rsid w:val="000A11FD"/>
    <w:rsid w:val="000A129C"/>
    <w:rsid w:val="000A1344"/>
    <w:rsid w:val="000A13E8"/>
    <w:rsid w:val="000A1426"/>
    <w:rsid w:val="000A14E0"/>
    <w:rsid w:val="000A155E"/>
    <w:rsid w:val="000A15CC"/>
    <w:rsid w:val="000A1ED0"/>
    <w:rsid w:val="000A2098"/>
    <w:rsid w:val="000A2142"/>
    <w:rsid w:val="000A21B5"/>
    <w:rsid w:val="000A23C7"/>
    <w:rsid w:val="000A2446"/>
    <w:rsid w:val="000A2535"/>
    <w:rsid w:val="000A2673"/>
    <w:rsid w:val="000A26C0"/>
    <w:rsid w:val="000A26C7"/>
    <w:rsid w:val="000A2896"/>
    <w:rsid w:val="000A29F8"/>
    <w:rsid w:val="000A2B4D"/>
    <w:rsid w:val="000A2C2D"/>
    <w:rsid w:val="000A2D57"/>
    <w:rsid w:val="000A2D5C"/>
    <w:rsid w:val="000A2D89"/>
    <w:rsid w:val="000A2F8E"/>
    <w:rsid w:val="000A3061"/>
    <w:rsid w:val="000A309E"/>
    <w:rsid w:val="000A32A4"/>
    <w:rsid w:val="000A33B0"/>
    <w:rsid w:val="000A3456"/>
    <w:rsid w:val="000A34B6"/>
    <w:rsid w:val="000A3516"/>
    <w:rsid w:val="000A3632"/>
    <w:rsid w:val="000A386B"/>
    <w:rsid w:val="000A3874"/>
    <w:rsid w:val="000A3931"/>
    <w:rsid w:val="000A3981"/>
    <w:rsid w:val="000A3EAE"/>
    <w:rsid w:val="000A3EDD"/>
    <w:rsid w:val="000A3FF5"/>
    <w:rsid w:val="000A413C"/>
    <w:rsid w:val="000A4356"/>
    <w:rsid w:val="000A46DE"/>
    <w:rsid w:val="000A4C82"/>
    <w:rsid w:val="000A4E55"/>
    <w:rsid w:val="000A4FC2"/>
    <w:rsid w:val="000A52C7"/>
    <w:rsid w:val="000A5372"/>
    <w:rsid w:val="000A539F"/>
    <w:rsid w:val="000A5441"/>
    <w:rsid w:val="000A544A"/>
    <w:rsid w:val="000A559B"/>
    <w:rsid w:val="000A571E"/>
    <w:rsid w:val="000A58AF"/>
    <w:rsid w:val="000A5933"/>
    <w:rsid w:val="000A5982"/>
    <w:rsid w:val="000A59A4"/>
    <w:rsid w:val="000A5BF2"/>
    <w:rsid w:val="000A5DD9"/>
    <w:rsid w:val="000A5E18"/>
    <w:rsid w:val="000A5F56"/>
    <w:rsid w:val="000A5F6B"/>
    <w:rsid w:val="000A6143"/>
    <w:rsid w:val="000A617F"/>
    <w:rsid w:val="000A61A6"/>
    <w:rsid w:val="000A62B3"/>
    <w:rsid w:val="000A633D"/>
    <w:rsid w:val="000A6713"/>
    <w:rsid w:val="000A68A0"/>
    <w:rsid w:val="000A6CD2"/>
    <w:rsid w:val="000A6D08"/>
    <w:rsid w:val="000A70EE"/>
    <w:rsid w:val="000A7147"/>
    <w:rsid w:val="000A7407"/>
    <w:rsid w:val="000A752D"/>
    <w:rsid w:val="000A7746"/>
    <w:rsid w:val="000A7935"/>
    <w:rsid w:val="000A7A27"/>
    <w:rsid w:val="000A7CA6"/>
    <w:rsid w:val="000A7EBA"/>
    <w:rsid w:val="000A7EE6"/>
    <w:rsid w:val="000B01BF"/>
    <w:rsid w:val="000B028B"/>
    <w:rsid w:val="000B0303"/>
    <w:rsid w:val="000B03E9"/>
    <w:rsid w:val="000B0495"/>
    <w:rsid w:val="000B0784"/>
    <w:rsid w:val="000B078B"/>
    <w:rsid w:val="000B085F"/>
    <w:rsid w:val="000B096E"/>
    <w:rsid w:val="000B09A4"/>
    <w:rsid w:val="000B09B1"/>
    <w:rsid w:val="000B0A4A"/>
    <w:rsid w:val="000B0AB7"/>
    <w:rsid w:val="000B0BFE"/>
    <w:rsid w:val="000B0ED7"/>
    <w:rsid w:val="000B11EB"/>
    <w:rsid w:val="000B14C8"/>
    <w:rsid w:val="000B1785"/>
    <w:rsid w:val="000B1861"/>
    <w:rsid w:val="000B1BE6"/>
    <w:rsid w:val="000B1C07"/>
    <w:rsid w:val="000B1C08"/>
    <w:rsid w:val="000B1E31"/>
    <w:rsid w:val="000B1EB5"/>
    <w:rsid w:val="000B21D3"/>
    <w:rsid w:val="000B2260"/>
    <w:rsid w:val="000B25D6"/>
    <w:rsid w:val="000B25FE"/>
    <w:rsid w:val="000B2606"/>
    <w:rsid w:val="000B291E"/>
    <w:rsid w:val="000B2C1B"/>
    <w:rsid w:val="000B2CDA"/>
    <w:rsid w:val="000B2D62"/>
    <w:rsid w:val="000B2DF0"/>
    <w:rsid w:val="000B2E47"/>
    <w:rsid w:val="000B2E49"/>
    <w:rsid w:val="000B3244"/>
    <w:rsid w:val="000B3345"/>
    <w:rsid w:val="000B33CE"/>
    <w:rsid w:val="000B33F7"/>
    <w:rsid w:val="000B342F"/>
    <w:rsid w:val="000B35CC"/>
    <w:rsid w:val="000B3836"/>
    <w:rsid w:val="000B3DEC"/>
    <w:rsid w:val="000B3E15"/>
    <w:rsid w:val="000B4289"/>
    <w:rsid w:val="000B42A1"/>
    <w:rsid w:val="000B4431"/>
    <w:rsid w:val="000B4A1A"/>
    <w:rsid w:val="000B4C19"/>
    <w:rsid w:val="000B4C8F"/>
    <w:rsid w:val="000B4CC6"/>
    <w:rsid w:val="000B4F34"/>
    <w:rsid w:val="000B50A9"/>
    <w:rsid w:val="000B5223"/>
    <w:rsid w:val="000B5256"/>
    <w:rsid w:val="000B526D"/>
    <w:rsid w:val="000B528E"/>
    <w:rsid w:val="000B53CD"/>
    <w:rsid w:val="000B54D0"/>
    <w:rsid w:val="000B55F0"/>
    <w:rsid w:val="000B56AF"/>
    <w:rsid w:val="000B5708"/>
    <w:rsid w:val="000B5720"/>
    <w:rsid w:val="000B57B3"/>
    <w:rsid w:val="000B57FE"/>
    <w:rsid w:val="000B5957"/>
    <w:rsid w:val="000B5A2A"/>
    <w:rsid w:val="000B5B83"/>
    <w:rsid w:val="000B5E4C"/>
    <w:rsid w:val="000B61ED"/>
    <w:rsid w:val="000B62F2"/>
    <w:rsid w:val="000B6404"/>
    <w:rsid w:val="000B646E"/>
    <w:rsid w:val="000B6594"/>
    <w:rsid w:val="000B6611"/>
    <w:rsid w:val="000B6612"/>
    <w:rsid w:val="000B663C"/>
    <w:rsid w:val="000B677C"/>
    <w:rsid w:val="000B6913"/>
    <w:rsid w:val="000B6C60"/>
    <w:rsid w:val="000B6CAE"/>
    <w:rsid w:val="000B6E52"/>
    <w:rsid w:val="000B70B8"/>
    <w:rsid w:val="000B716A"/>
    <w:rsid w:val="000B71D2"/>
    <w:rsid w:val="000B71EA"/>
    <w:rsid w:val="000B7435"/>
    <w:rsid w:val="000B74CB"/>
    <w:rsid w:val="000B77B7"/>
    <w:rsid w:val="000B794F"/>
    <w:rsid w:val="000B7951"/>
    <w:rsid w:val="000B7C1A"/>
    <w:rsid w:val="000B7D55"/>
    <w:rsid w:val="000C01E0"/>
    <w:rsid w:val="000C05E9"/>
    <w:rsid w:val="000C0629"/>
    <w:rsid w:val="000C097E"/>
    <w:rsid w:val="000C0A82"/>
    <w:rsid w:val="000C0D16"/>
    <w:rsid w:val="000C0E0D"/>
    <w:rsid w:val="000C0E59"/>
    <w:rsid w:val="000C0EA5"/>
    <w:rsid w:val="000C0FAD"/>
    <w:rsid w:val="000C10C6"/>
    <w:rsid w:val="000C12BF"/>
    <w:rsid w:val="000C15B4"/>
    <w:rsid w:val="000C17F1"/>
    <w:rsid w:val="000C1C64"/>
    <w:rsid w:val="000C1D48"/>
    <w:rsid w:val="000C1D54"/>
    <w:rsid w:val="000C1EE5"/>
    <w:rsid w:val="000C1FD1"/>
    <w:rsid w:val="000C21B3"/>
    <w:rsid w:val="000C2307"/>
    <w:rsid w:val="000C237F"/>
    <w:rsid w:val="000C23CA"/>
    <w:rsid w:val="000C24AD"/>
    <w:rsid w:val="000C25D1"/>
    <w:rsid w:val="000C2608"/>
    <w:rsid w:val="000C260D"/>
    <w:rsid w:val="000C2630"/>
    <w:rsid w:val="000C276C"/>
    <w:rsid w:val="000C2A89"/>
    <w:rsid w:val="000C2AB2"/>
    <w:rsid w:val="000C2B70"/>
    <w:rsid w:val="000C2C69"/>
    <w:rsid w:val="000C2CB1"/>
    <w:rsid w:val="000C2CE0"/>
    <w:rsid w:val="000C2EE0"/>
    <w:rsid w:val="000C2FBA"/>
    <w:rsid w:val="000C2FDC"/>
    <w:rsid w:val="000C30FE"/>
    <w:rsid w:val="000C317E"/>
    <w:rsid w:val="000C3203"/>
    <w:rsid w:val="000C3431"/>
    <w:rsid w:val="000C353C"/>
    <w:rsid w:val="000C3589"/>
    <w:rsid w:val="000C35AA"/>
    <w:rsid w:val="000C3904"/>
    <w:rsid w:val="000C396A"/>
    <w:rsid w:val="000C3BDD"/>
    <w:rsid w:val="000C3BDE"/>
    <w:rsid w:val="000C4166"/>
    <w:rsid w:val="000C422B"/>
    <w:rsid w:val="000C444F"/>
    <w:rsid w:val="000C476D"/>
    <w:rsid w:val="000C4791"/>
    <w:rsid w:val="000C4A1D"/>
    <w:rsid w:val="000C4A29"/>
    <w:rsid w:val="000C4CB0"/>
    <w:rsid w:val="000C4E13"/>
    <w:rsid w:val="000C508D"/>
    <w:rsid w:val="000C5268"/>
    <w:rsid w:val="000C53BE"/>
    <w:rsid w:val="000C5580"/>
    <w:rsid w:val="000C57E3"/>
    <w:rsid w:val="000C5A50"/>
    <w:rsid w:val="000C5B59"/>
    <w:rsid w:val="000C5CC5"/>
    <w:rsid w:val="000C5D25"/>
    <w:rsid w:val="000C62C2"/>
    <w:rsid w:val="000C650E"/>
    <w:rsid w:val="000C652E"/>
    <w:rsid w:val="000C661B"/>
    <w:rsid w:val="000C6891"/>
    <w:rsid w:val="000C6896"/>
    <w:rsid w:val="000C6C84"/>
    <w:rsid w:val="000C6DE0"/>
    <w:rsid w:val="000C6ECF"/>
    <w:rsid w:val="000C704B"/>
    <w:rsid w:val="000C7180"/>
    <w:rsid w:val="000C7211"/>
    <w:rsid w:val="000C7306"/>
    <w:rsid w:val="000C782D"/>
    <w:rsid w:val="000C7866"/>
    <w:rsid w:val="000C7916"/>
    <w:rsid w:val="000C7ADF"/>
    <w:rsid w:val="000C7B2A"/>
    <w:rsid w:val="000C7BF5"/>
    <w:rsid w:val="000C7E11"/>
    <w:rsid w:val="000C7EA0"/>
    <w:rsid w:val="000C7F93"/>
    <w:rsid w:val="000D00BB"/>
    <w:rsid w:val="000D0133"/>
    <w:rsid w:val="000D01AA"/>
    <w:rsid w:val="000D075B"/>
    <w:rsid w:val="000D0915"/>
    <w:rsid w:val="000D09BA"/>
    <w:rsid w:val="000D09FC"/>
    <w:rsid w:val="000D0B17"/>
    <w:rsid w:val="000D0B30"/>
    <w:rsid w:val="000D0BA9"/>
    <w:rsid w:val="000D0BBE"/>
    <w:rsid w:val="000D0DD5"/>
    <w:rsid w:val="000D0E37"/>
    <w:rsid w:val="000D0E4B"/>
    <w:rsid w:val="000D12D2"/>
    <w:rsid w:val="000D142A"/>
    <w:rsid w:val="000D14D1"/>
    <w:rsid w:val="000D14F9"/>
    <w:rsid w:val="000D1514"/>
    <w:rsid w:val="000D151C"/>
    <w:rsid w:val="000D155E"/>
    <w:rsid w:val="000D1572"/>
    <w:rsid w:val="000D1576"/>
    <w:rsid w:val="000D175B"/>
    <w:rsid w:val="000D18DA"/>
    <w:rsid w:val="000D1AA2"/>
    <w:rsid w:val="000D1CA2"/>
    <w:rsid w:val="000D1E55"/>
    <w:rsid w:val="000D1F58"/>
    <w:rsid w:val="000D2085"/>
    <w:rsid w:val="000D2138"/>
    <w:rsid w:val="000D2194"/>
    <w:rsid w:val="000D21A7"/>
    <w:rsid w:val="000D22AB"/>
    <w:rsid w:val="000D24F7"/>
    <w:rsid w:val="000D29B5"/>
    <w:rsid w:val="000D2A64"/>
    <w:rsid w:val="000D2AA8"/>
    <w:rsid w:val="000D2B9D"/>
    <w:rsid w:val="000D309E"/>
    <w:rsid w:val="000D3387"/>
    <w:rsid w:val="000D3A73"/>
    <w:rsid w:val="000D3CE4"/>
    <w:rsid w:val="000D3D08"/>
    <w:rsid w:val="000D3D3B"/>
    <w:rsid w:val="000D3D7F"/>
    <w:rsid w:val="000D4116"/>
    <w:rsid w:val="000D42B7"/>
    <w:rsid w:val="000D42CE"/>
    <w:rsid w:val="000D432D"/>
    <w:rsid w:val="000D461A"/>
    <w:rsid w:val="000D473E"/>
    <w:rsid w:val="000D48CE"/>
    <w:rsid w:val="000D5106"/>
    <w:rsid w:val="000D5264"/>
    <w:rsid w:val="000D52E5"/>
    <w:rsid w:val="000D563C"/>
    <w:rsid w:val="000D5992"/>
    <w:rsid w:val="000D5BCC"/>
    <w:rsid w:val="000D5F86"/>
    <w:rsid w:val="000D5FEB"/>
    <w:rsid w:val="000D61DA"/>
    <w:rsid w:val="000D61E8"/>
    <w:rsid w:val="000D6621"/>
    <w:rsid w:val="000D6853"/>
    <w:rsid w:val="000D6A99"/>
    <w:rsid w:val="000D6AAC"/>
    <w:rsid w:val="000D6B7C"/>
    <w:rsid w:val="000D6F6E"/>
    <w:rsid w:val="000D730C"/>
    <w:rsid w:val="000D736E"/>
    <w:rsid w:val="000D7453"/>
    <w:rsid w:val="000D7482"/>
    <w:rsid w:val="000D795E"/>
    <w:rsid w:val="000D7A69"/>
    <w:rsid w:val="000D7BD4"/>
    <w:rsid w:val="000D7D0A"/>
    <w:rsid w:val="000D7EA4"/>
    <w:rsid w:val="000E00AF"/>
    <w:rsid w:val="000E0156"/>
    <w:rsid w:val="000E01D2"/>
    <w:rsid w:val="000E02B2"/>
    <w:rsid w:val="000E04ED"/>
    <w:rsid w:val="000E058B"/>
    <w:rsid w:val="000E0953"/>
    <w:rsid w:val="000E0AA8"/>
    <w:rsid w:val="000E0CB4"/>
    <w:rsid w:val="000E0CF9"/>
    <w:rsid w:val="000E1036"/>
    <w:rsid w:val="000E1129"/>
    <w:rsid w:val="000E11E2"/>
    <w:rsid w:val="000E1266"/>
    <w:rsid w:val="000E13F6"/>
    <w:rsid w:val="000E162C"/>
    <w:rsid w:val="000E1650"/>
    <w:rsid w:val="000E16C8"/>
    <w:rsid w:val="000E1917"/>
    <w:rsid w:val="000E1951"/>
    <w:rsid w:val="000E1ECD"/>
    <w:rsid w:val="000E242F"/>
    <w:rsid w:val="000E2538"/>
    <w:rsid w:val="000E2572"/>
    <w:rsid w:val="000E2676"/>
    <w:rsid w:val="000E26A1"/>
    <w:rsid w:val="000E26E1"/>
    <w:rsid w:val="000E26E4"/>
    <w:rsid w:val="000E281B"/>
    <w:rsid w:val="000E2B42"/>
    <w:rsid w:val="000E2E1E"/>
    <w:rsid w:val="000E2E9D"/>
    <w:rsid w:val="000E2EAD"/>
    <w:rsid w:val="000E2F2D"/>
    <w:rsid w:val="000E300C"/>
    <w:rsid w:val="000E3109"/>
    <w:rsid w:val="000E3188"/>
    <w:rsid w:val="000E3246"/>
    <w:rsid w:val="000E332C"/>
    <w:rsid w:val="000E35E9"/>
    <w:rsid w:val="000E37CD"/>
    <w:rsid w:val="000E37D5"/>
    <w:rsid w:val="000E3A3B"/>
    <w:rsid w:val="000E3B7C"/>
    <w:rsid w:val="000E3E19"/>
    <w:rsid w:val="000E3EF8"/>
    <w:rsid w:val="000E413E"/>
    <w:rsid w:val="000E42ED"/>
    <w:rsid w:val="000E440C"/>
    <w:rsid w:val="000E443D"/>
    <w:rsid w:val="000E4716"/>
    <w:rsid w:val="000E478F"/>
    <w:rsid w:val="000E479B"/>
    <w:rsid w:val="000E4871"/>
    <w:rsid w:val="000E4897"/>
    <w:rsid w:val="000E4965"/>
    <w:rsid w:val="000E4968"/>
    <w:rsid w:val="000E4997"/>
    <w:rsid w:val="000E4B0B"/>
    <w:rsid w:val="000E4B66"/>
    <w:rsid w:val="000E4B69"/>
    <w:rsid w:val="000E4CD8"/>
    <w:rsid w:val="000E4DE7"/>
    <w:rsid w:val="000E4E0D"/>
    <w:rsid w:val="000E51BA"/>
    <w:rsid w:val="000E51C0"/>
    <w:rsid w:val="000E533E"/>
    <w:rsid w:val="000E5662"/>
    <w:rsid w:val="000E567B"/>
    <w:rsid w:val="000E57D0"/>
    <w:rsid w:val="000E5802"/>
    <w:rsid w:val="000E5989"/>
    <w:rsid w:val="000E5C9A"/>
    <w:rsid w:val="000E5DA4"/>
    <w:rsid w:val="000E5E6D"/>
    <w:rsid w:val="000E5ED0"/>
    <w:rsid w:val="000E60A3"/>
    <w:rsid w:val="000E6251"/>
    <w:rsid w:val="000E6412"/>
    <w:rsid w:val="000E6966"/>
    <w:rsid w:val="000E6CA9"/>
    <w:rsid w:val="000E6EC4"/>
    <w:rsid w:val="000E6F54"/>
    <w:rsid w:val="000E6FA6"/>
    <w:rsid w:val="000E744B"/>
    <w:rsid w:val="000E7457"/>
    <w:rsid w:val="000E755C"/>
    <w:rsid w:val="000E79D9"/>
    <w:rsid w:val="000E7A41"/>
    <w:rsid w:val="000E7D54"/>
    <w:rsid w:val="000E7DDA"/>
    <w:rsid w:val="000E7F9E"/>
    <w:rsid w:val="000F0054"/>
    <w:rsid w:val="000F02D0"/>
    <w:rsid w:val="000F056D"/>
    <w:rsid w:val="000F056F"/>
    <w:rsid w:val="000F0570"/>
    <w:rsid w:val="000F062C"/>
    <w:rsid w:val="000F0AD3"/>
    <w:rsid w:val="000F0C4A"/>
    <w:rsid w:val="000F0F74"/>
    <w:rsid w:val="000F1485"/>
    <w:rsid w:val="000F175B"/>
    <w:rsid w:val="000F1A32"/>
    <w:rsid w:val="000F1B53"/>
    <w:rsid w:val="000F1B8E"/>
    <w:rsid w:val="000F1CCC"/>
    <w:rsid w:val="000F220A"/>
    <w:rsid w:val="000F24A1"/>
    <w:rsid w:val="000F24DD"/>
    <w:rsid w:val="000F2507"/>
    <w:rsid w:val="000F2640"/>
    <w:rsid w:val="000F279D"/>
    <w:rsid w:val="000F27B4"/>
    <w:rsid w:val="000F2AD6"/>
    <w:rsid w:val="000F2AF9"/>
    <w:rsid w:val="000F2B36"/>
    <w:rsid w:val="000F2C3B"/>
    <w:rsid w:val="000F2D61"/>
    <w:rsid w:val="000F314E"/>
    <w:rsid w:val="000F373F"/>
    <w:rsid w:val="000F3869"/>
    <w:rsid w:val="000F38C5"/>
    <w:rsid w:val="000F39F0"/>
    <w:rsid w:val="000F39F8"/>
    <w:rsid w:val="000F3A8B"/>
    <w:rsid w:val="000F3BFE"/>
    <w:rsid w:val="000F3D77"/>
    <w:rsid w:val="000F3D9A"/>
    <w:rsid w:val="000F3E88"/>
    <w:rsid w:val="000F437D"/>
    <w:rsid w:val="000F46CF"/>
    <w:rsid w:val="000F4770"/>
    <w:rsid w:val="000F4810"/>
    <w:rsid w:val="000F4897"/>
    <w:rsid w:val="000F4937"/>
    <w:rsid w:val="000F4A26"/>
    <w:rsid w:val="000F4A3D"/>
    <w:rsid w:val="000F4C2A"/>
    <w:rsid w:val="000F4DB7"/>
    <w:rsid w:val="000F4E83"/>
    <w:rsid w:val="000F50BE"/>
    <w:rsid w:val="000F50E1"/>
    <w:rsid w:val="000F517E"/>
    <w:rsid w:val="000F53A8"/>
    <w:rsid w:val="000F5437"/>
    <w:rsid w:val="000F5457"/>
    <w:rsid w:val="000F54A3"/>
    <w:rsid w:val="000F55EE"/>
    <w:rsid w:val="000F56ED"/>
    <w:rsid w:val="000F56FE"/>
    <w:rsid w:val="000F58D2"/>
    <w:rsid w:val="000F5B2A"/>
    <w:rsid w:val="000F5B7D"/>
    <w:rsid w:val="000F5C5F"/>
    <w:rsid w:val="000F5D58"/>
    <w:rsid w:val="000F5D69"/>
    <w:rsid w:val="000F5DE6"/>
    <w:rsid w:val="000F608B"/>
    <w:rsid w:val="000F60A0"/>
    <w:rsid w:val="000F6185"/>
    <w:rsid w:val="000F61E8"/>
    <w:rsid w:val="000F6207"/>
    <w:rsid w:val="000F6259"/>
    <w:rsid w:val="000F6BB7"/>
    <w:rsid w:val="000F6D99"/>
    <w:rsid w:val="000F6E1C"/>
    <w:rsid w:val="000F6E81"/>
    <w:rsid w:val="000F6FCA"/>
    <w:rsid w:val="000F706D"/>
    <w:rsid w:val="000F712B"/>
    <w:rsid w:val="000F7390"/>
    <w:rsid w:val="000F743E"/>
    <w:rsid w:val="000F7712"/>
    <w:rsid w:val="000F795E"/>
    <w:rsid w:val="000F7971"/>
    <w:rsid w:val="000F7A17"/>
    <w:rsid w:val="000F7BA3"/>
    <w:rsid w:val="000F7D05"/>
    <w:rsid w:val="0010015A"/>
    <w:rsid w:val="00100275"/>
    <w:rsid w:val="001005DF"/>
    <w:rsid w:val="001006F4"/>
    <w:rsid w:val="001007BC"/>
    <w:rsid w:val="00100999"/>
    <w:rsid w:val="001009F4"/>
    <w:rsid w:val="00100AA7"/>
    <w:rsid w:val="00100AD0"/>
    <w:rsid w:val="00100B5C"/>
    <w:rsid w:val="00100C7E"/>
    <w:rsid w:val="00100CEB"/>
    <w:rsid w:val="00100EB4"/>
    <w:rsid w:val="00101489"/>
    <w:rsid w:val="001014A6"/>
    <w:rsid w:val="00101679"/>
    <w:rsid w:val="001017D7"/>
    <w:rsid w:val="001019F3"/>
    <w:rsid w:val="001019F6"/>
    <w:rsid w:val="00101D54"/>
    <w:rsid w:val="00101DA5"/>
    <w:rsid w:val="00101DD1"/>
    <w:rsid w:val="00101FF7"/>
    <w:rsid w:val="0010203C"/>
    <w:rsid w:val="00102096"/>
    <w:rsid w:val="00102144"/>
    <w:rsid w:val="00102162"/>
    <w:rsid w:val="0010231B"/>
    <w:rsid w:val="00102390"/>
    <w:rsid w:val="001026B8"/>
    <w:rsid w:val="001028E7"/>
    <w:rsid w:val="00102C81"/>
    <w:rsid w:val="00102DF7"/>
    <w:rsid w:val="00102E09"/>
    <w:rsid w:val="00102E38"/>
    <w:rsid w:val="0010306A"/>
    <w:rsid w:val="001030C8"/>
    <w:rsid w:val="001031BA"/>
    <w:rsid w:val="001033C1"/>
    <w:rsid w:val="0010365F"/>
    <w:rsid w:val="0010378B"/>
    <w:rsid w:val="001037F1"/>
    <w:rsid w:val="001038E6"/>
    <w:rsid w:val="00103B53"/>
    <w:rsid w:val="00103E70"/>
    <w:rsid w:val="00103ED3"/>
    <w:rsid w:val="00104000"/>
    <w:rsid w:val="0010417D"/>
    <w:rsid w:val="001041D0"/>
    <w:rsid w:val="00104236"/>
    <w:rsid w:val="00104683"/>
    <w:rsid w:val="001048BD"/>
    <w:rsid w:val="0010494C"/>
    <w:rsid w:val="00104B20"/>
    <w:rsid w:val="00104C34"/>
    <w:rsid w:val="00104F2A"/>
    <w:rsid w:val="00104FB9"/>
    <w:rsid w:val="00105027"/>
    <w:rsid w:val="001052FE"/>
    <w:rsid w:val="001053B4"/>
    <w:rsid w:val="00105417"/>
    <w:rsid w:val="00105508"/>
    <w:rsid w:val="00105607"/>
    <w:rsid w:val="0010574B"/>
    <w:rsid w:val="001057D5"/>
    <w:rsid w:val="001058B6"/>
    <w:rsid w:val="00105AE8"/>
    <w:rsid w:val="00105CC8"/>
    <w:rsid w:val="00105F6E"/>
    <w:rsid w:val="001062D8"/>
    <w:rsid w:val="001064E7"/>
    <w:rsid w:val="00106517"/>
    <w:rsid w:val="0010669D"/>
    <w:rsid w:val="0010672B"/>
    <w:rsid w:val="00106879"/>
    <w:rsid w:val="001069B2"/>
    <w:rsid w:val="001069C9"/>
    <w:rsid w:val="00106A7B"/>
    <w:rsid w:val="00106AAA"/>
    <w:rsid w:val="00106B5E"/>
    <w:rsid w:val="00106DBA"/>
    <w:rsid w:val="0010709B"/>
    <w:rsid w:val="00107159"/>
    <w:rsid w:val="001072BA"/>
    <w:rsid w:val="0010731A"/>
    <w:rsid w:val="0010755B"/>
    <w:rsid w:val="0010757C"/>
    <w:rsid w:val="001075DA"/>
    <w:rsid w:val="001075F1"/>
    <w:rsid w:val="001077E4"/>
    <w:rsid w:val="001100E8"/>
    <w:rsid w:val="001100FE"/>
    <w:rsid w:val="0011012A"/>
    <w:rsid w:val="00110173"/>
    <w:rsid w:val="001103A3"/>
    <w:rsid w:val="001104D7"/>
    <w:rsid w:val="0011051F"/>
    <w:rsid w:val="00110640"/>
    <w:rsid w:val="0011071E"/>
    <w:rsid w:val="00110745"/>
    <w:rsid w:val="0011078E"/>
    <w:rsid w:val="001107D3"/>
    <w:rsid w:val="001108AC"/>
    <w:rsid w:val="001109DF"/>
    <w:rsid w:val="00110A3E"/>
    <w:rsid w:val="00110A84"/>
    <w:rsid w:val="00110E5B"/>
    <w:rsid w:val="00110E75"/>
    <w:rsid w:val="00110F12"/>
    <w:rsid w:val="00110F34"/>
    <w:rsid w:val="00110FE3"/>
    <w:rsid w:val="001110E9"/>
    <w:rsid w:val="0011111A"/>
    <w:rsid w:val="0011137B"/>
    <w:rsid w:val="00111388"/>
    <w:rsid w:val="00111420"/>
    <w:rsid w:val="001114F5"/>
    <w:rsid w:val="0011161F"/>
    <w:rsid w:val="00111751"/>
    <w:rsid w:val="00111774"/>
    <w:rsid w:val="00111D10"/>
    <w:rsid w:val="00111D24"/>
    <w:rsid w:val="00111EC8"/>
    <w:rsid w:val="001120A5"/>
    <w:rsid w:val="001121B0"/>
    <w:rsid w:val="001121D5"/>
    <w:rsid w:val="0011226E"/>
    <w:rsid w:val="00112427"/>
    <w:rsid w:val="00112444"/>
    <w:rsid w:val="00112611"/>
    <w:rsid w:val="0011265F"/>
    <w:rsid w:val="00112662"/>
    <w:rsid w:val="001126AA"/>
    <w:rsid w:val="001126EE"/>
    <w:rsid w:val="00112994"/>
    <w:rsid w:val="00112AA6"/>
    <w:rsid w:val="00112AB1"/>
    <w:rsid w:val="00112B76"/>
    <w:rsid w:val="00112DD8"/>
    <w:rsid w:val="00112F87"/>
    <w:rsid w:val="00113034"/>
    <w:rsid w:val="00113089"/>
    <w:rsid w:val="00113432"/>
    <w:rsid w:val="001135BE"/>
    <w:rsid w:val="001137D5"/>
    <w:rsid w:val="00113CDC"/>
    <w:rsid w:val="001140BE"/>
    <w:rsid w:val="001144B9"/>
    <w:rsid w:val="001147BD"/>
    <w:rsid w:val="001147DF"/>
    <w:rsid w:val="00114A68"/>
    <w:rsid w:val="00114A7F"/>
    <w:rsid w:val="00114AA2"/>
    <w:rsid w:val="00114B92"/>
    <w:rsid w:val="00114C84"/>
    <w:rsid w:val="00114D40"/>
    <w:rsid w:val="00114EF1"/>
    <w:rsid w:val="0011547B"/>
    <w:rsid w:val="00115630"/>
    <w:rsid w:val="001157E5"/>
    <w:rsid w:val="001158FC"/>
    <w:rsid w:val="0011590F"/>
    <w:rsid w:val="001159EF"/>
    <w:rsid w:val="00115B3C"/>
    <w:rsid w:val="00115BA6"/>
    <w:rsid w:val="00115EA5"/>
    <w:rsid w:val="00115F15"/>
    <w:rsid w:val="00115F3D"/>
    <w:rsid w:val="00116209"/>
    <w:rsid w:val="0011627E"/>
    <w:rsid w:val="00116281"/>
    <w:rsid w:val="00116462"/>
    <w:rsid w:val="00116471"/>
    <w:rsid w:val="001165BA"/>
    <w:rsid w:val="00116661"/>
    <w:rsid w:val="00116788"/>
    <w:rsid w:val="00116881"/>
    <w:rsid w:val="001169F7"/>
    <w:rsid w:val="00116BC0"/>
    <w:rsid w:val="00116BC4"/>
    <w:rsid w:val="00116BF5"/>
    <w:rsid w:val="00116E28"/>
    <w:rsid w:val="00116E3B"/>
    <w:rsid w:val="00116ED1"/>
    <w:rsid w:val="00116F26"/>
    <w:rsid w:val="0011703E"/>
    <w:rsid w:val="0011716F"/>
    <w:rsid w:val="0011725A"/>
    <w:rsid w:val="0011733C"/>
    <w:rsid w:val="00117356"/>
    <w:rsid w:val="0011736E"/>
    <w:rsid w:val="0011774D"/>
    <w:rsid w:val="001178ED"/>
    <w:rsid w:val="00117955"/>
    <w:rsid w:val="00117AA2"/>
    <w:rsid w:val="00117BF6"/>
    <w:rsid w:val="00117C1F"/>
    <w:rsid w:val="00117C9A"/>
    <w:rsid w:val="00117EFB"/>
    <w:rsid w:val="0012015E"/>
    <w:rsid w:val="00120274"/>
    <w:rsid w:val="0012027A"/>
    <w:rsid w:val="00120348"/>
    <w:rsid w:val="001204CC"/>
    <w:rsid w:val="0012051B"/>
    <w:rsid w:val="0012052C"/>
    <w:rsid w:val="00120768"/>
    <w:rsid w:val="00120861"/>
    <w:rsid w:val="00120907"/>
    <w:rsid w:val="001209E2"/>
    <w:rsid w:val="001209E7"/>
    <w:rsid w:val="00120A2D"/>
    <w:rsid w:val="00120AAB"/>
    <w:rsid w:val="00120AF4"/>
    <w:rsid w:val="00120E64"/>
    <w:rsid w:val="00120F04"/>
    <w:rsid w:val="00120F35"/>
    <w:rsid w:val="00120F88"/>
    <w:rsid w:val="0012101F"/>
    <w:rsid w:val="00121357"/>
    <w:rsid w:val="00121420"/>
    <w:rsid w:val="00121577"/>
    <w:rsid w:val="001215E6"/>
    <w:rsid w:val="00121697"/>
    <w:rsid w:val="001216C0"/>
    <w:rsid w:val="001218FF"/>
    <w:rsid w:val="00121ABB"/>
    <w:rsid w:val="00121DA9"/>
    <w:rsid w:val="00121F4C"/>
    <w:rsid w:val="00121F85"/>
    <w:rsid w:val="00122146"/>
    <w:rsid w:val="0012214E"/>
    <w:rsid w:val="00122181"/>
    <w:rsid w:val="001222BD"/>
    <w:rsid w:val="0012249A"/>
    <w:rsid w:val="00122538"/>
    <w:rsid w:val="001225BB"/>
    <w:rsid w:val="00122715"/>
    <w:rsid w:val="0012276E"/>
    <w:rsid w:val="0012277E"/>
    <w:rsid w:val="0012289A"/>
    <w:rsid w:val="00122904"/>
    <w:rsid w:val="0012290E"/>
    <w:rsid w:val="00122B57"/>
    <w:rsid w:val="00122BF9"/>
    <w:rsid w:val="00122D2C"/>
    <w:rsid w:val="00122E06"/>
    <w:rsid w:val="00122EFD"/>
    <w:rsid w:val="00123081"/>
    <w:rsid w:val="00123202"/>
    <w:rsid w:val="00123443"/>
    <w:rsid w:val="001236B9"/>
    <w:rsid w:val="00123880"/>
    <w:rsid w:val="001239A2"/>
    <w:rsid w:val="00123A24"/>
    <w:rsid w:val="00123C58"/>
    <w:rsid w:val="00123DB3"/>
    <w:rsid w:val="0012413E"/>
    <w:rsid w:val="001241FC"/>
    <w:rsid w:val="00124294"/>
    <w:rsid w:val="001246BC"/>
    <w:rsid w:val="001247DF"/>
    <w:rsid w:val="001247EC"/>
    <w:rsid w:val="00124B48"/>
    <w:rsid w:val="00124D8C"/>
    <w:rsid w:val="00124DFD"/>
    <w:rsid w:val="00124F33"/>
    <w:rsid w:val="00125020"/>
    <w:rsid w:val="00125147"/>
    <w:rsid w:val="0012529B"/>
    <w:rsid w:val="001252FC"/>
    <w:rsid w:val="00125309"/>
    <w:rsid w:val="001253DF"/>
    <w:rsid w:val="00125641"/>
    <w:rsid w:val="00125833"/>
    <w:rsid w:val="00125875"/>
    <w:rsid w:val="00125A74"/>
    <w:rsid w:val="00125ABB"/>
    <w:rsid w:val="00125B37"/>
    <w:rsid w:val="00126143"/>
    <w:rsid w:val="001261D7"/>
    <w:rsid w:val="00126343"/>
    <w:rsid w:val="00126568"/>
    <w:rsid w:val="001267CB"/>
    <w:rsid w:val="00126970"/>
    <w:rsid w:val="00126E2A"/>
    <w:rsid w:val="00126F49"/>
    <w:rsid w:val="00127176"/>
    <w:rsid w:val="0012718F"/>
    <w:rsid w:val="0012738F"/>
    <w:rsid w:val="0012779F"/>
    <w:rsid w:val="00127820"/>
    <w:rsid w:val="001279E8"/>
    <w:rsid w:val="00127A93"/>
    <w:rsid w:val="00130039"/>
    <w:rsid w:val="00130194"/>
    <w:rsid w:val="001301BC"/>
    <w:rsid w:val="00130217"/>
    <w:rsid w:val="0013027D"/>
    <w:rsid w:val="00130343"/>
    <w:rsid w:val="001307CC"/>
    <w:rsid w:val="0013084F"/>
    <w:rsid w:val="001309F7"/>
    <w:rsid w:val="00130D79"/>
    <w:rsid w:val="00130D8A"/>
    <w:rsid w:val="00130E00"/>
    <w:rsid w:val="00131075"/>
    <w:rsid w:val="001312FE"/>
    <w:rsid w:val="00131528"/>
    <w:rsid w:val="001316B8"/>
    <w:rsid w:val="001316F5"/>
    <w:rsid w:val="00131735"/>
    <w:rsid w:val="0013176E"/>
    <w:rsid w:val="001317DC"/>
    <w:rsid w:val="00131A2B"/>
    <w:rsid w:val="00131B19"/>
    <w:rsid w:val="00131D8E"/>
    <w:rsid w:val="00131E5A"/>
    <w:rsid w:val="00131ED2"/>
    <w:rsid w:val="00132060"/>
    <w:rsid w:val="0013207E"/>
    <w:rsid w:val="001328B4"/>
    <w:rsid w:val="00132985"/>
    <w:rsid w:val="001329D6"/>
    <w:rsid w:val="001329F2"/>
    <w:rsid w:val="00132BCE"/>
    <w:rsid w:val="00132C11"/>
    <w:rsid w:val="00132C1B"/>
    <w:rsid w:val="00132CB2"/>
    <w:rsid w:val="0013318A"/>
    <w:rsid w:val="00133279"/>
    <w:rsid w:val="0013345F"/>
    <w:rsid w:val="001334FE"/>
    <w:rsid w:val="001335A2"/>
    <w:rsid w:val="001336E1"/>
    <w:rsid w:val="00133797"/>
    <w:rsid w:val="001338A5"/>
    <w:rsid w:val="00133A11"/>
    <w:rsid w:val="00133B3C"/>
    <w:rsid w:val="00133C19"/>
    <w:rsid w:val="00133C1E"/>
    <w:rsid w:val="00133C89"/>
    <w:rsid w:val="00133D7A"/>
    <w:rsid w:val="00133FF7"/>
    <w:rsid w:val="00134010"/>
    <w:rsid w:val="00134142"/>
    <w:rsid w:val="001342A5"/>
    <w:rsid w:val="001343AF"/>
    <w:rsid w:val="001347F7"/>
    <w:rsid w:val="001348BE"/>
    <w:rsid w:val="00134E32"/>
    <w:rsid w:val="00134ED7"/>
    <w:rsid w:val="00135049"/>
    <w:rsid w:val="001350F7"/>
    <w:rsid w:val="00135506"/>
    <w:rsid w:val="00135591"/>
    <w:rsid w:val="0013568B"/>
    <w:rsid w:val="00135708"/>
    <w:rsid w:val="001358E2"/>
    <w:rsid w:val="00135922"/>
    <w:rsid w:val="00135986"/>
    <w:rsid w:val="00135BF8"/>
    <w:rsid w:val="00135EA3"/>
    <w:rsid w:val="00135F04"/>
    <w:rsid w:val="00135F87"/>
    <w:rsid w:val="001360B7"/>
    <w:rsid w:val="00136223"/>
    <w:rsid w:val="00136379"/>
    <w:rsid w:val="0013662C"/>
    <w:rsid w:val="00136641"/>
    <w:rsid w:val="00136848"/>
    <w:rsid w:val="00136A55"/>
    <w:rsid w:val="00136C3C"/>
    <w:rsid w:val="00136CFA"/>
    <w:rsid w:val="00136D24"/>
    <w:rsid w:val="00136F2F"/>
    <w:rsid w:val="00136F67"/>
    <w:rsid w:val="001370E5"/>
    <w:rsid w:val="00137104"/>
    <w:rsid w:val="0013718F"/>
    <w:rsid w:val="001372BB"/>
    <w:rsid w:val="00137458"/>
    <w:rsid w:val="001375F5"/>
    <w:rsid w:val="0013776E"/>
    <w:rsid w:val="0013791A"/>
    <w:rsid w:val="00137AB4"/>
    <w:rsid w:val="00137B2E"/>
    <w:rsid w:val="00137BAB"/>
    <w:rsid w:val="00137FEE"/>
    <w:rsid w:val="00137FF6"/>
    <w:rsid w:val="001403E7"/>
    <w:rsid w:val="0014049D"/>
    <w:rsid w:val="001404DE"/>
    <w:rsid w:val="0014093A"/>
    <w:rsid w:val="00140A33"/>
    <w:rsid w:val="00140DD2"/>
    <w:rsid w:val="00140E35"/>
    <w:rsid w:val="00141071"/>
    <w:rsid w:val="00141171"/>
    <w:rsid w:val="0014164F"/>
    <w:rsid w:val="00141855"/>
    <w:rsid w:val="001419B3"/>
    <w:rsid w:val="00141B40"/>
    <w:rsid w:val="00141CE8"/>
    <w:rsid w:val="00141D00"/>
    <w:rsid w:val="00141F85"/>
    <w:rsid w:val="0014203D"/>
    <w:rsid w:val="00142191"/>
    <w:rsid w:val="00142237"/>
    <w:rsid w:val="001423BA"/>
    <w:rsid w:val="00142449"/>
    <w:rsid w:val="00142698"/>
    <w:rsid w:val="001426C2"/>
    <w:rsid w:val="00142C76"/>
    <w:rsid w:val="00142C80"/>
    <w:rsid w:val="00142E08"/>
    <w:rsid w:val="00142F7F"/>
    <w:rsid w:val="00143151"/>
    <w:rsid w:val="001431CC"/>
    <w:rsid w:val="0014323C"/>
    <w:rsid w:val="00143254"/>
    <w:rsid w:val="00143256"/>
    <w:rsid w:val="00143383"/>
    <w:rsid w:val="001436EE"/>
    <w:rsid w:val="0014374D"/>
    <w:rsid w:val="001438A2"/>
    <w:rsid w:val="001438CB"/>
    <w:rsid w:val="001439EB"/>
    <w:rsid w:val="00143B36"/>
    <w:rsid w:val="00143B88"/>
    <w:rsid w:val="00143B92"/>
    <w:rsid w:val="00143E62"/>
    <w:rsid w:val="001445CF"/>
    <w:rsid w:val="00144674"/>
    <w:rsid w:val="001448BE"/>
    <w:rsid w:val="00144A1D"/>
    <w:rsid w:val="00144AFD"/>
    <w:rsid w:val="00144E55"/>
    <w:rsid w:val="00144FF1"/>
    <w:rsid w:val="00145239"/>
    <w:rsid w:val="001452C3"/>
    <w:rsid w:val="0014550B"/>
    <w:rsid w:val="00145695"/>
    <w:rsid w:val="0014570F"/>
    <w:rsid w:val="00145B61"/>
    <w:rsid w:val="00145BC2"/>
    <w:rsid w:val="00145CD9"/>
    <w:rsid w:val="00145E8F"/>
    <w:rsid w:val="00145F35"/>
    <w:rsid w:val="00145F90"/>
    <w:rsid w:val="00146121"/>
    <w:rsid w:val="00146238"/>
    <w:rsid w:val="00146401"/>
    <w:rsid w:val="00146448"/>
    <w:rsid w:val="001464FC"/>
    <w:rsid w:val="0014654A"/>
    <w:rsid w:val="001465BE"/>
    <w:rsid w:val="00146622"/>
    <w:rsid w:val="00146674"/>
    <w:rsid w:val="001467B8"/>
    <w:rsid w:val="001469D7"/>
    <w:rsid w:val="00146A37"/>
    <w:rsid w:val="00146ACD"/>
    <w:rsid w:val="00146B28"/>
    <w:rsid w:val="00146C64"/>
    <w:rsid w:val="00146F9F"/>
    <w:rsid w:val="00147135"/>
    <w:rsid w:val="00147154"/>
    <w:rsid w:val="001471BC"/>
    <w:rsid w:val="00147220"/>
    <w:rsid w:val="00147370"/>
    <w:rsid w:val="00147576"/>
    <w:rsid w:val="0014758C"/>
    <w:rsid w:val="00147875"/>
    <w:rsid w:val="00147AB7"/>
    <w:rsid w:val="00147B04"/>
    <w:rsid w:val="001500C0"/>
    <w:rsid w:val="001500DE"/>
    <w:rsid w:val="00150243"/>
    <w:rsid w:val="0015024D"/>
    <w:rsid w:val="00150332"/>
    <w:rsid w:val="00150435"/>
    <w:rsid w:val="00150490"/>
    <w:rsid w:val="001508AA"/>
    <w:rsid w:val="00150ABC"/>
    <w:rsid w:val="00150C0C"/>
    <w:rsid w:val="00150FEA"/>
    <w:rsid w:val="0015114E"/>
    <w:rsid w:val="001511FB"/>
    <w:rsid w:val="0015122C"/>
    <w:rsid w:val="00151631"/>
    <w:rsid w:val="0015173B"/>
    <w:rsid w:val="00151758"/>
    <w:rsid w:val="00151879"/>
    <w:rsid w:val="00151AE0"/>
    <w:rsid w:val="00151D63"/>
    <w:rsid w:val="00151E10"/>
    <w:rsid w:val="00151F6A"/>
    <w:rsid w:val="00151F7A"/>
    <w:rsid w:val="0015219F"/>
    <w:rsid w:val="001521F3"/>
    <w:rsid w:val="00152257"/>
    <w:rsid w:val="00152310"/>
    <w:rsid w:val="0015236B"/>
    <w:rsid w:val="0015252F"/>
    <w:rsid w:val="001525E4"/>
    <w:rsid w:val="00152933"/>
    <w:rsid w:val="00152A7A"/>
    <w:rsid w:val="00152AED"/>
    <w:rsid w:val="00152AFA"/>
    <w:rsid w:val="00152C09"/>
    <w:rsid w:val="00152DBE"/>
    <w:rsid w:val="00152ED6"/>
    <w:rsid w:val="0015334E"/>
    <w:rsid w:val="001533C2"/>
    <w:rsid w:val="001535F8"/>
    <w:rsid w:val="0015376B"/>
    <w:rsid w:val="001539CE"/>
    <w:rsid w:val="00153B55"/>
    <w:rsid w:val="00153CA5"/>
    <w:rsid w:val="00153D92"/>
    <w:rsid w:val="00153EDF"/>
    <w:rsid w:val="00153FC7"/>
    <w:rsid w:val="0015409A"/>
    <w:rsid w:val="0015409D"/>
    <w:rsid w:val="001540CD"/>
    <w:rsid w:val="001540E9"/>
    <w:rsid w:val="0015428B"/>
    <w:rsid w:val="001542FC"/>
    <w:rsid w:val="00154377"/>
    <w:rsid w:val="00154519"/>
    <w:rsid w:val="0015452B"/>
    <w:rsid w:val="001546B1"/>
    <w:rsid w:val="001547DC"/>
    <w:rsid w:val="0015481F"/>
    <w:rsid w:val="00154885"/>
    <w:rsid w:val="001549EA"/>
    <w:rsid w:val="00154A4B"/>
    <w:rsid w:val="00154ACD"/>
    <w:rsid w:val="00154B81"/>
    <w:rsid w:val="0015553F"/>
    <w:rsid w:val="0015568F"/>
    <w:rsid w:val="001557BE"/>
    <w:rsid w:val="001558B7"/>
    <w:rsid w:val="00155A45"/>
    <w:rsid w:val="00155BED"/>
    <w:rsid w:val="00155C29"/>
    <w:rsid w:val="00155C72"/>
    <w:rsid w:val="00155C9E"/>
    <w:rsid w:val="00155F59"/>
    <w:rsid w:val="00155FC8"/>
    <w:rsid w:val="001560D8"/>
    <w:rsid w:val="00156189"/>
    <w:rsid w:val="001561F9"/>
    <w:rsid w:val="00156246"/>
    <w:rsid w:val="00156590"/>
    <w:rsid w:val="00156637"/>
    <w:rsid w:val="0015674E"/>
    <w:rsid w:val="00156829"/>
    <w:rsid w:val="0015694E"/>
    <w:rsid w:val="00156966"/>
    <w:rsid w:val="001569FB"/>
    <w:rsid w:val="00156AB4"/>
    <w:rsid w:val="00156BE8"/>
    <w:rsid w:val="00156D59"/>
    <w:rsid w:val="00156E72"/>
    <w:rsid w:val="00157072"/>
    <w:rsid w:val="0015709B"/>
    <w:rsid w:val="00157145"/>
    <w:rsid w:val="00157173"/>
    <w:rsid w:val="001571D4"/>
    <w:rsid w:val="001575B5"/>
    <w:rsid w:val="0015776B"/>
    <w:rsid w:val="001579F9"/>
    <w:rsid w:val="00157A45"/>
    <w:rsid w:val="00157AC8"/>
    <w:rsid w:val="00157AE3"/>
    <w:rsid w:val="00157D29"/>
    <w:rsid w:val="00157E11"/>
    <w:rsid w:val="00157E18"/>
    <w:rsid w:val="00157EC7"/>
    <w:rsid w:val="0016004C"/>
    <w:rsid w:val="00160131"/>
    <w:rsid w:val="00160187"/>
    <w:rsid w:val="00160188"/>
    <w:rsid w:val="001601E8"/>
    <w:rsid w:val="001603B7"/>
    <w:rsid w:val="001603C9"/>
    <w:rsid w:val="001607BE"/>
    <w:rsid w:val="001607CF"/>
    <w:rsid w:val="00160826"/>
    <w:rsid w:val="00160905"/>
    <w:rsid w:val="0016099F"/>
    <w:rsid w:val="00160A95"/>
    <w:rsid w:val="00160E51"/>
    <w:rsid w:val="00160FA8"/>
    <w:rsid w:val="00161114"/>
    <w:rsid w:val="001614DE"/>
    <w:rsid w:val="00161559"/>
    <w:rsid w:val="001615A0"/>
    <w:rsid w:val="001615D0"/>
    <w:rsid w:val="0016186C"/>
    <w:rsid w:val="00161981"/>
    <w:rsid w:val="00161992"/>
    <w:rsid w:val="00161C68"/>
    <w:rsid w:val="00161E33"/>
    <w:rsid w:val="00161EBE"/>
    <w:rsid w:val="00161EF9"/>
    <w:rsid w:val="00161FE9"/>
    <w:rsid w:val="001620AB"/>
    <w:rsid w:val="00162165"/>
    <w:rsid w:val="001623FD"/>
    <w:rsid w:val="0016246E"/>
    <w:rsid w:val="001624BD"/>
    <w:rsid w:val="00162722"/>
    <w:rsid w:val="001627A6"/>
    <w:rsid w:val="00162846"/>
    <w:rsid w:val="0016286E"/>
    <w:rsid w:val="00162883"/>
    <w:rsid w:val="00162A1E"/>
    <w:rsid w:val="00162C76"/>
    <w:rsid w:val="00162C87"/>
    <w:rsid w:val="00162DD6"/>
    <w:rsid w:val="0016326B"/>
    <w:rsid w:val="001634A8"/>
    <w:rsid w:val="001634D8"/>
    <w:rsid w:val="001634DA"/>
    <w:rsid w:val="001637EB"/>
    <w:rsid w:val="00163A2E"/>
    <w:rsid w:val="00163B3F"/>
    <w:rsid w:val="001640FA"/>
    <w:rsid w:val="001641B1"/>
    <w:rsid w:val="0016439C"/>
    <w:rsid w:val="001644BB"/>
    <w:rsid w:val="00164580"/>
    <w:rsid w:val="0016460D"/>
    <w:rsid w:val="001647E4"/>
    <w:rsid w:val="00164905"/>
    <w:rsid w:val="00164ADE"/>
    <w:rsid w:val="00164C14"/>
    <w:rsid w:val="00164CC2"/>
    <w:rsid w:val="00164FFC"/>
    <w:rsid w:val="001653EC"/>
    <w:rsid w:val="001654A3"/>
    <w:rsid w:val="00165632"/>
    <w:rsid w:val="0016581D"/>
    <w:rsid w:val="0016588F"/>
    <w:rsid w:val="00165B37"/>
    <w:rsid w:val="00165C1B"/>
    <w:rsid w:val="00165DA5"/>
    <w:rsid w:val="00165ECA"/>
    <w:rsid w:val="0016603E"/>
    <w:rsid w:val="0016608D"/>
    <w:rsid w:val="001663F9"/>
    <w:rsid w:val="0016644F"/>
    <w:rsid w:val="001664D4"/>
    <w:rsid w:val="0016656A"/>
    <w:rsid w:val="0016670F"/>
    <w:rsid w:val="0016673E"/>
    <w:rsid w:val="0016694E"/>
    <w:rsid w:val="001669C4"/>
    <w:rsid w:val="00166B81"/>
    <w:rsid w:val="00166BDA"/>
    <w:rsid w:val="00166F1C"/>
    <w:rsid w:val="0016711A"/>
    <w:rsid w:val="00167229"/>
    <w:rsid w:val="001672EF"/>
    <w:rsid w:val="0016744B"/>
    <w:rsid w:val="0016758A"/>
    <w:rsid w:val="0016763A"/>
    <w:rsid w:val="001676E7"/>
    <w:rsid w:val="00167860"/>
    <w:rsid w:val="0016789F"/>
    <w:rsid w:val="00167915"/>
    <w:rsid w:val="00167A22"/>
    <w:rsid w:val="00167DAE"/>
    <w:rsid w:val="00167FAE"/>
    <w:rsid w:val="001705F7"/>
    <w:rsid w:val="00170727"/>
    <w:rsid w:val="001707DE"/>
    <w:rsid w:val="001707F3"/>
    <w:rsid w:val="0017098C"/>
    <w:rsid w:val="00170DBB"/>
    <w:rsid w:val="00170DBF"/>
    <w:rsid w:val="00170E5B"/>
    <w:rsid w:val="00170F2F"/>
    <w:rsid w:val="00170FBE"/>
    <w:rsid w:val="00170FCB"/>
    <w:rsid w:val="0017106A"/>
    <w:rsid w:val="0017110A"/>
    <w:rsid w:val="00171134"/>
    <w:rsid w:val="001711D1"/>
    <w:rsid w:val="001712F1"/>
    <w:rsid w:val="001713AC"/>
    <w:rsid w:val="00171462"/>
    <w:rsid w:val="001715A3"/>
    <w:rsid w:val="00171639"/>
    <w:rsid w:val="001716F9"/>
    <w:rsid w:val="00171815"/>
    <w:rsid w:val="00171A3E"/>
    <w:rsid w:val="00171BD1"/>
    <w:rsid w:val="00171BFE"/>
    <w:rsid w:val="00171C4A"/>
    <w:rsid w:val="00171CB2"/>
    <w:rsid w:val="00171D9C"/>
    <w:rsid w:val="00171E9B"/>
    <w:rsid w:val="00172020"/>
    <w:rsid w:val="0017213D"/>
    <w:rsid w:val="00172263"/>
    <w:rsid w:val="0017247C"/>
    <w:rsid w:val="001727F6"/>
    <w:rsid w:val="001727F7"/>
    <w:rsid w:val="0017292B"/>
    <w:rsid w:val="00172A27"/>
    <w:rsid w:val="00172D81"/>
    <w:rsid w:val="00172F95"/>
    <w:rsid w:val="001730E5"/>
    <w:rsid w:val="00173169"/>
    <w:rsid w:val="0017330C"/>
    <w:rsid w:val="001734AC"/>
    <w:rsid w:val="0017355F"/>
    <w:rsid w:val="00173767"/>
    <w:rsid w:val="0017386F"/>
    <w:rsid w:val="00173B89"/>
    <w:rsid w:val="0017415A"/>
    <w:rsid w:val="0017418E"/>
    <w:rsid w:val="00174314"/>
    <w:rsid w:val="0017435A"/>
    <w:rsid w:val="00174386"/>
    <w:rsid w:val="00174679"/>
    <w:rsid w:val="0017469D"/>
    <w:rsid w:val="00174791"/>
    <w:rsid w:val="00174792"/>
    <w:rsid w:val="001748F0"/>
    <w:rsid w:val="00174BAA"/>
    <w:rsid w:val="00174F72"/>
    <w:rsid w:val="00174F80"/>
    <w:rsid w:val="00175328"/>
    <w:rsid w:val="001754B7"/>
    <w:rsid w:val="0017560F"/>
    <w:rsid w:val="0017586F"/>
    <w:rsid w:val="001759F5"/>
    <w:rsid w:val="00175BE3"/>
    <w:rsid w:val="00175D94"/>
    <w:rsid w:val="00175DE9"/>
    <w:rsid w:val="0017601A"/>
    <w:rsid w:val="001760DC"/>
    <w:rsid w:val="00176241"/>
    <w:rsid w:val="001763D6"/>
    <w:rsid w:val="001763F1"/>
    <w:rsid w:val="001765A7"/>
    <w:rsid w:val="001765E9"/>
    <w:rsid w:val="0017668D"/>
    <w:rsid w:val="00176848"/>
    <w:rsid w:val="00176A12"/>
    <w:rsid w:val="00176A91"/>
    <w:rsid w:val="00176C11"/>
    <w:rsid w:val="00176E2D"/>
    <w:rsid w:val="00176F81"/>
    <w:rsid w:val="0017718B"/>
    <w:rsid w:val="001772A8"/>
    <w:rsid w:val="001777CC"/>
    <w:rsid w:val="001778A2"/>
    <w:rsid w:val="00177D32"/>
    <w:rsid w:val="00177D7E"/>
    <w:rsid w:val="00177E6A"/>
    <w:rsid w:val="00177EAE"/>
    <w:rsid w:val="00177F5A"/>
    <w:rsid w:val="00180332"/>
    <w:rsid w:val="00180363"/>
    <w:rsid w:val="0018087D"/>
    <w:rsid w:val="00180894"/>
    <w:rsid w:val="001808B9"/>
    <w:rsid w:val="00180954"/>
    <w:rsid w:val="00180A02"/>
    <w:rsid w:val="00180AF0"/>
    <w:rsid w:val="00180BDE"/>
    <w:rsid w:val="00180C9E"/>
    <w:rsid w:val="00180CB5"/>
    <w:rsid w:val="00180CF9"/>
    <w:rsid w:val="00180E19"/>
    <w:rsid w:val="00180F25"/>
    <w:rsid w:val="00181080"/>
    <w:rsid w:val="001814C1"/>
    <w:rsid w:val="001814F5"/>
    <w:rsid w:val="00181840"/>
    <w:rsid w:val="00181A0A"/>
    <w:rsid w:val="00181BB9"/>
    <w:rsid w:val="00181CDF"/>
    <w:rsid w:val="00181D64"/>
    <w:rsid w:val="00181D67"/>
    <w:rsid w:val="00181DA4"/>
    <w:rsid w:val="00181FE7"/>
    <w:rsid w:val="0018209E"/>
    <w:rsid w:val="001820BB"/>
    <w:rsid w:val="00182104"/>
    <w:rsid w:val="001821F7"/>
    <w:rsid w:val="00182241"/>
    <w:rsid w:val="001823DF"/>
    <w:rsid w:val="00182430"/>
    <w:rsid w:val="00182445"/>
    <w:rsid w:val="001826B2"/>
    <w:rsid w:val="00182731"/>
    <w:rsid w:val="00182AF2"/>
    <w:rsid w:val="00182CEC"/>
    <w:rsid w:val="00182DB9"/>
    <w:rsid w:val="0018301A"/>
    <w:rsid w:val="0018308F"/>
    <w:rsid w:val="001835C0"/>
    <w:rsid w:val="00183649"/>
    <w:rsid w:val="00183685"/>
    <w:rsid w:val="00183BAD"/>
    <w:rsid w:val="00183C6A"/>
    <w:rsid w:val="00183C9B"/>
    <w:rsid w:val="00183CE8"/>
    <w:rsid w:val="00183D0E"/>
    <w:rsid w:val="00183D8B"/>
    <w:rsid w:val="00183DDB"/>
    <w:rsid w:val="00183E9E"/>
    <w:rsid w:val="00183FED"/>
    <w:rsid w:val="00184119"/>
    <w:rsid w:val="00184154"/>
    <w:rsid w:val="001841BA"/>
    <w:rsid w:val="0018423C"/>
    <w:rsid w:val="00184256"/>
    <w:rsid w:val="001844CF"/>
    <w:rsid w:val="00184595"/>
    <w:rsid w:val="001849C9"/>
    <w:rsid w:val="00184A78"/>
    <w:rsid w:val="00184B8F"/>
    <w:rsid w:val="001851BE"/>
    <w:rsid w:val="00185407"/>
    <w:rsid w:val="001858B2"/>
    <w:rsid w:val="00185C75"/>
    <w:rsid w:val="00185CCB"/>
    <w:rsid w:val="00185D91"/>
    <w:rsid w:val="00185E19"/>
    <w:rsid w:val="00185F30"/>
    <w:rsid w:val="00186070"/>
    <w:rsid w:val="001861CF"/>
    <w:rsid w:val="00186311"/>
    <w:rsid w:val="0018639C"/>
    <w:rsid w:val="001863A4"/>
    <w:rsid w:val="00186499"/>
    <w:rsid w:val="001864C5"/>
    <w:rsid w:val="00186BAA"/>
    <w:rsid w:val="00186CAD"/>
    <w:rsid w:val="00186CB3"/>
    <w:rsid w:val="00186D28"/>
    <w:rsid w:val="00186ECD"/>
    <w:rsid w:val="00187035"/>
    <w:rsid w:val="00187110"/>
    <w:rsid w:val="00187201"/>
    <w:rsid w:val="00187464"/>
    <w:rsid w:val="001875C1"/>
    <w:rsid w:val="001878E1"/>
    <w:rsid w:val="0018794A"/>
    <w:rsid w:val="00187BB0"/>
    <w:rsid w:val="00187E02"/>
    <w:rsid w:val="00190334"/>
    <w:rsid w:val="001904DF"/>
    <w:rsid w:val="00190743"/>
    <w:rsid w:val="00190829"/>
    <w:rsid w:val="00191153"/>
    <w:rsid w:val="00191334"/>
    <w:rsid w:val="00191373"/>
    <w:rsid w:val="0019139C"/>
    <w:rsid w:val="0019150D"/>
    <w:rsid w:val="0019164D"/>
    <w:rsid w:val="00191720"/>
    <w:rsid w:val="0019174E"/>
    <w:rsid w:val="00191BDA"/>
    <w:rsid w:val="00191F82"/>
    <w:rsid w:val="00191FA8"/>
    <w:rsid w:val="00191FC7"/>
    <w:rsid w:val="001920BB"/>
    <w:rsid w:val="0019221F"/>
    <w:rsid w:val="00192526"/>
    <w:rsid w:val="00192693"/>
    <w:rsid w:val="00192717"/>
    <w:rsid w:val="001928AD"/>
    <w:rsid w:val="0019293F"/>
    <w:rsid w:val="00192963"/>
    <w:rsid w:val="00192A8E"/>
    <w:rsid w:val="00192C77"/>
    <w:rsid w:val="00192D07"/>
    <w:rsid w:val="00192D98"/>
    <w:rsid w:val="00192F9B"/>
    <w:rsid w:val="00192FED"/>
    <w:rsid w:val="00193536"/>
    <w:rsid w:val="001935DC"/>
    <w:rsid w:val="00193623"/>
    <w:rsid w:val="0019378B"/>
    <w:rsid w:val="001937B5"/>
    <w:rsid w:val="00193CE0"/>
    <w:rsid w:val="001946FF"/>
    <w:rsid w:val="0019484C"/>
    <w:rsid w:val="00194878"/>
    <w:rsid w:val="00194AE4"/>
    <w:rsid w:val="00194C6E"/>
    <w:rsid w:val="00194E48"/>
    <w:rsid w:val="00194E59"/>
    <w:rsid w:val="00194E6C"/>
    <w:rsid w:val="00194F29"/>
    <w:rsid w:val="00194F43"/>
    <w:rsid w:val="00194FD5"/>
    <w:rsid w:val="00195279"/>
    <w:rsid w:val="001952F8"/>
    <w:rsid w:val="0019554D"/>
    <w:rsid w:val="001956BB"/>
    <w:rsid w:val="001958D7"/>
    <w:rsid w:val="00195A37"/>
    <w:rsid w:val="00195ABF"/>
    <w:rsid w:val="00195B31"/>
    <w:rsid w:val="00195BA7"/>
    <w:rsid w:val="00195D15"/>
    <w:rsid w:val="00195D3E"/>
    <w:rsid w:val="00195E2C"/>
    <w:rsid w:val="00195F62"/>
    <w:rsid w:val="001965F3"/>
    <w:rsid w:val="001966B8"/>
    <w:rsid w:val="00196910"/>
    <w:rsid w:val="00196FB4"/>
    <w:rsid w:val="00197131"/>
    <w:rsid w:val="001974DB"/>
    <w:rsid w:val="001974E6"/>
    <w:rsid w:val="00197675"/>
    <w:rsid w:val="00197847"/>
    <w:rsid w:val="00197881"/>
    <w:rsid w:val="00197B58"/>
    <w:rsid w:val="00197D07"/>
    <w:rsid w:val="001A021D"/>
    <w:rsid w:val="001A02BA"/>
    <w:rsid w:val="001A0331"/>
    <w:rsid w:val="001A042F"/>
    <w:rsid w:val="001A04DB"/>
    <w:rsid w:val="001A07EA"/>
    <w:rsid w:val="001A09B8"/>
    <w:rsid w:val="001A0A3F"/>
    <w:rsid w:val="001A0A8A"/>
    <w:rsid w:val="001A0D26"/>
    <w:rsid w:val="001A0E5E"/>
    <w:rsid w:val="001A0F12"/>
    <w:rsid w:val="001A107E"/>
    <w:rsid w:val="001A10A2"/>
    <w:rsid w:val="001A11CA"/>
    <w:rsid w:val="001A1203"/>
    <w:rsid w:val="001A123A"/>
    <w:rsid w:val="001A13E2"/>
    <w:rsid w:val="001A1954"/>
    <w:rsid w:val="001A19AD"/>
    <w:rsid w:val="001A19E7"/>
    <w:rsid w:val="001A1A10"/>
    <w:rsid w:val="001A1A4A"/>
    <w:rsid w:val="001A1B70"/>
    <w:rsid w:val="001A1CDD"/>
    <w:rsid w:val="001A1EFA"/>
    <w:rsid w:val="001A1F64"/>
    <w:rsid w:val="001A202A"/>
    <w:rsid w:val="001A208D"/>
    <w:rsid w:val="001A2092"/>
    <w:rsid w:val="001A21C9"/>
    <w:rsid w:val="001A2592"/>
    <w:rsid w:val="001A26D1"/>
    <w:rsid w:val="001A26F7"/>
    <w:rsid w:val="001A2B6E"/>
    <w:rsid w:val="001A2E04"/>
    <w:rsid w:val="001A2E5B"/>
    <w:rsid w:val="001A2E75"/>
    <w:rsid w:val="001A2FE5"/>
    <w:rsid w:val="001A3030"/>
    <w:rsid w:val="001A30B9"/>
    <w:rsid w:val="001A3133"/>
    <w:rsid w:val="001A317F"/>
    <w:rsid w:val="001A31E8"/>
    <w:rsid w:val="001A329C"/>
    <w:rsid w:val="001A3440"/>
    <w:rsid w:val="001A345F"/>
    <w:rsid w:val="001A3488"/>
    <w:rsid w:val="001A35AD"/>
    <w:rsid w:val="001A36FF"/>
    <w:rsid w:val="001A3932"/>
    <w:rsid w:val="001A3B44"/>
    <w:rsid w:val="001A3B46"/>
    <w:rsid w:val="001A3C25"/>
    <w:rsid w:val="001A3C40"/>
    <w:rsid w:val="001A419D"/>
    <w:rsid w:val="001A43B8"/>
    <w:rsid w:val="001A43E5"/>
    <w:rsid w:val="001A4669"/>
    <w:rsid w:val="001A46AC"/>
    <w:rsid w:val="001A4724"/>
    <w:rsid w:val="001A49B5"/>
    <w:rsid w:val="001A49F3"/>
    <w:rsid w:val="001A4A75"/>
    <w:rsid w:val="001A4DA2"/>
    <w:rsid w:val="001A4E36"/>
    <w:rsid w:val="001A4F2E"/>
    <w:rsid w:val="001A4F88"/>
    <w:rsid w:val="001A506E"/>
    <w:rsid w:val="001A50D5"/>
    <w:rsid w:val="001A5437"/>
    <w:rsid w:val="001A54E4"/>
    <w:rsid w:val="001A5821"/>
    <w:rsid w:val="001A59E9"/>
    <w:rsid w:val="001A5B98"/>
    <w:rsid w:val="001A5BA3"/>
    <w:rsid w:val="001A5E75"/>
    <w:rsid w:val="001A6213"/>
    <w:rsid w:val="001A630C"/>
    <w:rsid w:val="001A6381"/>
    <w:rsid w:val="001A666E"/>
    <w:rsid w:val="001A66E8"/>
    <w:rsid w:val="001A6711"/>
    <w:rsid w:val="001A680F"/>
    <w:rsid w:val="001A69F5"/>
    <w:rsid w:val="001A6A15"/>
    <w:rsid w:val="001A6D90"/>
    <w:rsid w:val="001A6DDD"/>
    <w:rsid w:val="001A6FB8"/>
    <w:rsid w:val="001A70E1"/>
    <w:rsid w:val="001A72E3"/>
    <w:rsid w:val="001A7373"/>
    <w:rsid w:val="001A743B"/>
    <w:rsid w:val="001A748C"/>
    <w:rsid w:val="001A749F"/>
    <w:rsid w:val="001A74F1"/>
    <w:rsid w:val="001A76FF"/>
    <w:rsid w:val="001A7726"/>
    <w:rsid w:val="001A77AA"/>
    <w:rsid w:val="001A7854"/>
    <w:rsid w:val="001A7923"/>
    <w:rsid w:val="001A79D3"/>
    <w:rsid w:val="001A7BF6"/>
    <w:rsid w:val="001A7C4A"/>
    <w:rsid w:val="001B013D"/>
    <w:rsid w:val="001B0189"/>
    <w:rsid w:val="001B0285"/>
    <w:rsid w:val="001B039E"/>
    <w:rsid w:val="001B03D4"/>
    <w:rsid w:val="001B0401"/>
    <w:rsid w:val="001B0421"/>
    <w:rsid w:val="001B060E"/>
    <w:rsid w:val="001B0676"/>
    <w:rsid w:val="001B080D"/>
    <w:rsid w:val="001B0C34"/>
    <w:rsid w:val="001B0E78"/>
    <w:rsid w:val="001B0F25"/>
    <w:rsid w:val="001B10F5"/>
    <w:rsid w:val="001B13D2"/>
    <w:rsid w:val="001B165F"/>
    <w:rsid w:val="001B16FB"/>
    <w:rsid w:val="001B1785"/>
    <w:rsid w:val="001B17E9"/>
    <w:rsid w:val="001B1873"/>
    <w:rsid w:val="001B18B8"/>
    <w:rsid w:val="001B1909"/>
    <w:rsid w:val="001B1936"/>
    <w:rsid w:val="001B1959"/>
    <w:rsid w:val="001B19E8"/>
    <w:rsid w:val="001B1C15"/>
    <w:rsid w:val="001B1EDC"/>
    <w:rsid w:val="001B1FC3"/>
    <w:rsid w:val="001B2395"/>
    <w:rsid w:val="001B23A8"/>
    <w:rsid w:val="001B244C"/>
    <w:rsid w:val="001B258A"/>
    <w:rsid w:val="001B26BB"/>
    <w:rsid w:val="001B2751"/>
    <w:rsid w:val="001B2AB6"/>
    <w:rsid w:val="001B2F13"/>
    <w:rsid w:val="001B2F24"/>
    <w:rsid w:val="001B2F60"/>
    <w:rsid w:val="001B3136"/>
    <w:rsid w:val="001B3304"/>
    <w:rsid w:val="001B36EC"/>
    <w:rsid w:val="001B3872"/>
    <w:rsid w:val="001B391F"/>
    <w:rsid w:val="001B3ACE"/>
    <w:rsid w:val="001B3B93"/>
    <w:rsid w:val="001B3D2F"/>
    <w:rsid w:val="001B3D3B"/>
    <w:rsid w:val="001B3FEB"/>
    <w:rsid w:val="001B40B4"/>
    <w:rsid w:val="001B4160"/>
    <w:rsid w:val="001B4215"/>
    <w:rsid w:val="001B42FF"/>
    <w:rsid w:val="001B4375"/>
    <w:rsid w:val="001B456E"/>
    <w:rsid w:val="001B4614"/>
    <w:rsid w:val="001B4673"/>
    <w:rsid w:val="001B476D"/>
    <w:rsid w:val="001B4882"/>
    <w:rsid w:val="001B49C2"/>
    <w:rsid w:val="001B49E5"/>
    <w:rsid w:val="001B4C89"/>
    <w:rsid w:val="001B4E3F"/>
    <w:rsid w:val="001B4EC3"/>
    <w:rsid w:val="001B4ED3"/>
    <w:rsid w:val="001B4FDF"/>
    <w:rsid w:val="001B54A9"/>
    <w:rsid w:val="001B551B"/>
    <w:rsid w:val="001B5559"/>
    <w:rsid w:val="001B5843"/>
    <w:rsid w:val="001B58C2"/>
    <w:rsid w:val="001B5901"/>
    <w:rsid w:val="001B5AE2"/>
    <w:rsid w:val="001B5B96"/>
    <w:rsid w:val="001B5D01"/>
    <w:rsid w:val="001B5E14"/>
    <w:rsid w:val="001B5F4E"/>
    <w:rsid w:val="001B603A"/>
    <w:rsid w:val="001B624C"/>
    <w:rsid w:val="001B6444"/>
    <w:rsid w:val="001B64BB"/>
    <w:rsid w:val="001B6739"/>
    <w:rsid w:val="001B683D"/>
    <w:rsid w:val="001B69FB"/>
    <w:rsid w:val="001B6C27"/>
    <w:rsid w:val="001B6C8C"/>
    <w:rsid w:val="001B6DC6"/>
    <w:rsid w:val="001B6E71"/>
    <w:rsid w:val="001B6ED5"/>
    <w:rsid w:val="001B6F4C"/>
    <w:rsid w:val="001B7083"/>
    <w:rsid w:val="001B7146"/>
    <w:rsid w:val="001B736A"/>
    <w:rsid w:val="001B7438"/>
    <w:rsid w:val="001B743C"/>
    <w:rsid w:val="001B75A5"/>
    <w:rsid w:val="001B75C7"/>
    <w:rsid w:val="001B764F"/>
    <w:rsid w:val="001B76DF"/>
    <w:rsid w:val="001B7771"/>
    <w:rsid w:val="001B78DA"/>
    <w:rsid w:val="001B7AAF"/>
    <w:rsid w:val="001B7C73"/>
    <w:rsid w:val="001B7DA0"/>
    <w:rsid w:val="001B7F25"/>
    <w:rsid w:val="001B7F47"/>
    <w:rsid w:val="001B7F7F"/>
    <w:rsid w:val="001C0059"/>
    <w:rsid w:val="001C01BD"/>
    <w:rsid w:val="001C02EB"/>
    <w:rsid w:val="001C0327"/>
    <w:rsid w:val="001C0664"/>
    <w:rsid w:val="001C0A58"/>
    <w:rsid w:val="001C0E01"/>
    <w:rsid w:val="001C0F0E"/>
    <w:rsid w:val="001C12FA"/>
    <w:rsid w:val="001C1420"/>
    <w:rsid w:val="001C191B"/>
    <w:rsid w:val="001C1A4A"/>
    <w:rsid w:val="001C1DD2"/>
    <w:rsid w:val="001C1E14"/>
    <w:rsid w:val="001C1FD7"/>
    <w:rsid w:val="001C2014"/>
    <w:rsid w:val="001C2099"/>
    <w:rsid w:val="001C234B"/>
    <w:rsid w:val="001C252C"/>
    <w:rsid w:val="001C257C"/>
    <w:rsid w:val="001C25F4"/>
    <w:rsid w:val="001C27BB"/>
    <w:rsid w:val="001C2801"/>
    <w:rsid w:val="001C2850"/>
    <w:rsid w:val="001C2A16"/>
    <w:rsid w:val="001C2BEC"/>
    <w:rsid w:val="001C2D9E"/>
    <w:rsid w:val="001C30E7"/>
    <w:rsid w:val="001C3155"/>
    <w:rsid w:val="001C33DD"/>
    <w:rsid w:val="001C358D"/>
    <w:rsid w:val="001C367A"/>
    <w:rsid w:val="001C369A"/>
    <w:rsid w:val="001C36A5"/>
    <w:rsid w:val="001C3706"/>
    <w:rsid w:val="001C378C"/>
    <w:rsid w:val="001C38E3"/>
    <w:rsid w:val="001C3C99"/>
    <w:rsid w:val="001C3F6A"/>
    <w:rsid w:val="001C41DB"/>
    <w:rsid w:val="001C4237"/>
    <w:rsid w:val="001C4288"/>
    <w:rsid w:val="001C4472"/>
    <w:rsid w:val="001C447C"/>
    <w:rsid w:val="001C4700"/>
    <w:rsid w:val="001C4999"/>
    <w:rsid w:val="001C4CBD"/>
    <w:rsid w:val="001C4D66"/>
    <w:rsid w:val="001C4EDA"/>
    <w:rsid w:val="001C4FDB"/>
    <w:rsid w:val="001C51F7"/>
    <w:rsid w:val="001C529D"/>
    <w:rsid w:val="001C5440"/>
    <w:rsid w:val="001C55A0"/>
    <w:rsid w:val="001C59A3"/>
    <w:rsid w:val="001C5A3B"/>
    <w:rsid w:val="001C5BAC"/>
    <w:rsid w:val="001C5E68"/>
    <w:rsid w:val="001C62CE"/>
    <w:rsid w:val="001C63D9"/>
    <w:rsid w:val="001C6685"/>
    <w:rsid w:val="001C6BC4"/>
    <w:rsid w:val="001C6BF7"/>
    <w:rsid w:val="001C6F1B"/>
    <w:rsid w:val="001C7171"/>
    <w:rsid w:val="001C71E2"/>
    <w:rsid w:val="001C7220"/>
    <w:rsid w:val="001C74D0"/>
    <w:rsid w:val="001C754F"/>
    <w:rsid w:val="001C75C2"/>
    <w:rsid w:val="001C75CB"/>
    <w:rsid w:val="001C784C"/>
    <w:rsid w:val="001C7874"/>
    <w:rsid w:val="001C7898"/>
    <w:rsid w:val="001C7A7E"/>
    <w:rsid w:val="001C7C83"/>
    <w:rsid w:val="001C7D95"/>
    <w:rsid w:val="001C7F9C"/>
    <w:rsid w:val="001D038D"/>
    <w:rsid w:val="001D042D"/>
    <w:rsid w:val="001D0673"/>
    <w:rsid w:val="001D0898"/>
    <w:rsid w:val="001D094A"/>
    <w:rsid w:val="001D0A42"/>
    <w:rsid w:val="001D0D57"/>
    <w:rsid w:val="001D0E43"/>
    <w:rsid w:val="001D0E95"/>
    <w:rsid w:val="001D0F51"/>
    <w:rsid w:val="001D0F99"/>
    <w:rsid w:val="001D0FEA"/>
    <w:rsid w:val="001D106A"/>
    <w:rsid w:val="001D113F"/>
    <w:rsid w:val="001D147E"/>
    <w:rsid w:val="001D1841"/>
    <w:rsid w:val="001D1A63"/>
    <w:rsid w:val="001D1B40"/>
    <w:rsid w:val="001D1B5D"/>
    <w:rsid w:val="001D1DEE"/>
    <w:rsid w:val="001D212C"/>
    <w:rsid w:val="001D22DA"/>
    <w:rsid w:val="001D2421"/>
    <w:rsid w:val="001D25CA"/>
    <w:rsid w:val="001D25DE"/>
    <w:rsid w:val="001D2735"/>
    <w:rsid w:val="001D2854"/>
    <w:rsid w:val="001D2983"/>
    <w:rsid w:val="001D2BA9"/>
    <w:rsid w:val="001D2BD3"/>
    <w:rsid w:val="001D2C51"/>
    <w:rsid w:val="001D2D05"/>
    <w:rsid w:val="001D3168"/>
    <w:rsid w:val="001D3638"/>
    <w:rsid w:val="001D3734"/>
    <w:rsid w:val="001D37F6"/>
    <w:rsid w:val="001D3A01"/>
    <w:rsid w:val="001D3A0E"/>
    <w:rsid w:val="001D3B12"/>
    <w:rsid w:val="001D3BDA"/>
    <w:rsid w:val="001D3D77"/>
    <w:rsid w:val="001D3E86"/>
    <w:rsid w:val="001D3EB9"/>
    <w:rsid w:val="001D402A"/>
    <w:rsid w:val="001D40B0"/>
    <w:rsid w:val="001D40F3"/>
    <w:rsid w:val="001D4174"/>
    <w:rsid w:val="001D4429"/>
    <w:rsid w:val="001D44FE"/>
    <w:rsid w:val="001D4635"/>
    <w:rsid w:val="001D47C9"/>
    <w:rsid w:val="001D4978"/>
    <w:rsid w:val="001D4ABD"/>
    <w:rsid w:val="001D4B59"/>
    <w:rsid w:val="001D4C03"/>
    <w:rsid w:val="001D4D90"/>
    <w:rsid w:val="001D4E44"/>
    <w:rsid w:val="001D529C"/>
    <w:rsid w:val="001D5669"/>
    <w:rsid w:val="001D5A60"/>
    <w:rsid w:val="001D5B6C"/>
    <w:rsid w:val="001D5BBD"/>
    <w:rsid w:val="001D5D8A"/>
    <w:rsid w:val="001D6043"/>
    <w:rsid w:val="001D622E"/>
    <w:rsid w:val="001D62D8"/>
    <w:rsid w:val="001D64CE"/>
    <w:rsid w:val="001D654A"/>
    <w:rsid w:val="001D66A9"/>
    <w:rsid w:val="001D682C"/>
    <w:rsid w:val="001D694D"/>
    <w:rsid w:val="001D6992"/>
    <w:rsid w:val="001D6D8B"/>
    <w:rsid w:val="001D6ED3"/>
    <w:rsid w:val="001D7046"/>
    <w:rsid w:val="001D707D"/>
    <w:rsid w:val="001D7537"/>
    <w:rsid w:val="001D757F"/>
    <w:rsid w:val="001D7594"/>
    <w:rsid w:val="001D78B6"/>
    <w:rsid w:val="001D7A98"/>
    <w:rsid w:val="001D7AE4"/>
    <w:rsid w:val="001D7C08"/>
    <w:rsid w:val="001D7CB1"/>
    <w:rsid w:val="001D7E42"/>
    <w:rsid w:val="001E00B9"/>
    <w:rsid w:val="001E01F3"/>
    <w:rsid w:val="001E031B"/>
    <w:rsid w:val="001E08E2"/>
    <w:rsid w:val="001E09F7"/>
    <w:rsid w:val="001E09FC"/>
    <w:rsid w:val="001E0B24"/>
    <w:rsid w:val="001E0BA2"/>
    <w:rsid w:val="001E0C96"/>
    <w:rsid w:val="001E12D5"/>
    <w:rsid w:val="001E139C"/>
    <w:rsid w:val="001E15D1"/>
    <w:rsid w:val="001E1683"/>
    <w:rsid w:val="001E16C1"/>
    <w:rsid w:val="001E16D1"/>
    <w:rsid w:val="001E176B"/>
    <w:rsid w:val="001E18C2"/>
    <w:rsid w:val="001E1934"/>
    <w:rsid w:val="001E1B33"/>
    <w:rsid w:val="001E1B38"/>
    <w:rsid w:val="001E1B44"/>
    <w:rsid w:val="001E1BA5"/>
    <w:rsid w:val="001E1BC7"/>
    <w:rsid w:val="001E1BD7"/>
    <w:rsid w:val="001E1D4D"/>
    <w:rsid w:val="001E1DF7"/>
    <w:rsid w:val="001E1E1F"/>
    <w:rsid w:val="001E2148"/>
    <w:rsid w:val="001E21F4"/>
    <w:rsid w:val="001E2220"/>
    <w:rsid w:val="001E2305"/>
    <w:rsid w:val="001E26E0"/>
    <w:rsid w:val="001E27A1"/>
    <w:rsid w:val="001E2849"/>
    <w:rsid w:val="001E2887"/>
    <w:rsid w:val="001E2B5F"/>
    <w:rsid w:val="001E2C8B"/>
    <w:rsid w:val="001E2EB8"/>
    <w:rsid w:val="001E2FB0"/>
    <w:rsid w:val="001E2FE4"/>
    <w:rsid w:val="001E2FE8"/>
    <w:rsid w:val="001E3620"/>
    <w:rsid w:val="001E376B"/>
    <w:rsid w:val="001E377C"/>
    <w:rsid w:val="001E3A0E"/>
    <w:rsid w:val="001E3F12"/>
    <w:rsid w:val="001E3F27"/>
    <w:rsid w:val="001E4087"/>
    <w:rsid w:val="001E4099"/>
    <w:rsid w:val="001E417B"/>
    <w:rsid w:val="001E41BE"/>
    <w:rsid w:val="001E426E"/>
    <w:rsid w:val="001E437F"/>
    <w:rsid w:val="001E4380"/>
    <w:rsid w:val="001E4A50"/>
    <w:rsid w:val="001E4A8A"/>
    <w:rsid w:val="001E4B0A"/>
    <w:rsid w:val="001E4CCC"/>
    <w:rsid w:val="001E4E14"/>
    <w:rsid w:val="001E4E76"/>
    <w:rsid w:val="001E4F8E"/>
    <w:rsid w:val="001E4FBC"/>
    <w:rsid w:val="001E5083"/>
    <w:rsid w:val="001E535E"/>
    <w:rsid w:val="001E5ACA"/>
    <w:rsid w:val="001E5B5F"/>
    <w:rsid w:val="001E5D2D"/>
    <w:rsid w:val="001E5DD2"/>
    <w:rsid w:val="001E5E11"/>
    <w:rsid w:val="001E5E78"/>
    <w:rsid w:val="001E5F6E"/>
    <w:rsid w:val="001E6184"/>
    <w:rsid w:val="001E6371"/>
    <w:rsid w:val="001E653F"/>
    <w:rsid w:val="001E66C0"/>
    <w:rsid w:val="001E680F"/>
    <w:rsid w:val="001E6CEE"/>
    <w:rsid w:val="001E6EB4"/>
    <w:rsid w:val="001E6F9D"/>
    <w:rsid w:val="001E723D"/>
    <w:rsid w:val="001E7386"/>
    <w:rsid w:val="001E77EB"/>
    <w:rsid w:val="001E7823"/>
    <w:rsid w:val="001E7875"/>
    <w:rsid w:val="001E7A7E"/>
    <w:rsid w:val="001E7B2D"/>
    <w:rsid w:val="001F009E"/>
    <w:rsid w:val="001F024B"/>
    <w:rsid w:val="001F02B1"/>
    <w:rsid w:val="001F03F4"/>
    <w:rsid w:val="001F072A"/>
    <w:rsid w:val="001F08F4"/>
    <w:rsid w:val="001F0A31"/>
    <w:rsid w:val="001F0AF9"/>
    <w:rsid w:val="001F0C46"/>
    <w:rsid w:val="001F0C7E"/>
    <w:rsid w:val="001F0C83"/>
    <w:rsid w:val="001F0D25"/>
    <w:rsid w:val="001F0F7E"/>
    <w:rsid w:val="001F106E"/>
    <w:rsid w:val="001F142F"/>
    <w:rsid w:val="001F14C3"/>
    <w:rsid w:val="001F1732"/>
    <w:rsid w:val="001F1768"/>
    <w:rsid w:val="001F17D8"/>
    <w:rsid w:val="001F18AF"/>
    <w:rsid w:val="001F18DE"/>
    <w:rsid w:val="001F1F16"/>
    <w:rsid w:val="001F2177"/>
    <w:rsid w:val="001F22CC"/>
    <w:rsid w:val="001F23D4"/>
    <w:rsid w:val="001F24BA"/>
    <w:rsid w:val="001F2585"/>
    <w:rsid w:val="001F25F1"/>
    <w:rsid w:val="001F2769"/>
    <w:rsid w:val="001F27F4"/>
    <w:rsid w:val="001F281B"/>
    <w:rsid w:val="001F283A"/>
    <w:rsid w:val="001F2847"/>
    <w:rsid w:val="001F285E"/>
    <w:rsid w:val="001F29CE"/>
    <w:rsid w:val="001F2C91"/>
    <w:rsid w:val="001F2E52"/>
    <w:rsid w:val="001F3067"/>
    <w:rsid w:val="001F30E9"/>
    <w:rsid w:val="001F30EF"/>
    <w:rsid w:val="001F31B6"/>
    <w:rsid w:val="001F3311"/>
    <w:rsid w:val="001F35A8"/>
    <w:rsid w:val="001F361B"/>
    <w:rsid w:val="001F379B"/>
    <w:rsid w:val="001F38AA"/>
    <w:rsid w:val="001F3934"/>
    <w:rsid w:val="001F3C2F"/>
    <w:rsid w:val="001F3DB3"/>
    <w:rsid w:val="001F46C5"/>
    <w:rsid w:val="001F490A"/>
    <w:rsid w:val="001F4A7E"/>
    <w:rsid w:val="001F4AEF"/>
    <w:rsid w:val="001F4BF1"/>
    <w:rsid w:val="001F4E09"/>
    <w:rsid w:val="001F5068"/>
    <w:rsid w:val="001F515C"/>
    <w:rsid w:val="001F521F"/>
    <w:rsid w:val="001F531D"/>
    <w:rsid w:val="001F542A"/>
    <w:rsid w:val="001F568C"/>
    <w:rsid w:val="001F5B49"/>
    <w:rsid w:val="001F5BA0"/>
    <w:rsid w:val="001F5CC2"/>
    <w:rsid w:val="001F5DD9"/>
    <w:rsid w:val="001F5F11"/>
    <w:rsid w:val="001F6058"/>
    <w:rsid w:val="001F6180"/>
    <w:rsid w:val="001F61A4"/>
    <w:rsid w:val="001F65EB"/>
    <w:rsid w:val="001F6795"/>
    <w:rsid w:val="001F6A17"/>
    <w:rsid w:val="001F6A69"/>
    <w:rsid w:val="001F6C19"/>
    <w:rsid w:val="001F6CAD"/>
    <w:rsid w:val="001F6E4A"/>
    <w:rsid w:val="001F7126"/>
    <w:rsid w:val="001F71CF"/>
    <w:rsid w:val="001F721E"/>
    <w:rsid w:val="001F75E8"/>
    <w:rsid w:val="001F7633"/>
    <w:rsid w:val="001F76AA"/>
    <w:rsid w:val="001F785E"/>
    <w:rsid w:val="001F7AC7"/>
    <w:rsid w:val="001F7FA6"/>
    <w:rsid w:val="002000BA"/>
    <w:rsid w:val="00200155"/>
    <w:rsid w:val="00200181"/>
    <w:rsid w:val="0020037E"/>
    <w:rsid w:val="002004C3"/>
    <w:rsid w:val="00200532"/>
    <w:rsid w:val="0020053E"/>
    <w:rsid w:val="00200879"/>
    <w:rsid w:val="00200AD2"/>
    <w:rsid w:val="00200B74"/>
    <w:rsid w:val="00200D44"/>
    <w:rsid w:val="00200E9F"/>
    <w:rsid w:val="002010C8"/>
    <w:rsid w:val="00201471"/>
    <w:rsid w:val="00201637"/>
    <w:rsid w:val="00201841"/>
    <w:rsid w:val="0020191E"/>
    <w:rsid w:val="00201CF8"/>
    <w:rsid w:val="00201D53"/>
    <w:rsid w:val="00201DB9"/>
    <w:rsid w:val="00201E92"/>
    <w:rsid w:val="00201EC6"/>
    <w:rsid w:val="00201FCC"/>
    <w:rsid w:val="002021F7"/>
    <w:rsid w:val="00202325"/>
    <w:rsid w:val="00202484"/>
    <w:rsid w:val="00202522"/>
    <w:rsid w:val="00202781"/>
    <w:rsid w:val="00202828"/>
    <w:rsid w:val="002028BC"/>
    <w:rsid w:val="00202B4D"/>
    <w:rsid w:val="00202D14"/>
    <w:rsid w:val="00202FA9"/>
    <w:rsid w:val="0020311C"/>
    <w:rsid w:val="002031F0"/>
    <w:rsid w:val="0020331E"/>
    <w:rsid w:val="002035B0"/>
    <w:rsid w:val="00203682"/>
    <w:rsid w:val="0020386C"/>
    <w:rsid w:val="0020395C"/>
    <w:rsid w:val="00203AAE"/>
    <w:rsid w:val="0020402E"/>
    <w:rsid w:val="0020420E"/>
    <w:rsid w:val="00204220"/>
    <w:rsid w:val="00204479"/>
    <w:rsid w:val="00204655"/>
    <w:rsid w:val="002046E4"/>
    <w:rsid w:val="00204941"/>
    <w:rsid w:val="00204A97"/>
    <w:rsid w:val="00204BB0"/>
    <w:rsid w:val="00204CCA"/>
    <w:rsid w:val="00205250"/>
    <w:rsid w:val="002053F1"/>
    <w:rsid w:val="002058F2"/>
    <w:rsid w:val="00205A84"/>
    <w:rsid w:val="00205AC3"/>
    <w:rsid w:val="00205B9E"/>
    <w:rsid w:val="00205BF7"/>
    <w:rsid w:val="00205D36"/>
    <w:rsid w:val="00205E4D"/>
    <w:rsid w:val="00205FA9"/>
    <w:rsid w:val="002060C7"/>
    <w:rsid w:val="00206272"/>
    <w:rsid w:val="002063A8"/>
    <w:rsid w:val="00206A1C"/>
    <w:rsid w:val="00206BE1"/>
    <w:rsid w:val="00206C12"/>
    <w:rsid w:val="00206D44"/>
    <w:rsid w:val="00206F25"/>
    <w:rsid w:val="00206FA6"/>
    <w:rsid w:val="002071FC"/>
    <w:rsid w:val="0020736C"/>
    <w:rsid w:val="00207561"/>
    <w:rsid w:val="00207590"/>
    <w:rsid w:val="00207603"/>
    <w:rsid w:val="00207AF3"/>
    <w:rsid w:val="00207D5E"/>
    <w:rsid w:val="00207E5B"/>
    <w:rsid w:val="00207F07"/>
    <w:rsid w:val="00207F67"/>
    <w:rsid w:val="002100BA"/>
    <w:rsid w:val="00210185"/>
    <w:rsid w:val="002101E4"/>
    <w:rsid w:val="00210209"/>
    <w:rsid w:val="0021048A"/>
    <w:rsid w:val="002104C0"/>
    <w:rsid w:val="002104FB"/>
    <w:rsid w:val="00210537"/>
    <w:rsid w:val="00210589"/>
    <w:rsid w:val="00210716"/>
    <w:rsid w:val="002108B5"/>
    <w:rsid w:val="00210A8B"/>
    <w:rsid w:val="00210B64"/>
    <w:rsid w:val="00210C41"/>
    <w:rsid w:val="00210F28"/>
    <w:rsid w:val="00210F5B"/>
    <w:rsid w:val="00210FE5"/>
    <w:rsid w:val="002111E0"/>
    <w:rsid w:val="0021128B"/>
    <w:rsid w:val="002112A9"/>
    <w:rsid w:val="00211583"/>
    <w:rsid w:val="00211707"/>
    <w:rsid w:val="002117B0"/>
    <w:rsid w:val="002118AA"/>
    <w:rsid w:val="002119C4"/>
    <w:rsid w:val="00211B67"/>
    <w:rsid w:val="00211BC7"/>
    <w:rsid w:val="00211E99"/>
    <w:rsid w:val="00211E9B"/>
    <w:rsid w:val="00212006"/>
    <w:rsid w:val="002120E4"/>
    <w:rsid w:val="002122B4"/>
    <w:rsid w:val="00212306"/>
    <w:rsid w:val="0021235E"/>
    <w:rsid w:val="00212469"/>
    <w:rsid w:val="0021247B"/>
    <w:rsid w:val="002126BF"/>
    <w:rsid w:val="00212AB5"/>
    <w:rsid w:val="00212C1F"/>
    <w:rsid w:val="00212F68"/>
    <w:rsid w:val="002138F4"/>
    <w:rsid w:val="002138F8"/>
    <w:rsid w:val="00213920"/>
    <w:rsid w:val="00213A4A"/>
    <w:rsid w:val="00213C2F"/>
    <w:rsid w:val="00213CFF"/>
    <w:rsid w:val="00213DE5"/>
    <w:rsid w:val="00214195"/>
    <w:rsid w:val="00214541"/>
    <w:rsid w:val="0021455E"/>
    <w:rsid w:val="002145C5"/>
    <w:rsid w:val="0021484E"/>
    <w:rsid w:val="00214924"/>
    <w:rsid w:val="00214962"/>
    <w:rsid w:val="00214999"/>
    <w:rsid w:val="002149E2"/>
    <w:rsid w:val="00214A8F"/>
    <w:rsid w:val="00214CA0"/>
    <w:rsid w:val="00214D00"/>
    <w:rsid w:val="00214F8C"/>
    <w:rsid w:val="00214FB6"/>
    <w:rsid w:val="002153F1"/>
    <w:rsid w:val="002155A4"/>
    <w:rsid w:val="002155B4"/>
    <w:rsid w:val="00215827"/>
    <w:rsid w:val="002158CF"/>
    <w:rsid w:val="0021591E"/>
    <w:rsid w:val="0021592B"/>
    <w:rsid w:val="00215CFB"/>
    <w:rsid w:val="00215D68"/>
    <w:rsid w:val="00215E01"/>
    <w:rsid w:val="00215E2E"/>
    <w:rsid w:val="0021615F"/>
    <w:rsid w:val="002161AD"/>
    <w:rsid w:val="00216227"/>
    <w:rsid w:val="002163EB"/>
    <w:rsid w:val="002165C7"/>
    <w:rsid w:val="00216636"/>
    <w:rsid w:val="0021666F"/>
    <w:rsid w:val="0021668C"/>
    <w:rsid w:val="00216999"/>
    <w:rsid w:val="00216BEF"/>
    <w:rsid w:val="00216E1B"/>
    <w:rsid w:val="00216EAC"/>
    <w:rsid w:val="002170FA"/>
    <w:rsid w:val="00217194"/>
    <w:rsid w:val="0021731A"/>
    <w:rsid w:val="00217632"/>
    <w:rsid w:val="002176B0"/>
    <w:rsid w:val="0021786B"/>
    <w:rsid w:val="00217ADD"/>
    <w:rsid w:val="00217D19"/>
    <w:rsid w:val="00217EF9"/>
    <w:rsid w:val="002200C4"/>
    <w:rsid w:val="00220163"/>
    <w:rsid w:val="00220190"/>
    <w:rsid w:val="002201A0"/>
    <w:rsid w:val="00220348"/>
    <w:rsid w:val="0022037E"/>
    <w:rsid w:val="00220614"/>
    <w:rsid w:val="00220636"/>
    <w:rsid w:val="002206E3"/>
    <w:rsid w:val="00220710"/>
    <w:rsid w:val="00220762"/>
    <w:rsid w:val="00220B5D"/>
    <w:rsid w:val="00220EC2"/>
    <w:rsid w:val="00220F9E"/>
    <w:rsid w:val="002210E5"/>
    <w:rsid w:val="002215E3"/>
    <w:rsid w:val="00221747"/>
    <w:rsid w:val="002217B1"/>
    <w:rsid w:val="00221896"/>
    <w:rsid w:val="00221A0B"/>
    <w:rsid w:val="00221B2C"/>
    <w:rsid w:val="00221BB7"/>
    <w:rsid w:val="00221D07"/>
    <w:rsid w:val="00221DA5"/>
    <w:rsid w:val="00221DD5"/>
    <w:rsid w:val="00221E2D"/>
    <w:rsid w:val="00221E8F"/>
    <w:rsid w:val="00222120"/>
    <w:rsid w:val="002222BC"/>
    <w:rsid w:val="0022237D"/>
    <w:rsid w:val="0022248E"/>
    <w:rsid w:val="0022256A"/>
    <w:rsid w:val="002225AC"/>
    <w:rsid w:val="002225C1"/>
    <w:rsid w:val="0022262C"/>
    <w:rsid w:val="00222D91"/>
    <w:rsid w:val="00222DFD"/>
    <w:rsid w:val="00222E6A"/>
    <w:rsid w:val="00222FF5"/>
    <w:rsid w:val="00222FF6"/>
    <w:rsid w:val="00223160"/>
    <w:rsid w:val="0022316D"/>
    <w:rsid w:val="002231E6"/>
    <w:rsid w:val="0022342F"/>
    <w:rsid w:val="002235A8"/>
    <w:rsid w:val="00223617"/>
    <w:rsid w:val="00223759"/>
    <w:rsid w:val="002238B5"/>
    <w:rsid w:val="00223969"/>
    <w:rsid w:val="00223BCD"/>
    <w:rsid w:val="00223C8A"/>
    <w:rsid w:val="00223EA5"/>
    <w:rsid w:val="00223EC0"/>
    <w:rsid w:val="00224081"/>
    <w:rsid w:val="0022413A"/>
    <w:rsid w:val="00224173"/>
    <w:rsid w:val="00224271"/>
    <w:rsid w:val="002242AC"/>
    <w:rsid w:val="00224658"/>
    <w:rsid w:val="00224662"/>
    <w:rsid w:val="00224907"/>
    <w:rsid w:val="00224A58"/>
    <w:rsid w:val="00224AF5"/>
    <w:rsid w:val="00224CCD"/>
    <w:rsid w:val="00224D07"/>
    <w:rsid w:val="00224FE6"/>
    <w:rsid w:val="00224FFB"/>
    <w:rsid w:val="0022547B"/>
    <w:rsid w:val="002254B5"/>
    <w:rsid w:val="002254FD"/>
    <w:rsid w:val="0022556E"/>
    <w:rsid w:val="0022564F"/>
    <w:rsid w:val="002259B0"/>
    <w:rsid w:val="00225B39"/>
    <w:rsid w:val="00225C40"/>
    <w:rsid w:val="00225CC1"/>
    <w:rsid w:val="00225E3A"/>
    <w:rsid w:val="00225F1B"/>
    <w:rsid w:val="00225F2B"/>
    <w:rsid w:val="00226126"/>
    <w:rsid w:val="002261DB"/>
    <w:rsid w:val="00226418"/>
    <w:rsid w:val="00226680"/>
    <w:rsid w:val="00226801"/>
    <w:rsid w:val="00226901"/>
    <w:rsid w:val="00226924"/>
    <w:rsid w:val="00226CA7"/>
    <w:rsid w:val="00226CC4"/>
    <w:rsid w:val="00226E69"/>
    <w:rsid w:val="00226EDA"/>
    <w:rsid w:val="00226F5C"/>
    <w:rsid w:val="00227132"/>
    <w:rsid w:val="0022720D"/>
    <w:rsid w:val="002272A1"/>
    <w:rsid w:val="002272EC"/>
    <w:rsid w:val="00227331"/>
    <w:rsid w:val="002273B6"/>
    <w:rsid w:val="00227600"/>
    <w:rsid w:val="00227888"/>
    <w:rsid w:val="0022797E"/>
    <w:rsid w:val="00227A49"/>
    <w:rsid w:val="00227B67"/>
    <w:rsid w:val="00227D17"/>
    <w:rsid w:val="00227F61"/>
    <w:rsid w:val="00227FF4"/>
    <w:rsid w:val="002304F0"/>
    <w:rsid w:val="002306B5"/>
    <w:rsid w:val="002308B0"/>
    <w:rsid w:val="00230976"/>
    <w:rsid w:val="00230B05"/>
    <w:rsid w:val="00230B82"/>
    <w:rsid w:val="00230BFB"/>
    <w:rsid w:val="00230CE3"/>
    <w:rsid w:val="00231185"/>
    <w:rsid w:val="002311CB"/>
    <w:rsid w:val="002316C1"/>
    <w:rsid w:val="0023175A"/>
    <w:rsid w:val="00231889"/>
    <w:rsid w:val="00231D3A"/>
    <w:rsid w:val="00231DF1"/>
    <w:rsid w:val="00232165"/>
    <w:rsid w:val="00232296"/>
    <w:rsid w:val="00232412"/>
    <w:rsid w:val="00232569"/>
    <w:rsid w:val="0023282D"/>
    <w:rsid w:val="00232882"/>
    <w:rsid w:val="002328C7"/>
    <w:rsid w:val="0023291A"/>
    <w:rsid w:val="00232941"/>
    <w:rsid w:val="00233177"/>
    <w:rsid w:val="002332A3"/>
    <w:rsid w:val="002333FC"/>
    <w:rsid w:val="0023341C"/>
    <w:rsid w:val="002334F3"/>
    <w:rsid w:val="0023361D"/>
    <w:rsid w:val="0023373F"/>
    <w:rsid w:val="00233BFC"/>
    <w:rsid w:val="00233C92"/>
    <w:rsid w:val="00233D23"/>
    <w:rsid w:val="00233E1A"/>
    <w:rsid w:val="00233E8A"/>
    <w:rsid w:val="00233F04"/>
    <w:rsid w:val="00233F99"/>
    <w:rsid w:val="00234221"/>
    <w:rsid w:val="00234506"/>
    <w:rsid w:val="002348DC"/>
    <w:rsid w:val="00234A72"/>
    <w:rsid w:val="00234E37"/>
    <w:rsid w:val="00234F68"/>
    <w:rsid w:val="0023510F"/>
    <w:rsid w:val="0023517B"/>
    <w:rsid w:val="00235268"/>
    <w:rsid w:val="00235325"/>
    <w:rsid w:val="00235332"/>
    <w:rsid w:val="00235498"/>
    <w:rsid w:val="00235749"/>
    <w:rsid w:val="002359D8"/>
    <w:rsid w:val="00235A8F"/>
    <w:rsid w:val="00235BF7"/>
    <w:rsid w:val="00235D8E"/>
    <w:rsid w:val="00235DF7"/>
    <w:rsid w:val="00236001"/>
    <w:rsid w:val="002360DE"/>
    <w:rsid w:val="00236304"/>
    <w:rsid w:val="002363B4"/>
    <w:rsid w:val="0023660A"/>
    <w:rsid w:val="00236810"/>
    <w:rsid w:val="0023685A"/>
    <w:rsid w:val="002368B1"/>
    <w:rsid w:val="00236913"/>
    <w:rsid w:val="00236A0A"/>
    <w:rsid w:val="00236A15"/>
    <w:rsid w:val="00236C28"/>
    <w:rsid w:val="00236C38"/>
    <w:rsid w:val="00236CD0"/>
    <w:rsid w:val="00236D2C"/>
    <w:rsid w:val="00236F20"/>
    <w:rsid w:val="00236FD2"/>
    <w:rsid w:val="00236FD6"/>
    <w:rsid w:val="00236FE3"/>
    <w:rsid w:val="00237228"/>
    <w:rsid w:val="0023722A"/>
    <w:rsid w:val="0023742B"/>
    <w:rsid w:val="002374FE"/>
    <w:rsid w:val="002375FC"/>
    <w:rsid w:val="0023765C"/>
    <w:rsid w:val="00237663"/>
    <w:rsid w:val="002376C1"/>
    <w:rsid w:val="0023778E"/>
    <w:rsid w:val="00237836"/>
    <w:rsid w:val="0023796D"/>
    <w:rsid w:val="00237A5E"/>
    <w:rsid w:val="00237BD4"/>
    <w:rsid w:val="00237C05"/>
    <w:rsid w:val="002401B2"/>
    <w:rsid w:val="00240376"/>
    <w:rsid w:val="0024042E"/>
    <w:rsid w:val="002404A0"/>
    <w:rsid w:val="00240607"/>
    <w:rsid w:val="0024064B"/>
    <w:rsid w:val="00240698"/>
    <w:rsid w:val="0024074E"/>
    <w:rsid w:val="00240756"/>
    <w:rsid w:val="002408A7"/>
    <w:rsid w:val="002408D4"/>
    <w:rsid w:val="002408F2"/>
    <w:rsid w:val="00240A70"/>
    <w:rsid w:val="00240A74"/>
    <w:rsid w:val="00240BFA"/>
    <w:rsid w:val="00240C97"/>
    <w:rsid w:val="00240D74"/>
    <w:rsid w:val="002410DA"/>
    <w:rsid w:val="002411A4"/>
    <w:rsid w:val="002414C6"/>
    <w:rsid w:val="00241719"/>
    <w:rsid w:val="0024183F"/>
    <w:rsid w:val="00241A69"/>
    <w:rsid w:val="00242047"/>
    <w:rsid w:val="00242338"/>
    <w:rsid w:val="00242373"/>
    <w:rsid w:val="002423B8"/>
    <w:rsid w:val="002424B2"/>
    <w:rsid w:val="0024259B"/>
    <w:rsid w:val="00242623"/>
    <w:rsid w:val="002428AD"/>
    <w:rsid w:val="0024296F"/>
    <w:rsid w:val="00242B42"/>
    <w:rsid w:val="00242BB2"/>
    <w:rsid w:val="00242EE2"/>
    <w:rsid w:val="00243140"/>
    <w:rsid w:val="0024314D"/>
    <w:rsid w:val="00243321"/>
    <w:rsid w:val="00243374"/>
    <w:rsid w:val="00243533"/>
    <w:rsid w:val="0024380E"/>
    <w:rsid w:val="00243810"/>
    <w:rsid w:val="0024392B"/>
    <w:rsid w:val="00243B37"/>
    <w:rsid w:val="00243B55"/>
    <w:rsid w:val="00243B6A"/>
    <w:rsid w:val="00243BE3"/>
    <w:rsid w:val="00243D7A"/>
    <w:rsid w:val="00243E13"/>
    <w:rsid w:val="00243E58"/>
    <w:rsid w:val="00244293"/>
    <w:rsid w:val="0024458F"/>
    <w:rsid w:val="002446E1"/>
    <w:rsid w:val="002446F7"/>
    <w:rsid w:val="002447FB"/>
    <w:rsid w:val="002448AB"/>
    <w:rsid w:val="00244A4C"/>
    <w:rsid w:val="00244A50"/>
    <w:rsid w:val="00244B29"/>
    <w:rsid w:val="00244DC7"/>
    <w:rsid w:val="0024512F"/>
    <w:rsid w:val="0024538B"/>
    <w:rsid w:val="00245563"/>
    <w:rsid w:val="0024557C"/>
    <w:rsid w:val="00245653"/>
    <w:rsid w:val="002456D9"/>
    <w:rsid w:val="002457AA"/>
    <w:rsid w:val="0024580B"/>
    <w:rsid w:val="002458A1"/>
    <w:rsid w:val="00245904"/>
    <w:rsid w:val="00245A15"/>
    <w:rsid w:val="00245C5D"/>
    <w:rsid w:val="00245C9A"/>
    <w:rsid w:val="00245DD5"/>
    <w:rsid w:val="00245DED"/>
    <w:rsid w:val="00245FD3"/>
    <w:rsid w:val="0024607D"/>
    <w:rsid w:val="00246256"/>
    <w:rsid w:val="002462CD"/>
    <w:rsid w:val="00246531"/>
    <w:rsid w:val="00246AD3"/>
    <w:rsid w:val="00246D99"/>
    <w:rsid w:val="00246E48"/>
    <w:rsid w:val="00246F5D"/>
    <w:rsid w:val="00247011"/>
    <w:rsid w:val="002470B4"/>
    <w:rsid w:val="00247246"/>
    <w:rsid w:val="00247285"/>
    <w:rsid w:val="00247599"/>
    <w:rsid w:val="00247736"/>
    <w:rsid w:val="002478BA"/>
    <w:rsid w:val="00247B28"/>
    <w:rsid w:val="00247EA6"/>
    <w:rsid w:val="0025020C"/>
    <w:rsid w:val="0025033F"/>
    <w:rsid w:val="0025062E"/>
    <w:rsid w:val="00250698"/>
    <w:rsid w:val="002508AC"/>
    <w:rsid w:val="002509EB"/>
    <w:rsid w:val="00250B72"/>
    <w:rsid w:val="00250D24"/>
    <w:rsid w:val="00250E51"/>
    <w:rsid w:val="00250EEE"/>
    <w:rsid w:val="0025105F"/>
    <w:rsid w:val="002513B4"/>
    <w:rsid w:val="00251820"/>
    <w:rsid w:val="00251867"/>
    <w:rsid w:val="002518B7"/>
    <w:rsid w:val="00251915"/>
    <w:rsid w:val="0025192A"/>
    <w:rsid w:val="002519D7"/>
    <w:rsid w:val="00251A28"/>
    <w:rsid w:val="00251A2A"/>
    <w:rsid w:val="00251D26"/>
    <w:rsid w:val="0025218A"/>
    <w:rsid w:val="002522CE"/>
    <w:rsid w:val="002525AD"/>
    <w:rsid w:val="00252846"/>
    <w:rsid w:val="00252887"/>
    <w:rsid w:val="0025295C"/>
    <w:rsid w:val="00252D52"/>
    <w:rsid w:val="00252E2D"/>
    <w:rsid w:val="00252E32"/>
    <w:rsid w:val="00252F05"/>
    <w:rsid w:val="0025344E"/>
    <w:rsid w:val="00253463"/>
    <w:rsid w:val="0025346F"/>
    <w:rsid w:val="00253481"/>
    <w:rsid w:val="0025364E"/>
    <w:rsid w:val="00253B54"/>
    <w:rsid w:val="00253E6F"/>
    <w:rsid w:val="00253F66"/>
    <w:rsid w:val="00253F9C"/>
    <w:rsid w:val="00253FE2"/>
    <w:rsid w:val="002540BC"/>
    <w:rsid w:val="00254263"/>
    <w:rsid w:val="00254337"/>
    <w:rsid w:val="00254443"/>
    <w:rsid w:val="00254753"/>
    <w:rsid w:val="00254852"/>
    <w:rsid w:val="002548B1"/>
    <w:rsid w:val="00254C9C"/>
    <w:rsid w:val="00254C9E"/>
    <w:rsid w:val="00254CBA"/>
    <w:rsid w:val="00254D0B"/>
    <w:rsid w:val="00254D42"/>
    <w:rsid w:val="00254D79"/>
    <w:rsid w:val="00254EF5"/>
    <w:rsid w:val="00254FA3"/>
    <w:rsid w:val="00255294"/>
    <w:rsid w:val="002552DA"/>
    <w:rsid w:val="002552FA"/>
    <w:rsid w:val="00255592"/>
    <w:rsid w:val="0025559E"/>
    <w:rsid w:val="00255652"/>
    <w:rsid w:val="0025567A"/>
    <w:rsid w:val="00255689"/>
    <w:rsid w:val="0025585A"/>
    <w:rsid w:val="00255AE8"/>
    <w:rsid w:val="00255DDE"/>
    <w:rsid w:val="00255F84"/>
    <w:rsid w:val="00256186"/>
    <w:rsid w:val="002563D5"/>
    <w:rsid w:val="00256508"/>
    <w:rsid w:val="0025656C"/>
    <w:rsid w:val="00256721"/>
    <w:rsid w:val="002568F7"/>
    <w:rsid w:val="002569A7"/>
    <w:rsid w:val="00256B23"/>
    <w:rsid w:val="00256B38"/>
    <w:rsid w:val="00256BCD"/>
    <w:rsid w:val="00256C00"/>
    <w:rsid w:val="00256C23"/>
    <w:rsid w:val="00256D85"/>
    <w:rsid w:val="00256F1D"/>
    <w:rsid w:val="00256F71"/>
    <w:rsid w:val="0025734E"/>
    <w:rsid w:val="002573FB"/>
    <w:rsid w:val="00257435"/>
    <w:rsid w:val="002579DB"/>
    <w:rsid w:val="00257A11"/>
    <w:rsid w:val="00257ADE"/>
    <w:rsid w:val="00257B67"/>
    <w:rsid w:val="00257B7F"/>
    <w:rsid w:val="00257E7B"/>
    <w:rsid w:val="00260096"/>
    <w:rsid w:val="0026025A"/>
    <w:rsid w:val="00260301"/>
    <w:rsid w:val="00260525"/>
    <w:rsid w:val="00260571"/>
    <w:rsid w:val="0026059B"/>
    <w:rsid w:val="00260744"/>
    <w:rsid w:val="00260780"/>
    <w:rsid w:val="00260825"/>
    <w:rsid w:val="0026082D"/>
    <w:rsid w:val="00260934"/>
    <w:rsid w:val="00260943"/>
    <w:rsid w:val="002609BD"/>
    <w:rsid w:val="00260A13"/>
    <w:rsid w:val="00260AC3"/>
    <w:rsid w:val="00260BB2"/>
    <w:rsid w:val="00260BBA"/>
    <w:rsid w:val="00260CF8"/>
    <w:rsid w:val="00260E1A"/>
    <w:rsid w:val="002612C4"/>
    <w:rsid w:val="00261420"/>
    <w:rsid w:val="00261564"/>
    <w:rsid w:val="00261747"/>
    <w:rsid w:val="0026177B"/>
    <w:rsid w:val="002617CA"/>
    <w:rsid w:val="002618E8"/>
    <w:rsid w:val="00261B97"/>
    <w:rsid w:val="00261C3C"/>
    <w:rsid w:val="00261C59"/>
    <w:rsid w:val="00261DA7"/>
    <w:rsid w:val="0026201D"/>
    <w:rsid w:val="00262053"/>
    <w:rsid w:val="00262064"/>
    <w:rsid w:val="002620CC"/>
    <w:rsid w:val="00262263"/>
    <w:rsid w:val="0026231C"/>
    <w:rsid w:val="002623EF"/>
    <w:rsid w:val="0026297E"/>
    <w:rsid w:val="002629CB"/>
    <w:rsid w:val="00262A04"/>
    <w:rsid w:val="00262A50"/>
    <w:rsid w:val="00262A9F"/>
    <w:rsid w:val="00262AFF"/>
    <w:rsid w:val="00262BA4"/>
    <w:rsid w:val="00262BEF"/>
    <w:rsid w:val="00262CB1"/>
    <w:rsid w:val="00262CED"/>
    <w:rsid w:val="00262D8A"/>
    <w:rsid w:val="00262F76"/>
    <w:rsid w:val="00263040"/>
    <w:rsid w:val="00263068"/>
    <w:rsid w:val="002631B2"/>
    <w:rsid w:val="0026348D"/>
    <w:rsid w:val="002634FD"/>
    <w:rsid w:val="00263571"/>
    <w:rsid w:val="002636F8"/>
    <w:rsid w:val="0026376C"/>
    <w:rsid w:val="00263802"/>
    <w:rsid w:val="00263A35"/>
    <w:rsid w:val="00263A48"/>
    <w:rsid w:val="00263AFA"/>
    <w:rsid w:val="00263D69"/>
    <w:rsid w:val="00263EEC"/>
    <w:rsid w:val="00263F1A"/>
    <w:rsid w:val="002640B1"/>
    <w:rsid w:val="00264140"/>
    <w:rsid w:val="002641CB"/>
    <w:rsid w:val="00264221"/>
    <w:rsid w:val="00264467"/>
    <w:rsid w:val="00264777"/>
    <w:rsid w:val="0026478F"/>
    <w:rsid w:val="002648A6"/>
    <w:rsid w:val="0026494C"/>
    <w:rsid w:val="00264A35"/>
    <w:rsid w:val="00264F12"/>
    <w:rsid w:val="00264F14"/>
    <w:rsid w:val="00264FC7"/>
    <w:rsid w:val="0026501E"/>
    <w:rsid w:val="00265041"/>
    <w:rsid w:val="00265126"/>
    <w:rsid w:val="0026543A"/>
    <w:rsid w:val="002657E6"/>
    <w:rsid w:val="00265999"/>
    <w:rsid w:val="00265B82"/>
    <w:rsid w:val="00265DA4"/>
    <w:rsid w:val="00265EB9"/>
    <w:rsid w:val="00266527"/>
    <w:rsid w:val="0026667F"/>
    <w:rsid w:val="00266735"/>
    <w:rsid w:val="00266826"/>
    <w:rsid w:val="00266AC2"/>
    <w:rsid w:val="00266C2F"/>
    <w:rsid w:val="00267099"/>
    <w:rsid w:val="0026716A"/>
    <w:rsid w:val="002672F7"/>
    <w:rsid w:val="002676C4"/>
    <w:rsid w:val="00267764"/>
    <w:rsid w:val="00267794"/>
    <w:rsid w:val="002677BE"/>
    <w:rsid w:val="00267C74"/>
    <w:rsid w:val="00267D63"/>
    <w:rsid w:val="00267DEE"/>
    <w:rsid w:val="00267E8B"/>
    <w:rsid w:val="00267FEC"/>
    <w:rsid w:val="00270012"/>
    <w:rsid w:val="00270322"/>
    <w:rsid w:val="002706D4"/>
    <w:rsid w:val="00270A50"/>
    <w:rsid w:val="00270BC9"/>
    <w:rsid w:val="00270C44"/>
    <w:rsid w:val="00270D48"/>
    <w:rsid w:val="00270F2E"/>
    <w:rsid w:val="002713F1"/>
    <w:rsid w:val="00271737"/>
    <w:rsid w:val="0027176A"/>
    <w:rsid w:val="002719CA"/>
    <w:rsid w:val="00271B48"/>
    <w:rsid w:val="00271B53"/>
    <w:rsid w:val="00271DAE"/>
    <w:rsid w:val="00271E45"/>
    <w:rsid w:val="00271F0D"/>
    <w:rsid w:val="00271F58"/>
    <w:rsid w:val="00272025"/>
    <w:rsid w:val="00272339"/>
    <w:rsid w:val="00272860"/>
    <w:rsid w:val="002729F2"/>
    <w:rsid w:val="00272BC2"/>
    <w:rsid w:val="00272C5C"/>
    <w:rsid w:val="00272D55"/>
    <w:rsid w:val="00272F07"/>
    <w:rsid w:val="00272FCD"/>
    <w:rsid w:val="00273183"/>
    <w:rsid w:val="002731A3"/>
    <w:rsid w:val="0027380D"/>
    <w:rsid w:val="002739A5"/>
    <w:rsid w:val="00273A81"/>
    <w:rsid w:val="00273ADD"/>
    <w:rsid w:val="00273BAD"/>
    <w:rsid w:val="00273E54"/>
    <w:rsid w:val="00274191"/>
    <w:rsid w:val="00274276"/>
    <w:rsid w:val="002742F6"/>
    <w:rsid w:val="00274300"/>
    <w:rsid w:val="002743A3"/>
    <w:rsid w:val="00274483"/>
    <w:rsid w:val="0027462C"/>
    <w:rsid w:val="00274631"/>
    <w:rsid w:val="002748A8"/>
    <w:rsid w:val="002748A9"/>
    <w:rsid w:val="002749AA"/>
    <w:rsid w:val="002749B5"/>
    <w:rsid w:val="00274B5B"/>
    <w:rsid w:val="00274B6B"/>
    <w:rsid w:val="00274DBF"/>
    <w:rsid w:val="00274EE5"/>
    <w:rsid w:val="00274FA9"/>
    <w:rsid w:val="00275026"/>
    <w:rsid w:val="002752C4"/>
    <w:rsid w:val="002754EB"/>
    <w:rsid w:val="002756EA"/>
    <w:rsid w:val="0027571D"/>
    <w:rsid w:val="00275862"/>
    <w:rsid w:val="0027587D"/>
    <w:rsid w:val="00275B01"/>
    <w:rsid w:val="00275B5C"/>
    <w:rsid w:val="00275D0C"/>
    <w:rsid w:val="00276082"/>
    <w:rsid w:val="0027615E"/>
    <w:rsid w:val="002764F0"/>
    <w:rsid w:val="002765E8"/>
    <w:rsid w:val="00276613"/>
    <w:rsid w:val="002766B0"/>
    <w:rsid w:val="002766CA"/>
    <w:rsid w:val="0027676F"/>
    <w:rsid w:val="00276795"/>
    <w:rsid w:val="00276891"/>
    <w:rsid w:val="002768BA"/>
    <w:rsid w:val="00276B67"/>
    <w:rsid w:val="00276D23"/>
    <w:rsid w:val="0027724D"/>
    <w:rsid w:val="002774C6"/>
    <w:rsid w:val="00277592"/>
    <w:rsid w:val="002775E6"/>
    <w:rsid w:val="002777E9"/>
    <w:rsid w:val="002778C2"/>
    <w:rsid w:val="00277B43"/>
    <w:rsid w:val="00277D58"/>
    <w:rsid w:val="00277DB5"/>
    <w:rsid w:val="00277E1D"/>
    <w:rsid w:val="00277E76"/>
    <w:rsid w:val="00277E81"/>
    <w:rsid w:val="00277FE2"/>
    <w:rsid w:val="0028012C"/>
    <w:rsid w:val="002801B0"/>
    <w:rsid w:val="0028065D"/>
    <w:rsid w:val="00280B09"/>
    <w:rsid w:val="00280BE6"/>
    <w:rsid w:val="00280CAE"/>
    <w:rsid w:val="00280E26"/>
    <w:rsid w:val="00281002"/>
    <w:rsid w:val="002811FE"/>
    <w:rsid w:val="002816CA"/>
    <w:rsid w:val="00281763"/>
    <w:rsid w:val="002818D1"/>
    <w:rsid w:val="0028193F"/>
    <w:rsid w:val="002819FC"/>
    <w:rsid w:val="00281B51"/>
    <w:rsid w:val="00281B6B"/>
    <w:rsid w:val="00281BB6"/>
    <w:rsid w:val="00281CCD"/>
    <w:rsid w:val="00281D04"/>
    <w:rsid w:val="00281E72"/>
    <w:rsid w:val="00281E8A"/>
    <w:rsid w:val="002820EC"/>
    <w:rsid w:val="00282148"/>
    <w:rsid w:val="00282156"/>
    <w:rsid w:val="00282160"/>
    <w:rsid w:val="0028273A"/>
    <w:rsid w:val="002827AC"/>
    <w:rsid w:val="002828C8"/>
    <w:rsid w:val="0028293E"/>
    <w:rsid w:val="00282A60"/>
    <w:rsid w:val="00282D6F"/>
    <w:rsid w:val="00282E51"/>
    <w:rsid w:val="00282E6F"/>
    <w:rsid w:val="0028302A"/>
    <w:rsid w:val="00283102"/>
    <w:rsid w:val="00283361"/>
    <w:rsid w:val="002833B0"/>
    <w:rsid w:val="0028347A"/>
    <w:rsid w:val="0028365D"/>
    <w:rsid w:val="00283688"/>
    <w:rsid w:val="002836CD"/>
    <w:rsid w:val="00283B08"/>
    <w:rsid w:val="00283F53"/>
    <w:rsid w:val="00283FF0"/>
    <w:rsid w:val="0028424D"/>
    <w:rsid w:val="0028432A"/>
    <w:rsid w:val="00284357"/>
    <w:rsid w:val="002843AF"/>
    <w:rsid w:val="00284406"/>
    <w:rsid w:val="00284589"/>
    <w:rsid w:val="00284654"/>
    <w:rsid w:val="0028472A"/>
    <w:rsid w:val="002847B3"/>
    <w:rsid w:val="002848F6"/>
    <w:rsid w:val="002849EB"/>
    <w:rsid w:val="00284CD4"/>
    <w:rsid w:val="00284CF5"/>
    <w:rsid w:val="00284D6A"/>
    <w:rsid w:val="00284E58"/>
    <w:rsid w:val="00284E6F"/>
    <w:rsid w:val="00285419"/>
    <w:rsid w:val="0028554C"/>
    <w:rsid w:val="00285578"/>
    <w:rsid w:val="0028567B"/>
    <w:rsid w:val="00285795"/>
    <w:rsid w:val="002857D8"/>
    <w:rsid w:val="002857F8"/>
    <w:rsid w:val="002858B9"/>
    <w:rsid w:val="002858F4"/>
    <w:rsid w:val="002859A4"/>
    <w:rsid w:val="00285A67"/>
    <w:rsid w:val="00285BD8"/>
    <w:rsid w:val="00285C43"/>
    <w:rsid w:val="00285D02"/>
    <w:rsid w:val="00286088"/>
    <w:rsid w:val="0028610A"/>
    <w:rsid w:val="00286148"/>
    <w:rsid w:val="00286149"/>
    <w:rsid w:val="002861BA"/>
    <w:rsid w:val="002861FF"/>
    <w:rsid w:val="002862CE"/>
    <w:rsid w:val="00286455"/>
    <w:rsid w:val="002865D3"/>
    <w:rsid w:val="00286637"/>
    <w:rsid w:val="00286A0E"/>
    <w:rsid w:val="00286C13"/>
    <w:rsid w:val="00286CF2"/>
    <w:rsid w:val="00286F76"/>
    <w:rsid w:val="00286FBD"/>
    <w:rsid w:val="0028704E"/>
    <w:rsid w:val="00287100"/>
    <w:rsid w:val="002871A8"/>
    <w:rsid w:val="002874A9"/>
    <w:rsid w:val="002877E8"/>
    <w:rsid w:val="0028780A"/>
    <w:rsid w:val="00287C09"/>
    <w:rsid w:val="00287D75"/>
    <w:rsid w:val="00290076"/>
    <w:rsid w:val="002901FE"/>
    <w:rsid w:val="0029028F"/>
    <w:rsid w:val="002902C1"/>
    <w:rsid w:val="00290544"/>
    <w:rsid w:val="00290DD7"/>
    <w:rsid w:val="00290EA4"/>
    <w:rsid w:val="00291057"/>
    <w:rsid w:val="002911F4"/>
    <w:rsid w:val="00291283"/>
    <w:rsid w:val="00291658"/>
    <w:rsid w:val="002917B4"/>
    <w:rsid w:val="00291988"/>
    <w:rsid w:val="00291C1E"/>
    <w:rsid w:val="002921E3"/>
    <w:rsid w:val="00292235"/>
    <w:rsid w:val="00292410"/>
    <w:rsid w:val="0029250E"/>
    <w:rsid w:val="00292961"/>
    <w:rsid w:val="00292AB5"/>
    <w:rsid w:val="00292AE1"/>
    <w:rsid w:val="00292BA8"/>
    <w:rsid w:val="00292C0C"/>
    <w:rsid w:val="00292C20"/>
    <w:rsid w:val="00292CA4"/>
    <w:rsid w:val="00292D08"/>
    <w:rsid w:val="00292DB1"/>
    <w:rsid w:val="00292DED"/>
    <w:rsid w:val="00293266"/>
    <w:rsid w:val="0029342C"/>
    <w:rsid w:val="00293434"/>
    <w:rsid w:val="002935DA"/>
    <w:rsid w:val="0029369D"/>
    <w:rsid w:val="0029392C"/>
    <w:rsid w:val="002939FB"/>
    <w:rsid w:val="00293C50"/>
    <w:rsid w:val="00293F73"/>
    <w:rsid w:val="00294160"/>
    <w:rsid w:val="002943AF"/>
    <w:rsid w:val="00294417"/>
    <w:rsid w:val="00294516"/>
    <w:rsid w:val="002945FD"/>
    <w:rsid w:val="0029463C"/>
    <w:rsid w:val="00294799"/>
    <w:rsid w:val="00294830"/>
    <w:rsid w:val="002948AC"/>
    <w:rsid w:val="00294D76"/>
    <w:rsid w:val="00294EEE"/>
    <w:rsid w:val="00294F2D"/>
    <w:rsid w:val="00294F9A"/>
    <w:rsid w:val="00294FED"/>
    <w:rsid w:val="0029526C"/>
    <w:rsid w:val="002952BD"/>
    <w:rsid w:val="00295993"/>
    <w:rsid w:val="00295ABE"/>
    <w:rsid w:val="00295BFF"/>
    <w:rsid w:val="00295ED0"/>
    <w:rsid w:val="00295EF2"/>
    <w:rsid w:val="00296887"/>
    <w:rsid w:val="002969AB"/>
    <w:rsid w:val="00296AC1"/>
    <w:rsid w:val="00296C25"/>
    <w:rsid w:val="00296E05"/>
    <w:rsid w:val="0029700B"/>
    <w:rsid w:val="0029706E"/>
    <w:rsid w:val="0029712F"/>
    <w:rsid w:val="0029716C"/>
    <w:rsid w:val="0029718B"/>
    <w:rsid w:val="002971CE"/>
    <w:rsid w:val="00297463"/>
    <w:rsid w:val="002977A4"/>
    <w:rsid w:val="00297965"/>
    <w:rsid w:val="00297D91"/>
    <w:rsid w:val="00297FFA"/>
    <w:rsid w:val="002A011E"/>
    <w:rsid w:val="002A032F"/>
    <w:rsid w:val="002A03A7"/>
    <w:rsid w:val="002A03C8"/>
    <w:rsid w:val="002A043B"/>
    <w:rsid w:val="002A04DD"/>
    <w:rsid w:val="002A0546"/>
    <w:rsid w:val="002A0618"/>
    <w:rsid w:val="002A075E"/>
    <w:rsid w:val="002A0831"/>
    <w:rsid w:val="002A08E4"/>
    <w:rsid w:val="002A0AF8"/>
    <w:rsid w:val="002A0BDB"/>
    <w:rsid w:val="002A1162"/>
    <w:rsid w:val="002A1197"/>
    <w:rsid w:val="002A121E"/>
    <w:rsid w:val="002A142B"/>
    <w:rsid w:val="002A149F"/>
    <w:rsid w:val="002A153E"/>
    <w:rsid w:val="002A1635"/>
    <w:rsid w:val="002A1699"/>
    <w:rsid w:val="002A1744"/>
    <w:rsid w:val="002A1760"/>
    <w:rsid w:val="002A18AC"/>
    <w:rsid w:val="002A1930"/>
    <w:rsid w:val="002A1AE9"/>
    <w:rsid w:val="002A1C1A"/>
    <w:rsid w:val="002A1DD6"/>
    <w:rsid w:val="002A1EA3"/>
    <w:rsid w:val="002A206E"/>
    <w:rsid w:val="002A213D"/>
    <w:rsid w:val="002A21EB"/>
    <w:rsid w:val="002A2344"/>
    <w:rsid w:val="002A2507"/>
    <w:rsid w:val="002A25AE"/>
    <w:rsid w:val="002A25C3"/>
    <w:rsid w:val="002A26E8"/>
    <w:rsid w:val="002A2748"/>
    <w:rsid w:val="002A2A80"/>
    <w:rsid w:val="002A2B1A"/>
    <w:rsid w:val="002A2ED5"/>
    <w:rsid w:val="002A2EEA"/>
    <w:rsid w:val="002A30DE"/>
    <w:rsid w:val="002A31C5"/>
    <w:rsid w:val="002A3203"/>
    <w:rsid w:val="002A320E"/>
    <w:rsid w:val="002A36F0"/>
    <w:rsid w:val="002A39A9"/>
    <w:rsid w:val="002A3ABB"/>
    <w:rsid w:val="002A3AE8"/>
    <w:rsid w:val="002A3BA5"/>
    <w:rsid w:val="002A3C39"/>
    <w:rsid w:val="002A42EA"/>
    <w:rsid w:val="002A4384"/>
    <w:rsid w:val="002A4490"/>
    <w:rsid w:val="002A4573"/>
    <w:rsid w:val="002A4623"/>
    <w:rsid w:val="002A47CD"/>
    <w:rsid w:val="002A4C8E"/>
    <w:rsid w:val="002A4CA8"/>
    <w:rsid w:val="002A4D22"/>
    <w:rsid w:val="002A51A3"/>
    <w:rsid w:val="002A5271"/>
    <w:rsid w:val="002A5388"/>
    <w:rsid w:val="002A5426"/>
    <w:rsid w:val="002A54F1"/>
    <w:rsid w:val="002A55C3"/>
    <w:rsid w:val="002A5601"/>
    <w:rsid w:val="002A56FC"/>
    <w:rsid w:val="002A57CD"/>
    <w:rsid w:val="002A5B20"/>
    <w:rsid w:val="002A5B57"/>
    <w:rsid w:val="002A5B63"/>
    <w:rsid w:val="002A5D56"/>
    <w:rsid w:val="002A5DB3"/>
    <w:rsid w:val="002A5E0E"/>
    <w:rsid w:val="002A6240"/>
    <w:rsid w:val="002A63FD"/>
    <w:rsid w:val="002A6BC0"/>
    <w:rsid w:val="002A6D34"/>
    <w:rsid w:val="002A6E24"/>
    <w:rsid w:val="002A6E29"/>
    <w:rsid w:val="002A7243"/>
    <w:rsid w:val="002A7388"/>
    <w:rsid w:val="002A74ED"/>
    <w:rsid w:val="002A7516"/>
    <w:rsid w:val="002A7610"/>
    <w:rsid w:val="002A7619"/>
    <w:rsid w:val="002A7830"/>
    <w:rsid w:val="002A78C3"/>
    <w:rsid w:val="002A797A"/>
    <w:rsid w:val="002A7B14"/>
    <w:rsid w:val="002A7D43"/>
    <w:rsid w:val="002B0175"/>
    <w:rsid w:val="002B02E3"/>
    <w:rsid w:val="002B0316"/>
    <w:rsid w:val="002B0403"/>
    <w:rsid w:val="002B052B"/>
    <w:rsid w:val="002B0553"/>
    <w:rsid w:val="002B0623"/>
    <w:rsid w:val="002B0635"/>
    <w:rsid w:val="002B0638"/>
    <w:rsid w:val="002B073D"/>
    <w:rsid w:val="002B0925"/>
    <w:rsid w:val="002B09BB"/>
    <w:rsid w:val="002B0D73"/>
    <w:rsid w:val="002B0F76"/>
    <w:rsid w:val="002B0F9A"/>
    <w:rsid w:val="002B10D6"/>
    <w:rsid w:val="002B11FB"/>
    <w:rsid w:val="002B17F8"/>
    <w:rsid w:val="002B1821"/>
    <w:rsid w:val="002B1D88"/>
    <w:rsid w:val="002B1E13"/>
    <w:rsid w:val="002B1F11"/>
    <w:rsid w:val="002B2023"/>
    <w:rsid w:val="002B22E3"/>
    <w:rsid w:val="002B23E0"/>
    <w:rsid w:val="002B248D"/>
    <w:rsid w:val="002B2493"/>
    <w:rsid w:val="002B2501"/>
    <w:rsid w:val="002B26A5"/>
    <w:rsid w:val="002B2963"/>
    <w:rsid w:val="002B2A8A"/>
    <w:rsid w:val="002B2B64"/>
    <w:rsid w:val="002B2D38"/>
    <w:rsid w:val="002B2EC2"/>
    <w:rsid w:val="002B3128"/>
    <w:rsid w:val="002B33FB"/>
    <w:rsid w:val="002B3514"/>
    <w:rsid w:val="002B36D3"/>
    <w:rsid w:val="002B3893"/>
    <w:rsid w:val="002B39F5"/>
    <w:rsid w:val="002B3AF6"/>
    <w:rsid w:val="002B3CC0"/>
    <w:rsid w:val="002B40BF"/>
    <w:rsid w:val="002B4107"/>
    <w:rsid w:val="002B4181"/>
    <w:rsid w:val="002B4398"/>
    <w:rsid w:val="002B4480"/>
    <w:rsid w:val="002B4915"/>
    <w:rsid w:val="002B49B7"/>
    <w:rsid w:val="002B4A45"/>
    <w:rsid w:val="002B4C53"/>
    <w:rsid w:val="002B4E56"/>
    <w:rsid w:val="002B4FA8"/>
    <w:rsid w:val="002B5109"/>
    <w:rsid w:val="002B5161"/>
    <w:rsid w:val="002B52CD"/>
    <w:rsid w:val="002B530A"/>
    <w:rsid w:val="002B5655"/>
    <w:rsid w:val="002B572C"/>
    <w:rsid w:val="002B5B89"/>
    <w:rsid w:val="002B5BA0"/>
    <w:rsid w:val="002B5C38"/>
    <w:rsid w:val="002B5C57"/>
    <w:rsid w:val="002B5E7D"/>
    <w:rsid w:val="002B63B9"/>
    <w:rsid w:val="002B67D6"/>
    <w:rsid w:val="002B6993"/>
    <w:rsid w:val="002B6C48"/>
    <w:rsid w:val="002B6FA1"/>
    <w:rsid w:val="002B71FA"/>
    <w:rsid w:val="002B72F6"/>
    <w:rsid w:val="002B7427"/>
    <w:rsid w:val="002B743E"/>
    <w:rsid w:val="002B77A1"/>
    <w:rsid w:val="002B7A99"/>
    <w:rsid w:val="002B7AE1"/>
    <w:rsid w:val="002B7AEF"/>
    <w:rsid w:val="002B7D17"/>
    <w:rsid w:val="002B7F61"/>
    <w:rsid w:val="002B7F6B"/>
    <w:rsid w:val="002B7FCA"/>
    <w:rsid w:val="002B7FE7"/>
    <w:rsid w:val="002C00B9"/>
    <w:rsid w:val="002C00F0"/>
    <w:rsid w:val="002C0202"/>
    <w:rsid w:val="002C02FF"/>
    <w:rsid w:val="002C0361"/>
    <w:rsid w:val="002C066E"/>
    <w:rsid w:val="002C070A"/>
    <w:rsid w:val="002C0730"/>
    <w:rsid w:val="002C08A9"/>
    <w:rsid w:val="002C0B82"/>
    <w:rsid w:val="002C104E"/>
    <w:rsid w:val="002C10FB"/>
    <w:rsid w:val="002C1404"/>
    <w:rsid w:val="002C1418"/>
    <w:rsid w:val="002C1427"/>
    <w:rsid w:val="002C14A3"/>
    <w:rsid w:val="002C15AD"/>
    <w:rsid w:val="002C167A"/>
    <w:rsid w:val="002C17BC"/>
    <w:rsid w:val="002C17E9"/>
    <w:rsid w:val="002C1ED5"/>
    <w:rsid w:val="002C2053"/>
    <w:rsid w:val="002C2108"/>
    <w:rsid w:val="002C2213"/>
    <w:rsid w:val="002C2291"/>
    <w:rsid w:val="002C22FF"/>
    <w:rsid w:val="002C235A"/>
    <w:rsid w:val="002C23D4"/>
    <w:rsid w:val="002C2403"/>
    <w:rsid w:val="002C24B5"/>
    <w:rsid w:val="002C2605"/>
    <w:rsid w:val="002C260B"/>
    <w:rsid w:val="002C263D"/>
    <w:rsid w:val="002C2645"/>
    <w:rsid w:val="002C2736"/>
    <w:rsid w:val="002C2839"/>
    <w:rsid w:val="002C2C40"/>
    <w:rsid w:val="002C3289"/>
    <w:rsid w:val="002C3498"/>
    <w:rsid w:val="002C354C"/>
    <w:rsid w:val="002C3687"/>
    <w:rsid w:val="002C37A4"/>
    <w:rsid w:val="002C3974"/>
    <w:rsid w:val="002C3CAA"/>
    <w:rsid w:val="002C3CBB"/>
    <w:rsid w:val="002C3ED1"/>
    <w:rsid w:val="002C40C7"/>
    <w:rsid w:val="002C4137"/>
    <w:rsid w:val="002C41DB"/>
    <w:rsid w:val="002C43BC"/>
    <w:rsid w:val="002C43D8"/>
    <w:rsid w:val="002C4400"/>
    <w:rsid w:val="002C45FE"/>
    <w:rsid w:val="002C46D5"/>
    <w:rsid w:val="002C4790"/>
    <w:rsid w:val="002C47BB"/>
    <w:rsid w:val="002C49E0"/>
    <w:rsid w:val="002C4B6D"/>
    <w:rsid w:val="002C556B"/>
    <w:rsid w:val="002C56F0"/>
    <w:rsid w:val="002C5A62"/>
    <w:rsid w:val="002C5A76"/>
    <w:rsid w:val="002C5AB4"/>
    <w:rsid w:val="002C5BDC"/>
    <w:rsid w:val="002C60C4"/>
    <w:rsid w:val="002C60C5"/>
    <w:rsid w:val="002C60C8"/>
    <w:rsid w:val="002C63EB"/>
    <w:rsid w:val="002C6655"/>
    <w:rsid w:val="002C676B"/>
    <w:rsid w:val="002C67F9"/>
    <w:rsid w:val="002C6AB7"/>
    <w:rsid w:val="002C6D7B"/>
    <w:rsid w:val="002C6FA2"/>
    <w:rsid w:val="002C6FFC"/>
    <w:rsid w:val="002C721B"/>
    <w:rsid w:val="002C73CA"/>
    <w:rsid w:val="002C7424"/>
    <w:rsid w:val="002C77A3"/>
    <w:rsid w:val="002C7813"/>
    <w:rsid w:val="002C79B0"/>
    <w:rsid w:val="002C7A8A"/>
    <w:rsid w:val="002C7AC2"/>
    <w:rsid w:val="002C7BA5"/>
    <w:rsid w:val="002C7DAA"/>
    <w:rsid w:val="002C7F78"/>
    <w:rsid w:val="002D02C0"/>
    <w:rsid w:val="002D03A4"/>
    <w:rsid w:val="002D04C2"/>
    <w:rsid w:val="002D0745"/>
    <w:rsid w:val="002D0B15"/>
    <w:rsid w:val="002D0DAA"/>
    <w:rsid w:val="002D0DB4"/>
    <w:rsid w:val="002D0EF5"/>
    <w:rsid w:val="002D1171"/>
    <w:rsid w:val="002D1226"/>
    <w:rsid w:val="002D16A6"/>
    <w:rsid w:val="002D1951"/>
    <w:rsid w:val="002D1A9C"/>
    <w:rsid w:val="002D1B6E"/>
    <w:rsid w:val="002D1C3F"/>
    <w:rsid w:val="002D1E24"/>
    <w:rsid w:val="002D2112"/>
    <w:rsid w:val="002D2124"/>
    <w:rsid w:val="002D2288"/>
    <w:rsid w:val="002D22F5"/>
    <w:rsid w:val="002D23ED"/>
    <w:rsid w:val="002D240F"/>
    <w:rsid w:val="002D241A"/>
    <w:rsid w:val="002D24D5"/>
    <w:rsid w:val="002D2519"/>
    <w:rsid w:val="002D25DB"/>
    <w:rsid w:val="002D2B99"/>
    <w:rsid w:val="002D2FE5"/>
    <w:rsid w:val="002D30BD"/>
    <w:rsid w:val="002D3188"/>
    <w:rsid w:val="002D32B8"/>
    <w:rsid w:val="002D3389"/>
    <w:rsid w:val="002D3638"/>
    <w:rsid w:val="002D363D"/>
    <w:rsid w:val="002D36BC"/>
    <w:rsid w:val="002D3CDF"/>
    <w:rsid w:val="002D402D"/>
    <w:rsid w:val="002D416E"/>
    <w:rsid w:val="002D4297"/>
    <w:rsid w:val="002D4382"/>
    <w:rsid w:val="002D43C5"/>
    <w:rsid w:val="002D4508"/>
    <w:rsid w:val="002D452C"/>
    <w:rsid w:val="002D4682"/>
    <w:rsid w:val="002D4911"/>
    <w:rsid w:val="002D4931"/>
    <w:rsid w:val="002D4C1D"/>
    <w:rsid w:val="002D4DBF"/>
    <w:rsid w:val="002D4E78"/>
    <w:rsid w:val="002D4F6A"/>
    <w:rsid w:val="002D4FF7"/>
    <w:rsid w:val="002D5107"/>
    <w:rsid w:val="002D51B8"/>
    <w:rsid w:val="002D5209"/>
    <w:rsid w:val="002D520A"/>
    <w:rsid w:val="002D52AD"/>
    <w:rsid w:val="002D554A"/>
    <w:rsid w:val="002D5823"/>
    <w:rsid w:val="002D5942"/>
    <w:rsid w:val="002D5A04"/>
    <w:rsid w:val="002D5C26"/>
    <w:rsid w:val="002D5DAF"/>
    <w:rsid w:val="002D6243"/>
    <w:rsid w:val="002D6434"/>
    <w:rsid w:val="002D64EA"/>
    <w:rsid w:val="002D68F6"/>
    <w:rsid w:val="002D6DCE"/>
    <w:rsid w:val="002D6E34"/>
    <w:rsid w:val="002D6E5C"/>
    <w:rsid w:val="002D6FD6"/>
    <w:rsid w:val="002D6FE3"/>
    <w:rsid w:val="002D7055"/>
    <w:rsid w:val="002D7456"/>
    <w:rsid w:val="002D7662"/>
    <w:rsid w:val="002D78E6"/>
    <w:rsid w:val="002D7ADE"/>
    <w:rsid w:val="002D7E42"/>
    <w:rsid w:val="002E0085"/>
    <w:rsid w:val="002E02E9"/>
    <w:rsid w:val="002E03B0"/>
    <w:rsid w:val="002E05FA"/>
    <w:rsid w:val="002E095B"/>
    <w:rsid w:val="002E0B82"/>
    <w:rsid w:val="002E0BD2"/>
    <w:rsid w:val="002E0C6E"/>
    <w:rsid w:val="002E0D46"/>
    <w:rsid w:val="002E0E0C"/>
    <w:rsid w:val="002E0FF0"/>
    <w:rsid w:val="002E119D"/>
    <w:rsid w:val="002E16E4"/>
    <w:rsid w:val="002E17C7"/>
    <w:rsid w:val="002E18CB"/>
    <w:rsid w:val="002E1BC1"/>
    <w:rsid w:val="002E1BDB"/>
    <w:rsid w:val="002E1C9B"/>
    <w:rsid w:val="002E1CB3"/>
    <w:rsid w:val="002E1CE8"/>
    <w:rsid w:val="002E1DD1"/>
    <w:rsid w:val="002E1FAE"/>
    <w:rsid w:val="002E2324"/>
    <w:rsid w:val="002E2C87"/>
    <w:rsid w:val="002E2D0F"/>
    <w:rsid w:val="002E2DA6"/>
    <w:rsid w:val="002E2ECC"/>
    <w:rsid w:val="002E31EC"/>
    <w:rsid w:val="002E3269"/>
    <w:rsid w:val="002E33A0"/>
    <w:rsid w:val="002E3636"/>
    <w:rsid w:val="002E3824"/>
    <w:rsid w:val="002E38C9"/>
    <w:rsid w:val="002E3965"/>
    <w:rsid w:val="002E39B4"/>
    <w:rsid w:val="002E3A1C"/>
    <w:rsid w:val="002E3AE5"/>
    <w:rsid w:val="002E3BDF"/>
    <w:rsid w:val="002E3E3A"/>
    <w:rsid w:val="002E3F15"/>
    <w:rsid w:val="002E3F9F"/>
    <w:rsid w:val="002E40B5"/>
    <w:rsid w:val="002E41A5"/>
    <w:rsid w:val="002E4281"/>
    <w:rsid w:val="002E42F7"/>
    <w:rsid w:val="002E4466"/>
    <w:rsid w:val="002E44D6"/>
    <w:rsid w:val="002E466F"/>
    <w:rsid w:val="002E47BA"/>
    <w:rsid w:val="002E4829"/>
    <w:rsid w:val="002E48BD"/>
    <w:rsid w:val="002E4A7B"/>
    <w:rsid w:val="002E4A80"/>
    <w:rsid w:val="002E4CB2"/>
    <w:rsid w:val="002E4FAA"/>
    <w:rsid w:val="002E5116"/>
    <w:rsid w:val="002E5173"/>
    <w:rsid w:val="002E5302"/>
    <w:rsid w:val="002E5513"/>
    <w:rsid w:val="002E5571"/>
    <w:rsid w:val="002E564C"/>
    <w:rsid w:val="002E565D"/>
    <w:rsid w:val="002E56C7"/>
    <w:rsid w:val="002E5898"/>
    <w:rsid w:val="002E589C"/>
    <w:rsid w:val="002E598B"/>
    <w:rsid w:val="002E5CE4"/>
    <w:rsid w:val="002E5FF8"/>
    <w:rsid w:val="002E6456"/>
    <w:rsid w:val="002E654B"/>
    <w:rsid w:val="002E67AF"/>
    <w:rsid w:val="002E689B"/>
    <w:rsid w:val="002E68AD"/>
    <w:rsid w:val="002E68F5"/>
    <w:rsid w:val="002E6B15"/>
    <w:rsid w:val="002E6E1F"/>
    <w:rsid w:val="002E6F3D"/>
    <w:rsid w:val="002E7087"/>
    <w:rsid w:val="002E7288"/>
    <w:rsid w:val="002E7299"/>
    <w:rsid w:val="002E749D"/>
    <w:rsid w:val="002E752F"/>
    <w:rsid w:val="002E75BC"/>
    <w:rsid w:val="002E794E"/>
    <w:rsid w:val="002E79AE"/>
    <w:rsid w:val="002E7A11"/>
    <w:rsid w:val="002E7BD7"/>
    <w:rsid w:val="002E7DD9"/>
    <w:rsid w:val="002E7F62"/>
    <w:rsid w:val="002F000A"/>
    <w:rsid w:val="002F01B1"/>
    <w:rsid w:val="002F022A"/>
    <w:rsid w:val="002F0345"/>
    <w:rsid w:val="002F044B"/>
    <w:rsid w:val="002F0568"/>
    <w:rsid w:val="002F0700"/>
    <w:rsid w:val="002F085E"/>
    <w:rsid w:val="002F0B57"/>
    <w:rsid w:val="002F0B88"/>
    <w:rsid w:val="002F0B97"/>
    <w:rsid w:val="002F0C9F"/>
    <w:rsid w:val="002F0D05"/>
    <w:rsid w:val="002F0EC7"/>
    <w:rsid w:val="002F11DD"/>
    <w:rsid w:val="002F1205"/>
    <w:rsid w:val="002F1281"/>
    <w:rsid w:val="002F12E1"/>
    <w:rsid w:val="002F146B"/>
    <w:rsid w:val="002F1593"/>
    <w:rsid w:val="002F17A0"/>
    <w:rsid w:val="002F17F0"/>
    <w:rsid w:val="002F1B1F"/>
    <w:rsid w:val="002F1D1B"/>
    <w:rsid w:val="002F1F23"/>
    <w:rsid w:val="002F1F74"/>
    <w:rsid w:val="002F1FF5"/>
    <w:rsid w:val="002F2150"/>
    <w:rsid w:val="002F2568"/>
    <w:rsid w:val="002F262C"/>
    <w:rsid w:val="002F26D5"/>
    <w:rsid w:val="002F27E4"/>
    <w:rsid w:val="002F28B3"/>
    <w:rsid w:val="002F2980"/>
    <w:rsid w:val="002F2A80"/>
    <w:rsid w:val="002F2AF7"/>
    <w:rsid w:val="002F2B0D"/>
    <w:rsid w:val="002F2B13"/>
    <w:rsid w:val="002F2C06"/>
    <w:rsid w:val="002F2DA6"/>
    <w:rsid w:val="002F2F6A"/>
    <w:rsid w:val="002F3021"/>
    <w:rsid w:val="002F3706"/>
    <w:rsid w:val="002F392F"/>
    <w:rsid w:val="002F39AC"/>
    <w:rsid w:val="002F39E6"/>
    <w:rsid w:val="002F3A62"/>
    <w:rsid w:val="002F3AB9"/>
    <w:rsid w:val="002F3AD5"/>
    <w:rsid w:val="002F3C53"/>
    <w:rsid w:val="002F3C60"/>
    <w:rsid w:val="002F3D64"/>
    <w:rsid w:val="002F3F85"/>
    <w:rsid w:val="002F404B"/>
    <w:rsid w:val="002F41A6"/>
    <w:rsid w:val="002F42F8"/>
    <w:rsid w:val="002F4353"/>
    <w:rsid w:val="002F4538"/>
    <w:rsid w:val="002F45FD"/>
    <w:rsid w:val="002F4698"/>
    <w:rsid w:val="002F487D"/>
    <w:rsid w:val="002F489A"/>
    <w:rsid w:val="002F4A41"/>
    <w:rsid w:val="002F4CDD"/>
    <w:rsid w:val="002F4D00"/>
    <w:rsid w:val="002F4DD0"/>
    <w:rsid w:val="002F50F2"/>
    <w:rsid w:val="002F510D"/>
    <w:rsid w:val="002F5374"/>
    <w:rsid w:val="002F548E"/>
    <w:rsid w:val="002F54E4"/>
    <w:rsid w:val="002F5684"/>
    <w:rsid w:val="002F579B"/>
    <w:rsid w:val="002F581B"/>
    <w:rsid w:val="002F59FA"/>
    <w:rsid w:val="002F5B88"/>
    <w:rsid w:val="002F5BAC"/>
    <w:rsid w:val="002F5C72"/>
    <w:rsid w:val="002F5CD5"/>
    <w:rsid w:val="002F6011"/>
    <w:rsid w:val="002F6083"/>
    <w:rsid w:val="002F60A9"/>
    <w:rsid w:val="002F6138"/>
    <w:rsid w:val="002F635E"/>
    <w:rsid w:val="002F636B"/>
    <w:rsid w:val="002F65A7"/>
    <w:rsid w:val="002F65BE"/>
    <w:rsid w:val="002F660A"/>
    <w:rsid w:val="002F6634"/>
    <w:rsid w:val="002F66DB"/>
    <w:rsid w:val="002F67A5"/>
    <w:rsid w:val="002F6886"/>
    <w:rsid w:val="002F6942"/>
    <w:rsid w:val="002F6995"/>
    <w:rsid w:val="002F699A"/>
    <w:rsid w:val="002F6A8E"/>
    <w:rsid w:val="002F6B36"/>
    <w:rsid w:val="002F6B9A"/>
    <w:rsid w:val="002F6D0E"/>
    <w:rsid w:val="002F6DF4"/>
    <w:rsid w:val="002F6F46"/>
    <w:rsid w:val="002F711D"/>
    <w:rsid w:val="002F71EC"/>
    <w:rsid w:val="002F7237"/>
    <w:rsid w:val="002F7576"/>
    <w:rsid w:val="002F758F"/>
    <w:rsid w:val="002F7905"/>
    <w:rsid w:val="002F7981"/>
    <w:rsid w:val="002F79DD"/>
    <w:rsid w:val="002F7BAE"/>
    <w:rsid w:val="002F7BD2"/>
    <w:rsid w:val="002F7C64"/>
    <w:rsid w:val="002F7C9F"/>
    <w:rsid w:val="002F7DA1"/>
    <w:rsid w:val="002F7E00"/>
    <w:rsid w:val="002F7E5A"/>
    <w:rsid w:val="002F7E5B"/>
    <w:rsid w:val="002F7EC5"/>
    <w:rsid w:val="00300006"/>
    <w:rsid w:val="00300220"/>
    <w:rsid w:val="00300340"/>
    <w:rsid w:val="003003F3"/>
    <w:rsid w:val="0030051B"/>
    <w:rsid w:val="00300527"/>
    <w:rsid w:val="003006E5"/>
    <w:rsid w:val="003008F0"/>
    <w:rsid w:val="00300909"/>
    <w:rsid w:val="00300965"/>
    <w:rsid w:val="00300978"/>
    <w:rsid w:val="00300A53"/>
    <w:rsid w:val="00300B1C"/>
    <w:rsid w:val="00300CC1"/>
    <w:rsid w:val="00300F74"/>
    <w:rsid w:val="00300F85"/>
    <w:rsid w:val="00300F9D"/>
    <w:rsid w:val="00300FFB"/>
    <w:rsid w:val="003010CE"/>
    <w:rsid w:val="00301100"/>
    <w:rsid w:val="003011DC"/>
    <w:rsid w:val="00301254"/>
    <w:rsid w:val="00301269"/>
    <w:rsid w:val="0030199A"/>
    <w:rsid w:val="00301A3B"/>
    <w:rsid w:val="00301ADD"/>
    <w:rsid w:val="00301CB4"/>
    <w:rsid w:val="00301CC2"/>
    <w:rsid w:val="00301EF3"/>
    <w:rsid w:val="00302087"/>
    <w:rsid w:val="003020BA"/>
    <w:rsid w:val="003022E1"/>
    <w:rsid w:val="00302503"/>
    <w:rsid w:val="00302601"/>
    <w:rsid w:val="00302824"/>
    <w:rsid w:val="00302997"/>
    <w:rsid w:val="0030299E"/>
    <w:rsid w:val="00302C2E"/>
    <w:rsid w:val="00302CA2"/>
    <w:rsid w:val="00303051"/>
    <w:rsid w:val="00303069"/>
    <w:rsid w:val="003031A2"/>
    <w:rsid w:val="0030327D"/>
    <w:rsid w:val="00303381"/>
    <w:rsid w:val="00303507"/>
    <w:rsid w:val="00303616"/>
    <w:rsid w:val="003036CA"/>
    <w:rsid w:val="0030379E"/>
    <w:rsid w:val="00303A77"/>
    <w:rsid w:val="00303C63"/>
    <w:rsid w:val="00303CF4"/>
    <w:rsid w:val="00303F9D"/>
    <w:rsid w:val="003041E0"/>
    <w:rsid w:val="00304202"/>
    <w:rsid w:val="00304497"/>
    <w:rsid w:val="00304559"/>
    <w:rsid w:val="003046FC"/>
    <w:rsid w:val="003047A8"/>
    <w:rsid w:val="003047E0"/>
    <w:rsid w:val="00304901"/>
    <w:rsid w:val="003049EF"/>
    <w:rsid w:val="00304B8C"/>
    <w:rsid w:val="00304F59"/>
    <w:rsid w:val="003052A6"/>
    <w:rsid w:val="0030539B"/>
    <w:rsid w:val="003053B0"/>
    <w:rsid w:val="0030556F"/>
    <w:rsid w:val="0030566F"/>
    <w:rsid w:val="00305824"/>
    <w:rsid w:val="00305962"/>
    <w:rsid w:val="00305E96"/>
    <w:rsid w:val="00305F81"/>
    <w:rsid w:val="00305F91"/>
    <w:rsid w:val="0030607A"/>
    <w:rsid w:val="003061D5"/>
    <w:rsid w:val="00306355"/>
    <w:rsid w:val="003064AF"/>
    <w:rsid w:val="003065EE"/>
    <w:rsid w:val="00306658"/>
    <w:rsid w:val="003068AA"/>
    <w:rsid w:val="00306967"/>
    <w:rsid w:val="00306ACD"/>
    <w:rsid w:val="00306BF8"/>
    <w:rsid w:val="00306C0C"/>
    <w:rsid w:val="00306C70"/>
    <w:rsid w:val="00306DAF"/>
    <w:rsid w:val="00306DCC"/>
    <w:rsid w:val="00306DE6"/>
    <w:rsid w:val="00306DF6"/>
    <w:rsid w:val="00306FE4"/>
    <w:rsid w:val="00307213"/>
    <w:rsid w:val="00307254"/>
    <w:rsid w:val="00307424"/>
    <w:rsid w:val="0030750E"/>
    <w:rsid w:val="00307590"/>
    <w:rsid w:val="00307645"/>
    <w:rsid w:val="00307768"/>
    <w:rsid w:val="00307ACF"/>
    <w:rsid w:val="00307BAD"/>
    <w:rsid w:val="00307DFD"/>
    <w:rsid w:val="00307F13"/>
    <w:rsid w:val="00310027"/>
    <w:rsid w:val="00310382"/>
    <w:rsid w:val="003103BE"/>
    <w:rsid w:val="003106B3"/>
    <w:rsid w:val="00310882"/>
    <w:rsid w:val="00310955"/>
    <w:rsid w:val="00310AE8"/>
    <w:rsid w:val="00310B9B"/>
    <w:rsid w:val="00310D85"/>
    <w:rsid w:val="00310D86"/>
    <w:rsid w:val="00311081"/>
    <w:rsid w:val="003110FF"/>
    <w:rsid w:val="0031112C"/>
    <w:rsid w:val="00311208"/>
    <w:rsid w:val="0031154E"/>
    <w:rsid w:val="00311648"/>
    <w:rsid w:val="0031167A"/>
    <w:rsid w:val="003117A3"/>
    <w:rsid w:val="003117CE"/>
    <w:rsid w:val="00311825"/>
    <w:rsid w:val="00311962"/>
    <w:rsid w:val="00311C48"/>
    <w:rsid w:val="00311E84"/>
    <w:rsid w:val="00311FEB"/>
    <w:rsid w:val="00312272"/>
    <w:rsid w:val="0031230C"/>
    <w:rsid w:val="0031267B"/>
    <w:rsid w:val="00312720"/>
    <w:rsid w:val="00312725"/>
    <w:rsid w:val="0031273D"/>
    <w:rsid w:val="00312A9E"/>
    <w:rsid w:val="00312B0F"/>
    <w:rsid w:val="00312DB2"/>
    <w:rsid w:val="00312EF0"/>
    <w:rsid w:val="003130D0"/>
    <w:rsid w:val="003131AB"/>
    <w:rsid w:val="0031328E"/>
    <w:rsid w:val="003132AE"/>
    <w:rsid w:val="00313318"/>
    <w:rsid w:val="00313530"/>
    <w:rsid w:val="00313726"/>
    <w:rsid w:val="003138BF"/>
    <w:rsid w:val="00313956"/>
    <w:rsid w:val="00313B04"/>
    <w:rsid w:val="00313D68"/>
    <w:rsid w:val="00313DC7"/>
    <w:rsid w:val="00313E45"/>
    <w:rsid w:val="00313F89"/>
    <w:rsid w:val="00314012"/>
    <w:rsid w:val="003142BD"/>
    <w:rsid w:val="003144A0"/>
    <w:rsid w:val="003145AA"/>
    <w:rsid w:val="00314B43"/>
    <w:rsid w:val="00315073"/>
    <w:rsid w:val="00315183"/>
    <w:rsid w:val="003152D1"/>
    <w:rsid w:val="003155F6"/>
    <w:rsid w:val="0031561B"/>
    <w:rsid w:val="0031571E"/>
    <w:rsid w:val="00315756"/>
    <w:rsid w:val="003157B5"/>
    <w:rsid w:val="003157EC"/>
    <w:rsid w:val="00315CC6"/>
    <w:rsid w:val="00315D01"/>
    <w:rsid w:val="00315E78"/>
    <w:rsid w:val="003161F6"/>
    <w:rsid w:val="003162A0"/>
    <w:rsid w:val="003163DD"/>
    <w:rsid w:val="00316477"/>
    <w:rsid w:val="00316541"/>
    <w:rsid w:val="003167FD"/>
    <w:rsid w:val="0031695F"/>
    <w:rsid w:val="00316A73"/>
    <w:rsid w:val="00316B46"/>
    <w:rsid w:val="00316BD5"/>
    <w:rsid w:val="00316CF9"/>
    <w:rsid w:val="00316FFA"/>
    <w:rsid w:val="0031707C"/>
    <w:rsid w:val="00317269"/>
    <w:rsid w:val="00317321"/>
    <w:rsid w:val="00317323"/>
    <w:rsid w:val="003173EB"/>
    <w:rsid w:val="003175E8"/>
    <w:rsid w:val="003179B1"/>
    <w:rsid w:val="003179C1"/>
    <w:rsid w:val="00317C47"/>
    <w:rsid w:val="00317CD9"/>
    <w:rsid w:val="00317D10"/>
    <w:rsid w:val="00320007"/>
    <w:rsid w:val="0032012F"/>
    <w:rsid w:val="003202FF"/>
    <w:rsid w:val="0032057D"/>
    <w:rsid w:val="00320599"/>
    <w:rsid w:val="0032074A"/>
    <w:rsid w:val="00320759"/>
    <w:rsid w:val="00320AB9"/>
    <w:rsid w:val="00320D9E"/>
    <w:rsid w:val="00321036"/>
    <w:rsid w:val="00321070"/>
    <w:rsid w:val="0032111B"/>
    <w:rsid w:val="00321256"/>
    <w:rsid w:val="003215A6"/>
    <w:rsid w:val="003216AC"/>
    <w:rsid w:val="003219A6"/>
    <w:rsid w:val="00321A25"/>
    <w:rsid w:val="00321A35"/>
    <w:rsid w:val="00321BC1"/>
    <w:rsid w:val="003221C5"/>
    <w:rsid w:val="003224FC"/>
    <w:rsid w:val="003225E6"/>
    <w:rsid w:val="0032271B"/>
    <w:rsid w:val="003227B5"/>
    <w:rsid w:val="003227B8"/>
    <w:rsid w:val="003228BA"/>
    <w:rsid w:val="00322B43"/>
    <w:rsid w:val="00322B69"/>
    <w:rsid w:val="00322BC3"/>
    <w:rsid w:val="00322D06"/>
    <w:rsid w:val="00322D31"/>
    <w:rsid w:val="00322DB5"/>
    <w:rsid w:val="003231C5"/>
    <w:rsid w:val="003232BF"/>
    <w:rsid w:val="003232E3"/>
    <w:rsid w:val="003233B2"/>
    <w:rsid w:val="003236AD"/>
    <w:rsid w:val="00323B84"/>
    <w:rsid w:val="00323BCC"/>
    <w:rsid w:val="00323C00"/>
    <w:rsid w:val="00323D15"/>
    <w:rsid w:val="00323D78"/>
    <w:rsid w:val="00323F36"/>
    <w:rsid w:val="003242DD"/>
    <w:rsid w:val="00324360"/>
    <w:rsid w:val="003243F2"/>
    <w:rsid w:val="003245C3"/>
    <w:rsid w:val="00324AB8"/>
    <w:rsid w:val="00324B3B"/>
    <w:rsid w:val="00325096"/>
    <w:rsid w:val="00325213"/>
    <w:rsid w:val="003252C1"/>
    <w:rsid w:val="003256B3"/>
    <w:rsid w:val="00325758"/>
    <w:rsid w:val="00325B84"/>
    <w:rsid w:val="00325D87"/>
    <w:rsid w:val="00325EAF"/>
    <w:rsid w:val="0032602A"/>
    <w:rsid w:val="00326033"/>
    <w:rsid w:val="003262AF"/>
    <w:rsid w:val="003264FD"/>
    <w:rsid w:val="0032657F"/>
    <w:rsid w:val="00326767"/>
    <w:rsid w:val="00326990"/>
    <w:rsid w:val="00326DD9"/>
    <w:rsid w:val="00326E81"/>
    <w:rsid w:val="003272AF"/>
    <w:rsid w:val="003272CD"/>
    <w:rsid w:val="00327525"/>
    <w:rsid w:val="003275B7"/>
    <w:rsid w:val="003276E9"/>
    <w:rsid w:val="003278C9"/>
    <w:rsid w:val="00327A36"/>
    <w:rsid w:val="00327B7A"/>
    <w:rsid w:val="00327BCA"/>
    <w:rsid w:val="00327D89"/>
    <w:rsid w:val="00327F55"/>
    <w:rsid w:val="00330128"/>
    <w:rsid w:val="00330308"/>
    <w:rsid w:val="0033032D"/>
    <w:rsid w:val="00330540"/>
    <w:rsid w:val="0033067C"/>
    <w:rsid w:val="00330857"/>
    <w:rsid w:val="003313F6"/>
    <w:rsid w:val="003314BE"/>
    <w:rsid w:val="003314DD"/>
    <w:rsid w:val="00331513"/>
    <w:rsid w:val="003315F4"/>
    <w:rsid w:val="00331652"/>
    <w:rsid w:val="00331685"/>
    <w:rsid w:val="003316C5"/>
    <w:rsid w:val="003317E0"/>
    <w:rsid w:val="003319BC"/>
    <w:rsid w:val="00331B15"/>
    <w:rsid w:val="00331B2F"/>
    <w:rsid w:val="00331D80"/>
    <w:rsid w:val="00331E75"/>
    <w:rsid w:val="00331E89"/>
    <w:rsid w:val="00331F03"/>
    <w:rsid w:val="00331F08"/>
    <w:rsid w:val="003321A3"/>
    <w:rsid w:val="003321A4"/>
    <w:rsid w:val="003321AD"/>
    <w:rsid w:val="003322AD"/>
    <w:rsid w:val="0033251E"/>
    <w:rsid w:val="00332730"/>
    <w:rsid w:val="003327CB"/>
    <w:rsid w:val="00332818"/>
    <w:rsid w:val="00332A81"/>
    <w:rsid w:val="00332CB4"/>
    <w:rsid w:val="00332D6A"/>
    <w:rsid w:val="00332FDC"/>
    <w:rsid w:val="00333095"/>
    <w:rsid w:val="00333392"/>
    <w:rsid w:val="003333B4"/>
    <w:rsid w:val="00333406"/>
    <w:rsid w:val="00333557"/>
    <w:rsid w:val="00333801"/>
    <w:rsid w:val="0033386A"/>
    <w:rsid w:val="00333899"/>
    <w:rsid w:val="0033395B"/>
    <w:rsid w:val="00333A3B"/>
    <w:rsid w:val="00333B43"/>
    <w:rsid w:val="00333B97"/>
    <w:rsid w:val="00333C4E"/>
    <w:rsid w:val="00333E4C"/>
    <w:rsid w:val="00333E92"/>
    <w:rsid w:val="00333F30"/>
    <w:rsid w:val="00333FAE"/>
    <w:rsid w:val="003340F2"/>
    <w:rsid w:val="003341D0"/>
    <w:rsid w:val="003345A8"/>
    <w:rsid w:val="003345E5"/>
    <w:rsid w:val="00334765"/>
    <w:rsid w:val="003347CE"/>
    <w:rsid w:val="00334816"/>
    <w:rsid w:val="003349AD"/>
    <w:rsid w:val="00334BCE"/>
    <w:rsid w:val="00334D5E"/>
    <w:rsid w:val="00335078"/>
    <w:rsid w:val="0033525E"/>
    <w:rsid w:val="003352AB"/>
    <w:rsid w:val="00335507"/>
    <w:rsid w:val="00335842"/>
    <w:rsid w:val="00335AA9"/>
    <w:rsid w:val="00335C85"/>
    <w:rsid w:val="00335E63"/>
    <w:rsid w:val="0033669C"/>
    <w:rsid w:val="00336E5D"/>
    <w:rsid w:val="00336EBA"/>
    <w:rsid w:val="00337006"/>
    <w:rsid w:val="0033701C"/>
    <w:rsid w:val="0033705C"/>
    <w:rsid w:val="003370CE"/>
    <w:rsid w:val="003375D5"/>
    <w:rsid w:val="00337630"/>
    <w:rsid w:val="003376E3"/>
    <w:rsid w:val="003377D7"/>
    <w:rsid w:val="00337C43"/>
    <w:rsid w:val="00337CF7"/>
    <w:rsid w:val="00337EF9"/>
    <w:rsid w:val="00337F04"/>
    <w:rsid w:val="003403DD"/>
    <w:rsid w:val="003404A8"/>
    <w:rsid w:val="00340818"/>
    <w:rsid w:val="0034094D"/>
    <w:rsid w:val="00340B22"/>
    <w:rsid w:val="00340C6C"/>
    <w:rsid w:val="00340E48"/>
    <w:rsid w:val="00341028"/>
    <w:rsid w:val="00341068"/>
    <w:rsid w:val="003410C3"/>
    <w:rsid w:val="0034118B"/>
    <w:rsid w:val="003411BE"/>
    <w:rsid w:val="0034123B"/>
    <w:rsid w:val="0034142F"/>
    <w:rsid w:val="003415D5"/>
    <w:rsid w:val="003419F5"/>
    <w:rsid w:val="00341A96"/>
    <w:rsid w:val="00341AE8"/>
    <w:rsid w:val="00341DA8"/>
    <w:rsid w:val="00341DBE"/>
    <w:rsid w:val="00341E36"/>
    <w:rsid w:val="003421EE"/>
    <w:rsid w:val="0034227E"/>
    <w:rsid w:val="003422A6"/>
    <w:rsid w:val="003423BD"/>
    <w:rsid w:val="0034260A"/>
    <w:rsid w:val="003427D4"/>
    <w:rsid w:val="003429CF"/>
    <w:rsid w:val="003429EA"/>
    <w:rsid w:val="00342B2D"/>
    <w:rsid w:val="00342E03"/>
    <w:rsid w:val="00342E7B"/>
    <w:rsid w:val="00342F72"/>
    <w:rsid w:val="00342FA7"/>
    <w:rsid w:val="0034307F"/>
    <w:rsid w:val="00343320"/>
    <w:rsid w:val="00343441"/>
    <w:rsid w:val="003434C9"/>
    <w:rsid w:val="003436DF"/>
    <w:rsid w:val="00343940"/>
    <w:rsid w:val="00343A37"/>
    <w:rsid w:val="00343A49"/>
    <w:rsid w:val="00343CF2"/>
    <w:rsid w:val="00344470"/>
    <w:rsid w:val="00344864"/>
    <w:rsid w:val="00344908"/>
    <w:rsid w:val="00344914"/>
    <w:rsid w:val="003449FC"/>
    <w:rsid w:val="00344A3C"/>
    <w:rsid w:val="00344B7A"/>
    <w:rsid w:val="00344BB2"/>
    <w:rsid w:val="00344C98"/>
    <w:rsid w:val="00344CE8"/>
    <w:rsid w:val="00344DC2"/>
    <w:rsid w:val="0034511F"/>
    <w:rsid w:val="0034512E"/>
    <w:rsid w:val="0034536B"/>
    <w:rsid w:val="003453BA"/>
    <w:rsid w:val="00345454"/>
    <w:rsid w:val="0034554E"/>
    <w:rsid w:val="00345644"/>
    <w:rsid w:val="00345683"/>
    <w:rsid w:val="003456C0"/>
    <w:rsid w:val="00345B53"/>
    <w:rsid w:val="00345F46"/>
    <w:rsid w:val="00346001"/>
    <w:rsid w:val="0034606E"/>
    <w:rsid w:val="003461A1"/>
    <w:rsid w:val="00346415"/>
    <w:rsid w:val="003464B4"/>
    <w:rsid w:val="003464F0"/>
    <w:rsid w:val="003466BE"/>
    <w:rsid w:val="003467E1"/>
    <w:rsid w:val="00346814"/>
    <w:rsid w:val="00346A9E"/>
    <w:rsid w:val="00346AED"/>
    <w:rsid w:val="00346B16"/>
    <w:rsid w:val="00346BCF"/>
    <w:rsid w:val="00346BE3"/>
    <w:rsid w:val="003470A4"/>
    <w:rsid w:val="003471E2"/>
    <w:rsid w:val="00347791"/>
    <w:rsid w:val="003478F7"/>
    <w:rsid w:val="00347957"/>
    <w:rsid w:val="00347AE6"/>
    <w:rsid w:val="00347B74"/>
    <w:rsid w:val="00347D0B"/>
    <w:rsid w:val="00347D87"/>
    <w:rsid w:val="003501BA"/>
    <w:rsid w:val="00350347"/>
    <w:rsid w:val="003503AC"/>
    <w:rsid w:val="00350662"/>
    <w:rsid w:val="00350674"/>
    <w:rsid w:val="003506FF"/>
    <w:rsid w:val="00350739"/>
    <w:rsid w:val="0035079A"/>
    <w:rsid w:val="003507B8"/>
    <w:rsid w:val="0035086B"/>
    <w:rsid w:val="00350880"/>
    <w:rsid w:val="00350CE8"/>
    <w:rsid w:val="00350FFA"/>
    <w:rsid w:val="003513A6"/>
    <w:rsid w:val="0035159E"/>
    <w:rsid w:val="003516AE"/>
    <w:rsid w:val="003516CE"/>
    <w:rsid w:val="00351C63"/>
    <w:rsid w:val="00351D9A"/>
    <w:rsid w:val="00351EE9"/>
    <w:rsid w:val="00351F85"/>
    <w:rsid w:val="00352031"/>
    <w:rsid w:val="00352327"/>
    <w:rsid w:val="0035253C"/>
    <w:rsid w:val="003526F1"/>
    <w:rsid w:val="00352AB2"/>
    <w:rsid w:val="00352F79"/>
    <w:rsid w:val="0035300D"/>
    <w:rsid w:val="00353117"/>
    <w:rsid w:val="0035315A"/>
    <w:rsid w:val="00353174"/>
    <w:rsid w:val="00353277"/>
    <w:rsid w:val="003532FB"/>
    <w:rsid w:val="003533F1"/>
    <w:rsid w:val="003534A4"/>
    <w:rsid w:val="003534F7"/>
    <w:rsid w:val="0035366D"/>
    <w:rsid w:val="0035374A"/>
    <w:rsid w:val="00353920"/>
    <w:rsid w:val="00353A78"/>
    <w:rsid w:val="00353AB9"/>
    <w:rsid w:val="00353B77"/>
    <w:rsid w:val="00353CC1"/>
    <w:rsid w:val="00353D44"/>
    <w:rsid w:val="00353EF1"/>
    <w:rsid w:val="00353F79"/>
    <w:rsid w:val="003543B3"/>
    <w:rsid w:val="003545AD"/>
    <w:rsid w:val="0035463C"/>
    <w:rsid w:val="0035471B"/>
    <w:rsid w:val="003549C2"/>
    <w:rsid w:val="00354A33"/>
    <w:rsid w:val="00354BD5"/>
    <w:rsid w:val="0035506B"/>
    <w:rsid w:val="0035517B"/>
    <w:rsid w:val="0035519F"/>
    <w:rsid w:val="003551EB"/>
    <w:rsid w:val="003554E8"/>
    <w:rsid w:val="00355570"/>
    <w:rsid w:val="003556DA"/>
    <w:rsid w:val="003557CE"/>
    <w:rsid w:val="0035589D"/>
    <w:rsid w:val="003559F6"/>
    <w:rsid w:val="00355AE6"/>
    <w:rsid w:val="00355B85"/>
    <w:rsid w:val="00355D0C"/>
    <w:rsid w:val="00355DA3"/>
    <w:rsid w:val="00355EE3"/>
    <w:rsid w:val="00355FDC"/>
    <w:rsid w:val="0035602E"/>
    <w:rsid w:val="003560F1"/>
    <w:rsid w:val="003561DA"/>
    <w:rsid w:val="003562BC"/>
    <w:rsid w:val="003562EA"/>
    <w:rsid w:val="003563D1"/>
    <w:rsid w:val="00356479"/>
    <w:rsid w:val="003564A4"/>
    <w:rsid w:val="0035672B"/>
    <w:rsid w:val="00356B75"/>
    <w:rsid w:val="00356CD8"/>
    <w:rsid w:val="00356D36"/>
    <w:rsid w:val="00356E12"/>
    <w:rsid w:val="00356FD5"/>
    <w:rsid w:val="003572F0"/>
    <w:rsid w:val="003573DF"/>
    <w:rsid w:val="003600D5"/>
    <w:rsid w:val="003600F5"/>
    <w:rsid w:val="003602B9"/>
    <w:rsid w:val="003603CF"/>
    <w:rsid w:val="003604CD"/>
    <w:rsid w:val="00360531"/>
    <w:rsid w:val="00360597"/>
    <w:rsid w:val="003608D0"/>
    <w:rsid w:val="00360A5D"/>
    <w:rsid w:val="00360B8A"/>
    <w:rsid w:val="00360F44"/>
    <w:rsid w:val="00360F9E"/>
    <w:rsid w:val="003610E3"/>
    <w:rsid w:val="00361BEF"/>
    <w:rsid w:val="00361E69"/>
    <w:rsid w:val="00361F76"/>
    <w:rsid w:val="00362026"/>
    <w:rsid w:val="0036233F"/>
    <w:rsid w:val="00362359"/>
    <w:rsid w:val="003623B8"/>
    <w:rsid w:val="00362487"/>
    <w:rsid w:val="003628EB"/>
    <w:rsid w:val="00362A99"/>
    <w:rsid w:val="00362C87"/>
    <w:rsid w:val="00362DA5"/>
    <w:rsid w:val="00362DB9"/>
    <w:rsid w:val="00362EFF"/>
    <w:rsid w:val="00363048"/>
    <w:rsid w:val="003630CC"/>
    <w:rsid w:val="0036311F"/>
    <w:rsid w:val="00363153"/>
    <w:rsid w:val="0036320F"/>
    <w:rsid w:val="003632F0"/>
    <w:rsid w:val="0036332B"/>
    <w:rsid w:val="003633A7"/>
    <w:rsid w:val="003634E6"/>
    <w:rsid w:val="003635BA"/>
    <w:rsid w:val="00363639"/>
    <w:rsid w:val="0036375E"/>
    <w:rsid w:val="00363969"/>
    <w:rsid w:val="003639D0"/>
    <w:rsid w:val="00363A4C"/>
    <w:rsid w:val="00364114"/>
    <w:rsid w:val="0036414F"/>
    <w:rsid w:val="0036419F"/>
    <w:rsid w:val="003641C6"/>
    <w:rsid w:val="0036445F"/>
    <w:rsid w:val="0036453D"/>
    <w:rsid w:val="003646D8"/>
    <w:rsid w:val="00364A6A"/>
    <w:rsid w:val="00364A71"/>
    <w:rsid w:val="00364C63"/>
    <w:rsid w:val="00364CA6"/>
    <w:rsid w:val="00364E55"/>
    <w:rsid w:val="0036536E"/>
    <w:rsid w:val="00365429"/>
    <w:rsid w:val="00365747"/>
    <w:rsid w:val="00365ABA"/>
    <w:rsid w:val="00365DBE"/>
    <w:rsid w:val="00365E42"/>
    <w:rsid w:val="00365F3E"/>
    <w:rsid w:val="003662B7"/>
    <w:rsid w:val="00366474"/>
    <w:rsid w:val="0036679A"/>
    <w:rsid w:val="0036698A"/>
    <w:rsid w:val="00366B57"/>
    <w:rsid w:val="00366BE6"/>
    <w:rsid w:val="00366D73"/>
    <w:rsid w:val="00366E25"/>
    <w:rsid w:val="003670EB"/>
    <w:rsid w:val="003671FD"/>
    <w:rsid w:val="0036729A"/>
    <w:rsid w:val="003673D8"/>
    <w:rsid w:val="0036743F"/>
    <w:rsid w:val="00367ABC"/>
    <w:rsid w:val="00367BC5"/>
    <w:rsid w:val="00367C22"/>
    <w:rsid w:val="00367E8F"/>
    <w:rsid w:val="00370102"/>
    <w:rsid w:val="0037018F"/>
    <w:rsid w:val="00370274"/>
    <w:rsid w:val="0037037D"/>
    <w:rsid w:val="00370480"/>
    <w:rsid w:val="003704E4"/>
    <w:rsid w:val="003709CB"/>
    <w:rsid w:val="00370A26"/>
    <w:rsid w:val="00370D50"/>
    <w:rsid w:val="00370DA2"/>
    <w:rsid w:val="00370DB3"/>
    <w:rsid w:val="00370E0C"/>
    <w:rsid w:val="00370EF2"/>
    <w:rsid w:val="00370F35"/>
    <w:rsid w:val="003710FD"/>
    <w:rsid w:val="003714A5"/>
    <w:rsid w:val="0037171E"/>
    <w:rsid w:val="0037173D"/>
    <w:rsid w:val="00371842"/>
    <w:rsid w:val="0037190F"/>
    <w:rsid w:val="00371978"/>
    <w:rsid w:val="003719FB"/>
    <w:rsid w:val="003720DB"/>
    <w:rsid w:val="0037215D"/>
    <w:rsid w:val="00372284"/>
    <w:rsid w:val="00372387"/>
    <w:rsid w:val="003724B5"/>
    <w:rsid w:val="003726B9"/>
    <w:rsid w:val="00372771"/>
    <w:rsid w:val="00372790"/>
    <w:rsid w:val="003728D3"/>
    <w:rsid w:val="003729DC"/>
    <w:rsid w:val="00372EAE"/>
    <w:rsid w:val="00372ED4"/>
    <w:rsid w:val="0037322E"/>
    <w:rsid w:val="00373820"/>
    <w:rsid w:val="00373850"/>
    <w:rsid w:val="00373A2D"/>
    <w:rsid w:val="00373B6E"/>
    <w:rsid w:val="00373DE0"/>
    <w:rsid w:val="00373EBD"/>
    <w:rsid w:val="00374032"/>
    <w:rsid w:val="00374088"/>
    <w:rsid w:val="003744C9"/>
    <w:rsid w:val="00374651"/>
    <w:rsid w:val="003747FE"/>
    <w:rsid w:val="00374CD5"/>
    <w:rsid w:val="00374F2C"/>
    <w:rsid w:val="00374F60"/>
    <w:rsid w:val="00375229"/>
    <w:rsid w:val="0037569C"/>
    <w:rsid w:val="003757A0"/>
    <w:rsid w:val="0037595E"/>
    <w:rsid w:val="0037598E"/>
    <w:rsid w:val="003759D2"/>
    <w:rsid w:val="00375A76"/>
    <w:rsid w:val="00375ADD"/>
    <w:rsid w:val="00375C28"/>
    <w:rsid w:val="00376258"/>
    <w:rsid w:val="00376408"/>
    <w:rsid w:val="0037661B"/>
    <w:rsid w:val="00376644"/>
    <w:rsid w:val="00376974"/>
    <w:rsid w:val="0037699C"/>
    <w:rsid w:val="003769D4"/>
    <w:rsid w:val="00376D50"/>
    <w:rsid w:val="00376FEE"/>
    <w:rsid w:val="00377168"/>
    <w:rsid w:val="003772FD"/>
    <w:rsid w:val="00377405"/>
    <w:rsid w:val="003776C2"/>
    <w:rsid w:val="00377731"/>
    <w:rsid w:val="00377752"/>
    <w:rsid w:val="00377775"/>
    <w:rsid w:val="00377920"/>
    <w:rsid w:val="00377AED"/>
    <w:rsid w:val="00377DF0"/>
    <w:rsid w:val="003800C6"/>
    <w:rsid w:val="0038033C"/>
    <w:rsid w:val="003806E1"/>
    <w:rsid w:val="003807E9"/>
    <w:rsid w:val="00380A2A"/>
    <w:rsid w:val="00380B80"/>
    <w:rsid w:val="00380DC1"/>
    <w:rsid w:val="00380E32"/>
    <w:rsid w:val="00381088"/>
    <w:rsid w:val="003811CA"/>
    <w:rsid w:val="003812DD"/>
    <w:rsid w:val="00381386"/>
    <w:rsid w:val="00381425"/>
    <w:rsid w:val="003814F9"/>
    <w:rsid w:val="003816AF"/>
    <w:rsid w:val="003823BD"/>
    <w:rsid w:val="0038272C"/>
    <w:rsid w:val="00382731"/>
    <w:rsid w:val="003827EA"/>
    <w:rsid w:val="0038289A"/>
    <w:rsid w:val="00382B40"/>
    <w:rsid w:val="00382B94"/>
    <w:rsid w:val="00383050"/>
    <w:rsid w:val="0038307D"/>
    <w:rsid w:val="00383300"/>
    <w:rsid w:val="003833A8"/>
    <w:rsid w:val="003834E8"/>
    <w:rsid w:val="003839E8"/>
    <w:rsid w:val="00383AB8"/>
    <w:rsid w:val="00383EC9"/>
    <w:rsid w:val="00383F19"/>
    <w:rsid w:val="00383F1E"/>
    <w:rsid w:val="00384085"/>
    <w:rsid w:val="003840BA"/>
    <w:rsid w:val="00384130"/>
    <w:rsid w:val="00384251"/>
    <w:rsid w:val="003842C6"/>
    <w:rsid w:val="00384668"/>
    <w:rsid w:val="00384696"/>
    <w:rsid w:val="003847E2"/>
    <w:rsid w:val="00384A24"/>
    <w:rsid w:val="00384AA2"/>
    <w:rsid w:val="00384B0E"/>
    <w:rsid w:val="00384D08"/>
    <w:rsid w:val="00384EAB"/>
    <w:rsid w:val="00384EF0"/>
    <w:rsid w:val="003854F8"/>
    <w:rsid w:val="0038568F"/>
    <w:rsid w:val="003856ED"/>
    <w:rsid w:val="00385792"/>
    <w:rsid w:val="003857A0"/>
    <w:rsid w:val="0038599F"/>
    <w:rsid w:val="00385B44"/>
    <w:rsid w:val="00385DDC"/>
    <w:rsid w:val="00385F71"/>
    <w:rsid w:val="00386154"/>
    <w:rsid w:val="00386294"/>
    <w:rsid w:val="00386319"/>
    <w:rsid w:val="00386462"/>
    <w:rsid w:val="003865C2"/>
    <w:rsid w:val="00386696"/>
    <w:rsid w:val="0038669E"/>
    <w:rsid w:val="003867C4"/>
    <w:rsid w:val="003868BA"/>
    <w:rsid w:val="003869E6"/>
    <w:rsid w:val="00386B95"/>
    <w:rsid w:val="00386C05"/>
    <w:rsid w:val="00386D19"/>
    <w:rsid w:val="00386DF0"/>
    <w:rsid w:val="003870B4"/>
    <w:rsid w:val="003870BF"/>
    <w:rsid w:val="003872B0"/>
    <w:rsid w:val="0038733C"/>
    <w:rsid w:val="003874A5"/>
    <w:rsid w:val="003875C7"/>
    <w:rsid w:val="003877B3"/>
    <w:rsid w:val="00387895"/>
    <w:rsid w:val="0038791D"/>
    <w:rsid w:val="00387969"/>
    <w:rsid w:val="00387988"/>
    <w:rsid w:val="003879E3"/>
    <w:rsid w:val="00387E04"/>
    <w:rsid w:val="00387FA9"/>
    <w:rsid w:val="003900DA"/>
    <w:rsid w:val="00390187"/>
    <w:rsid w:val="003901C2"/>
    <w:rsid w:val="00390282"/>
    <w:rsid w:val="00390314"/>
    <w:rsid w:val="00390372"/>
    <w:rsid w:val="0039048B"/>
    <w:rsid w:val="003904D6"/>
    <w:rsid w:val="00390605"/>
    <w:rsid w:val="0039060D"/>
    <w:rsid w:val="003907A8"/>
    <w:rsid w:val="003907F7"/>
    <w:rsid w:val="003908D8"/>
    <w:rsid w:val="003909AC"/>
    <w:rsid w:val="00390AA3"/>
    <w:rsid w:val="00390AA5"/>
    <w:rsid w:val="00390AA9"/>
    <w:rsid w:val="00390C1B"/>
    <w:rsid w:val="00390E54"/>
    <w:rsid w:val="00390EA8"/>
    <w:rsid w:val="00390FDE"/>
    <w:rsid w:val="00391051"/>
    <w:rsid w:val="003912B5"/>
    <w:rsid w:val="003913BC"/>
    <w:rsid w:val="00391412"/>
    <w:rsid w:val="003915AD"/>
    <w:rsid w:val="0039175F"/>
    <w:rsid w:val="00391769"/>
    <w:rsid w:val="00391C10"/>
    <w:rsid w:val="00391D8A"/>
    <w:rsid w:val="00391F40"/>
    <w:rsid w:val="00392125"/>
    <w:rsid w:val="003921A2"/>
    <w:rsid w:val="0039230F"/>
    <w:rsid w:val="003923DE"/>
    <w:rsid w:val="00392537"/>
    <w:rsid w:val="00392574"/>
    <w:rsid w:val="0039266D"/>
    <w:rsid w:val="003928ED"/>
    <w:rsid w:val="003929C4"/>
    <w:rsid w:val="00392A17"/>
    <w:rsid w:val="00392A60"/>
    <w:rsid w:val="00392EC2"/>
    <w:rsid w:val="00393054"/>
    <w:rsid w:val="003930E7"/>
    <w:rsid w:val="003934A3"/>
    <w:rsid w:val="00393587"/>
    <w:rsid w:val="003939C1"/>
    <w:rsid w:val="003939EE"/>
    <w:rsid w:val="00393C5E"/>
    <w:rsid w:val="00393DF2"/>
    <w:rsid w:val="00393E35"/>
    <w:rsid w:val="00393E5D"/>
    <w:rsid w:val="00393E81"/>
    <w:rsid w:val="00393FA2"/>
    <w:rsid w:val="0039409B"/>
    <w:rsid w:val="0039494D"/>
    <w:rsid w:val="00394E8F"/>
    <w:rsid w:val="00394FA1"/>
    <w:rsid w:val="00395147"/>
    <w:rsid w:val="0039543D"/>
    <w:rsid w:val="0039560C"/>
    <w:rsid w:val="00395863"/>
    <w:rsid w:val="0039595B"/>
    <w:rsid w:val="003959D0"/>
    <w:rsid w:val="00395AA5"/>
    <w:rsid w:val="00395C5B"/>
    <w:rsid w:val="003962C9"/>
    <w:rsid w:val="003963E4"/>
    <w:rsid w:val="00396AD6"/>
    <w:rsid w:val="00396AE6"/>
    <w:rsid w:val="00396E5D"/>
    <w:rsid w:val="00396EB9"/>
    <w:rsid w:val="003970A8"/>
    <w:rsid w:val="0039712A"/>
    <w:rsid w:val="00397361"/>
    <w:rsid w:val="00397651"/>
    <w:rsid w:val="003976C1"/>
    <w:rsid w:val="0039787A"/>
    <w:rsid w:val="003978C0"/>
    <w:rsid w:val="00397BD3"/>
    <w:rsid w:val="00397CC1"/>
    <w:rsid w:val="00397D49"/>
    <w:rsid w:val="00397EF4"/>
    <w:rsid w:val="003A04D4"/>
    <w:rsid w:val="003A0500"/>
    <w:rsid w:val="003A05F9"/>
    <w:rsid w:val="003A067C"/>
    <w:rsid w:val="003A06BA"/>
    <w:rsid w:val="003A080C"/>
    <w:rsid w:val="003A0884"/>
    <w:rsid w:val="003A0B0A"/>
    <w:rsid w:val="003A0C9C"/>
    <w:rsid w:val="003A0EB6"/>
    <w:rsid w:val="003A0EC9"/>
    <w:rsid w:val="003A0FA4"/>
    <w:rsid w:val="003A1013"/>
    <w:rsid w:val="003A10E6"/>
    <w:rsid w:val="003A11F8"/>
    <w:rsid w:val="003A1361"/>
    <w:rsid w:val="003A13DB"/>
    <w:rsid w:val="003A1607"/>
    <w:rsid w:val="003A1897"/>
    <w:rsid w:val="003A1921"/>
    <w:rsid w:val="003A1B21"/>
    <w:rsid w:val="003A1B2F"/>
    <w:rsid w:val="003A1F29"/>
    <w:rsid w:val="003A208B"/>
    <w:rsid w:val="003A21DB"/>
    <w:rsid w:val="003A221F"/>
    <w:rsid w:val="003A226C"/>
    <w:rsid w:val="003A2788"/>
    <w:rsid w:val="003A29A2"/>
    <w:rsid w:val="003A29E4"/>
    <w:rsid w:val="003A2C9B"/>
    <w:rsid w:val="003A2EB5"/>
    <w:rsid w:val="003A2ED8"/>
    <w:rsid w:val="003A2FF8"/>
    <w:rsid w:val="003A3046"/>
    <w:rsid w:val="003A3160"/>
    <w:rsid w:val="003A3275"/>
    <w:rsid w:val="003A35B9"/>
    <w:rsid w:val="003A3696"/>
    <w:rsid w:val="003A3698"/>
    <w:rsid w:val="003A37E6"/>
    <w:rsid w:val="003A3895"/>
    <w:rsid w:val="003A3984"/>
    <w:rsid w:val="003A3985"/>
    <w:rsid w:val="003A3A02"/>
    <w:rsid w:val="003A3B73"/>
    <w:rsid w:val="003A3DE2"/>
    <w:rsid w:val="003A3DEF"/>
    <w:rsid w:val="003A3E2B"/>
    <w:rsid w:val="003A3E45"/>
    <w:rsid w:val="003A3EA0"/>
    <w:rsid w:val="003A3EC8"/>
    <w:rsid w:val="003A3FB3"/>
    <w:rsid w:val="003A4020"/>
    <w:rsid w:val="003A403F"/>
    <w:rsid w:val="003A4201"/>
    <w:rsid w:val="003A4202"/>
    <w:rsid w:val="003A4337"/>
    <w:rsid w:val="003A43EE"/>
    <w:rsid w:val="003A4607"/>
    <w:rsid w:val="003A4845"/>
    <w:rsid w:val="003A4991"/>
    <w:rsid w:val="003A4BF2"/>
    <w:rsid w:val="003A4C88"/>
    <w:rsid w:val="003A4D82"/>
    <w:rsid w:val="003A5037"/>
    <w:rsid w:val="003A5048"/>
    <w:rsid w:val="003A51ED"/>
    <w:rsid w:val="003A534C"/>
    <w:rsid w:val="003A560D"/>
    <w:rsid w:val="003A561A"/>
    <w:rsid w:val="003A566A"/>
    <w:rsid w:val="003A5698"/>
    <w:rsid w:val="003A5AD2"/>
    <w:rsid w:val="003A610F"/>
    <w:rsid w:val="003A619B"/>
    <w:rsid w:val="003A6397"/>
    <w:rsid w:val="003A6620"/>
    <w:rsid w:val="003A67C3"/>
    <w:rsid w:val="003A68A9"/>
    <w:rsid w:val="003A6A70"/>
    <w:rsid w:val="003A6BB3"/>
    <w:rsid w:val="003A6E93"/>
    <w:rsid w:val="003A705C"/>
    <w:rsid w:val="003A71C1"/>
    <w:rsid w:val="003A7272"/>
    <w:rsid w:val="003A761C"/>
    <w:rsid w:val="003A7746"/>
    <w:rsid w:val="003A7897"/>
    <w:rsid w:val="003A78D5"/>
    <w:rsid w:val="003A7C58"/>
    <w:rsid w:val="003A7DB6"/>
    <w:rsid w:val="003A7ED8"/>
    <w:rsid w:val="003A7F14"/>
    <w:rsid w:val="003B0007"/>
    <w:rsid w:val="003B00CB"/>
    <w:rsid w:val="003B01E9"/>
    <w:rsid w:val="003B04D2"/>
    <w:rsid w:val="003B05F3"/>
    <w:rsid w:val="003B07F8"/>
    <w:rsid w:val="003B0A06"/>
    <w:rsid w:val="003B0B77"/>
    <w:rsid w:val="003B0C51"/>
    <w:rsid w:val="003B0D08"/>
    <w:rsid w:val="003B0ECC"/>
    <w:rsid w:val="003B0EFD"/>
    <w:rsid w:val="003B0EFF"/>
    <w:rsid w:val="003B13E8"/>
    <w:rsid w:val="003B1A6A"/>
    <w:rsid w:val="003B1A70"/>
    <w:rsid w:val="003B1C3B"/>
    <w:rsid w:val="003B1C68"/>
    <w:rsid w:val="003B1C90"/>
    <w:rsid w:val="003B1C9B"/>
    <w:rsid w:val="003B1D8E"/>
    <w:rsid w:val="003B246D"/>
    <w:rsid w:val="003B25E1"/>
    <w:rsid w:val="003B2621"/>
    <w:rsid w:val="003B2657"/>
    <w:rsid w:val="003B28DB"/>
    <w:rsid w:val="003B2953"/>
    <w:rsid w:val="003B2A5D"/>
    <w:rsid w:val="003B2C0C"/>
    <w:rsid w:val="003B2E91"/>
    <w:rsid w:val="003B2F82"/>
    <w:rsid w:val="003B2FA6"/>
    <w:rsid w:val="003B30F5"/>
    <w:rsid w:val="003B31CB"/>
    <w:rsid w:val="003B3299"/>
    <w:rsid w:val="003B32F3"/>
    <w:rsid w:val="003B3371"/>
    <w:rsid w:val="003B3379"/>
    <w:rsid w:val="003B33C4"/>
    <w:rsid w:val="003B3676"/>
    <w:rsid w:val="003B3766"/>
    <w:rsid w:val="003B3C0F"/>
    <w:rsid w:val="003B3CB3"/>
    <w:rsid w:val="003B3E8A"/>
    <w:rsid w:val="003B3FCC"/>
    <w:rsid w:val="003B4119"/>
    <w:rsid w:val="003B42BC"/>
    <w:rsid w:val="003B42D8"/>
    <w:rsid w:val="003B4317"/>
    <w:rsid w:val="003B447C"/>
    <w:rsid w:val="003B4540"/>
    <w:rsid w:val="003B458D"/>
    <w:rsid w:val="003B4B3D"/>
    <w:rsid w:val="003B4D55"/>
    <w:rsid w:val="003B4D76"/>
    <w:rsid w:val="003B5504"/>
    <w:rsid w:val="003B560F"/>
    <w:rsid w:val="003B5BE6"/>
    <w:rsid w:val="003B5ED8"/>
    <w:rsid w:val="003B5EDA"/>
    <w:rsid w:val="003B5F1B"/>
    <w:rsid w:val="003B6390"/>
    <w:rsid w:val="003B6414"/>
    <w:rsid w:val="003B6419"/>
    <w:rsid w:val="003B6692"/>
    <w:rsid w:val="003B670C"/>
    <w:rsid w:val="003B6897"/>
    <w:rsid w:val="003B68D6"/>
    <w:rsid w:val="003B6A67"/>
    <w:rsid w:val="003B6A74"/>
    <w:rsid w:val="003B6D4C"/>
    <w:rsid w:val="003B6F22"/>
    <w:rsid w:val="003B7002"/>
    <w:rsid w:val="003B70CF"/>
    <w:rsid w:val="003B73C2"/>
    <w:rsid w:val="003B7641"/>
    <w:rsid w:val="003B783A"/>
    <w:rsid w:val="003B7A4A"/>
    <w:rsid w:val="003B7AF5"/>
    <w:rsid w:val="003B7B78"/>
    <w:rsid w:val="003B7D88"/>
    <w:rsid w:val="003B7EE0"/>
    <w:rsid w:val="003C00E1"/>
    <w:rsid w:val="003C0329"/>
    <w:rsid w:val="003C060F"/>
    <w:rsid w:val="003C06CC"/>
    <w:rsid w:val="003C06D0"/>
    <w:rsid w:val="003C0878"/>
    <w:rsid w:val="003C0940"/>
    <w:rsid w:val="003C0968"/>
    <w:rsid w:val="003C0AC4"/>
    <w:rsid w:val="003C0B60"/>
    <w:rsid w:val="003C0C44"/>
    <w:rsid w:val="003C0E79"/>
    <w:rsid w:val="003C111F"/>
    <w:rsid w:val="003C1120"/>
    <w:rsid w:val="003C1266"/>
    <w:rsid w:val="003C148D"/>
    <w:rsid w:val="003C1630"/>
    <w:rsid w:val="003C1BC7"/>
    <w:rsid w:val="003C1C08"/>
    <w:rsid w:val="003C1CA6"/>
    <w:rsid w:val="003C1CD7"/>
    <w:rsid w:val="003C1F69"/>
    <w:rsid w:val="003C21A6"/>
    <w:rsid w:val="003C21C2"/>
    <w:rsid w:val="003C21C3"/>
    <w:rsid w:val="003C22B6"/>
    <w:rsid w:val="003C24C0"/>
    <w:rsid w:val="003C2547"/>
    <w:rsid w:val="003C263E"/>
    <w:rsid w:val="003C268C"/>
    <w:rsid w:val="003C287A"/>
    <w:rsid w:val="003C290E"/>
    <w:rsid w:val="003C2A11"/>
    <w:rsid w:val="003C2BDA"/>
    <w:rsid w:val="003C2C04"/>
    <w:rsid w:val="003C2C8E"/>
    <w:rsid w:val="003C2E59"/>
    <w:rsid w:val="003C3273"/>
    <w:rsid w:val="003C32D3"/>
    <w:rsid w:val="003C3462"/>
    <w:rsid w:val="003C3999"/>
    <w:rsid w:val="003C3C69"/>
    <w:rsid w:val="003C3D2D"/>
    <w:rsid w:val="003C3DBC"/>
    <w:rsid w:val="003C3E39"/>
    <w:rsid w:val="003C3F0F"/>
    <w:rsid w:val="003C4368"/>
    <w:rsid w:val="003C440F"/>
    <w:rsid w:val="003C4460"/>
    <w:rsid w:val="003C4487"/>
    <w:rsid w:val="003C44CF"/>
    <w:rsid w:val="003C45E0"/>
    <w:rsid w:val="003C4604"/>
    <w:rsid w:val="003C486E"/>
    <w:rsid w:val="003C4880"/>
    <w:rsid w:val="003C4B03"/>
    <w:rsid w:val="003C4C2A"/>
    <w:rsid w:val="003C4F28"/>
    <w:rsid w:val="003C4FF0"/>
    <w:rsid w:val="003C5142"/>
    <w:rsid w:val="003C5149"/>
    <w:rsid w:val="003C51BA"/>
    <w:rsid w:val="003C5212"/>
    <w:rsid w:val="003C5245"/>
    <w:rsid w:val="003C550F"/>
    <w:rsid w:val="003C5650"/>
    <w:rsid w:val="003C5E0C"/>
    <w:rsid w:val="003C62C9"/>
    <w:rsid w:val="003C6378"/>
    <w:rsid w:val="003C63CB"/>
    <w:rsid w:val="003C6462"/>
    <w:rsid w:val="003C6730"/>
    <w:rsid w:val="003C678E"/>
    <w:rsid w:val="003C68DD"/>
    <w:rsid w:val="003C6973"/>
    <w:rsid w:val="003C69A6"/>
    <w:rsid w:val="003C6FA0"/>
    <w:rsid w:val="003C7160"/>
    <w:rsid w:val="003C7223"/>
    <w:rsid w:val="003C7252"/>
    <w:rsid w:val="003C7719"/>
    <w:rsid w:val="003C7858"/>
    <w:rsid w:val="003C798B"/>
    <w:rsid w:val="003C79EC"/>
    <w:rsid w:val="003C7D4B"/>
    <w:rsid w:val="003C7DCD"/>
    <w:rsid w:val="003C7F0E"/>
    <w:rsid w:val="003D0003"/>
    <w:rsid w:val="003D020B"/>
    <w:rsid w:val="003D0370"/>
    <w:rsid w:val="003D03E7"/>
    <w:rsid w:val="003D041C"/>
    <w:rsid w:val="003D055B"/>
    <w:rsid w:val="003D06F0"/>
    <w:rsid w:val="003D0829"/>
    <w:rsid w:val="003D0846"/>
    <w:rsid w:val="003D0868"/>
    <w:rsid w:val="003D0B3C"/>
    <w:rsid w:val="003D0C7E"/>
    <w:rsid w:val="003D0E41"/>
    <w:rsid w:val="003D138D"/>
    <w:rsid w:val="003D1734"/>
    <w:rsid w:val="003D18F4"/>
    <w:rsid w:val="003D19A7"/>
    <w:rsid w:val="003D1C3A"/>
    <w:rsid w:val="003D1D5E"/>
    <w:rsid w:val="003D1DD7"/>
    <w:rsid w:val="003D1E4B"/>
    <w:rsid w:val="003D219E"/>
    <w:rsid w:val="003D2219"/>
    <w:rsid w:val="003D224B"/>
    <w:rsid w:val="003D2629"/>
    <w:rsid w:val="003D2699"/>
    <w:rsid w:val="003D2833"/>
    <w:rsid w:val="003D2851"/>
    <w:rsid w:val="003D28A6"/>
    <w:rsid w:val="003D28CE"/>
    <w:rsid w:val="003D2966"/>
    <w:rsid w:val="003D2B03"/>
    <w:rsid w:val="003D2B30"/>
    <w:rsid w:val="003D2C36"/>
    <w:rsid w:val="003D2C49"/>
    <w:rsid w:val="003D2D8E"/>
    <w:rsid w:val="003D2E88"/>
    <w:rsid w:val="003D2E9D"/>
    <w:rsid w:val="003D3068"/>
    <w:rsid w:val="003D3315"/>
    <w:rsid w:val="003D35D1"/>
    <w:rsid w:val="003D376F"/>
    <w:rsid w:val="003D380F"/>
    <w:rsid w:val="003D3C1B"/>
    <w:rsid w:val="003D3E93"/>
    <w:rsid w:val="003D428C"/>
    <w:rsid w:val="003D44D7"/>
    <w:rsid w:val="003D4653"/>
    <w:rsid w:val="003D475D"/>
    <w:rsid w:val="003D4838"/>
    <w:rsid w:val="003D488F"/>
    <w:rsid w:val="003D48CB"/>
    <w:rsid w:val="003D4C8D"/>
    <w:rsid w:val="003D4DDF"/>
    <w:rsid w:val="003D4E91"/>
    <w:rsid w:val="003D5010"/>
    <w:rsid w:val="003D5059"/>
    <w:rsid w:val="003D50F3"/>
    <w:rsid w:val="003D51A0"/>
    <w:rsid w:val="003D53B2"/>
    <w:rsid w:val="003D5479"/>
    <w:rsid w:val="003D5544"/>
    <w:rsid w:val="003D562B"/>
    <w:rsid w:val="003D56C7"/>
    <w:rsid w:val="003D57E5"/>
    <w:rsid w:val="003D6081"/>
    <w:rsid w:val="003D6131"/>
    <w:rsid w:val="003D614A"/>
    <w:rsid w:val="003D6216"/>
    <w:rsid w:val="003D62C7"/>
    <w:rsid w:val="003D6592"/>
    <w:rsid w:val="003D65B7"/>
    <w:rsid w:val="003D67E7"/>
    <w:rsid w:val="003D69CF"/>
    <w:rsid w:val="003D6D12"/>
    <w:rsid w:val="003D6D33"/>
    <w:rsid w:val="003D713B"/>
    <w:rsid w:val="003D77B0"/>
    <w:rsid w:val="003D7A74"/>
    <w:rsid w:val="003D7DE6"/>
    <w:rsid w:val="003D7E1E"/>
    <w:rsid w:val="003D7E9C"/>
    <w:rsid w:val="003D7F77"/>
    <w:rsid w:val="003E0056"/>
    <w:rsid w:val="003E0142"/>
    <w:rsid w:val="003E014B"/>
    <w:rsid w:val="003E0370"/>
    <w:rsid w:val="003E0466"/>
    <w:rsid w:val="003E0665"/>
    <w:rsid w:val="003E06BB"/>
    <w:rsid w:val="003E07C6"/>
    <w:rsid w:val="003E0C2F"/>
    <w:rsid w:val="003E0F5C"/>
    <w:rsid w:val="003E0FAE"/>
    <w:rsid w:val="003E119B"/>
    <w:rsid w:val="003E1499"/>
    <w:rsid w:val="003E14D4"/>
    <w:rsid w:val="003E17D4"/>
    <w:rsid w:val="003E17D6"/>
    <w:rsid w:val="003E1BE9"/>
    <w:rsid w:val="003E1FDA"/>
    <w:rsid w:val="003E2078"/>
    <w:rsid w:val="003E2143"/>
    <w:rsid w:val="003E2413"/>
    <w:rsid w:val="003E2459"/>
    <w:rsid w:val="003E24C0"/>
    <w:rsid w:val="003E257A"/>
    <w:rsid w:val="003E2731"/>
    <w:rsid w:val="003E2816"/>
    <w:rsid w:val="003E298D"/>
    <w:rsid w:val="003E29B4"/>
    <w:rsid w:val="003E2C53"/>
    <w:rsid w:val="003E2C65"/>
    <w:rsid w:val="003E2D0E"/>
    <w:rsid w:val="003E2F16"/>
    <w:rsid w:val="003E31B8"/>
    <w:rsid w:val="003E31CE"/>
    <w:rsid w:val="003E32EF"/>
    <w:rsid w:val="003E33C7"/>
    <w:rsid w:val="003E3491"/>
    <w:rsid w:val="003E35C2"/>
    <w:rsid w:val="003E36D5"/>
    <w:rsid w:val="003E38E1"/>
    <w:rsid w:val="003E425C"/>
    <w:rsid w:val="003E42DF"/>
    <w:rsid w:val="003E4373"/>
    <w:rsid w:val="003E43AE"/>
    <w:rsid w:val="003E4429"/>
    <w:rsid w:val="003E4449"/>
    <w:rsid w:val="003E4672"/>
    <w:rsid w:val="003E4874"/>
    <w:rsid w:val="003E4893"/>
    <w:rsid w:val="003E4A54"/>
    <w:rsid w:val="003E4B49"/>
    <w:rsid w:val="003E4BB3"/>
    <w:rsid w:val="003E4CFB"/>
    <w:rsid w:val="003E4F57"/>
    <w:rsid w:val="003E530F"/>
    <w:rsid w:val="003E54B0"/>
    <w:rsid w:val="003E55EC"/>
    <w:rsid w:val="003E5774"/>
    <w:rsid w:val="003E5879"/>
    <w:rsid w:val="003E594A"/>
    <w:rsid w:val="003E598D"/>
    <w:rsid w:val="003E59DE"/>
    <w:rsid w:val="003E5C1E"/>
    <w:rsid w:val="003E6106"/>
    <w:rsid w:val="003E62A4"/>
    <w:rsid w:val="003E639C"/>
    <w:rsid w:val="003E647F"/>
    <w:rsid w:val="003E64C0"/>
    <w:rsid w:val="003E6620"/>
    <w:rsid w:val="003E6693"/>
    <w:rsid w:val="003E66D8"/>
    <w:rsid w:val="003E68E2"/>
    <w:rsid w:val="003E6918"/>
    <w:rsid w:val="003E6943"/>
    <w:rsid w:val="003E6CAC"/>
    <w:rsid w:val="003E6E8E"/>
    <w:rsid w:val="003E6E98"/>
    <w:rsid w:val="003E7344"/>
    <w:rsid w:val="003E7420"/>
    <w:rsid w:val="003E7564"/>
    <w:rsid w:val="003E7755"/>
    <w:rsid w:val="003E7773"/>
    <w:rsid w:val="003E7AC9"/>
    <w:rsid w:val="003E7AFC"/>
    <w:rsid w:val="003E7C39"/>
    <w:rsid w:val="003E7D12"/>
    <w:rsid w:val="003E7FC8"/>
    <w:rsid w:val="003F01C8"/>
    <w:rsid w:val="003F024D"/>
    <w:rsid w:val="003F04F3"/>
    <w:rsid w:val="003F063C"/>
    <w:rsid w:val="003F0A64"/>
    <w:rsid w:val="003F0B45"/>
    <w:rsid w:val="003F0B5B"/>
    <w:rsid w:val="003F0B5E"/>
    <w:rsid w:val="003F0BD1"/>
    <w:rsid w:val="003F0CDA"/>
    <w:rsid w:val="003F0D86"/>
    <w:rsid w:val="003F0DF3"/>
    <w:rsid w:val="003F0F5C"/>
    <w:rsid w:val="003F109B"/>
    <w:rsid w:val="003F113F"/>
    <w:rsid w:val="003F12CD"/>
    <w:rsid w:val="003F12ED"/>
    <w:rsid w:val="003F159D"/>
    <w:rsid w:val="003F1832"/>
    <w:rsid w:val="003F183A"/>
    <w:rsid w:val="003F18E3"/>
    <w:rsid w:val="003F198C"/>
    <w:rsid w:val="003F19A0"/>
    <w:rsid w:val="003F1C6F"/>
    <w:rsid w:val="003F1CF4"/>
    <w:rsid w:val="003F2085"/>
    <w:rsid w:val="003F21CD"/>
    <w:rsid w:val="003F258F"/>
    <w:rsid w:val="003F2745"/>
    <w:rsid w:val="003F2A03"/>
    <w:rsid w:val="003F2A87"/>
    <w:rsid w:val="003F2C75"/>
    <w:rsid w:val="003F2E9D"/>
    <w:rsid w:val="003F31B2"/>
    <w:rsid w:val="003F3263"/>
    <w:rsid w:val="003F3274"/>
    <w:rsid w:val="003F333F"/>
    <w:rsid w:val="003F338A"/>
    <w:rsid w:val="003F34FA"/>
    <w:rsid w:val="003F35A6"/>
    <w:rsid w:val="003F36A7"/>
    <w:rsid w:val="003F3766"/>
    <w:rsid w:val="003F37FA"/>
    <w:rsid w:val="003F3916"/>
    <w:rsid w:val="003F39BF"/>
    <w:rsid w:val="003F3AF5"/>
    <w:rsid w:val="003F3E9D"/>
    <w:rsid w:val="003F3EDF"/>
    <w:rsid w:val="003F3EFF"/>
    <w:rsid w:val="003F3F6A"/>
    <w:rsid w:val="003F4089"/>
    <w:rsid w:val="003F4251"/>
    <w:rsid w:val="003F44FF"/>
    <w:rsid w:val="003F453B"/>
    <w:rsid w:val="003F47C1"/>
    <w:rsid w:val="003F4969"/>
    <w:rsid w:val="003F4970"/>
    <w:rsid w:val="003F4AC4"/>
    <w:rsid w:val="003F4CE5"/>
    <w:rsid w:val="003F4E0D"/>
    <w:rsid w:val="003F5198"/>
    <w:rsid w:val="003F51D1"/>
    <w:rsid w:val="003F550A"/>
    <w:rsid w:val="003F55A5"/>
    <w:rsid w:val="003F5912"/>
    <w:rsid w:val="003F5BD4"/>
    <w:rsid w:val="003F5D41"/>
    <w:rsid w:val="003F5DCD"/>
    <w:rsid w:val="003F6453"/>
    <w:rsid w:val="003F6520"/>
    <w:rsid w:val="003F65A6"/>
    <w:rsid w:val="003F6686"/>
    <w:rsid w:val="003F67CC"/>
    <w:rsid w:val="003F69CC"/>
    <w:rsid w:val="003F6B32"/>
    <w:rsid w:val="003F6B34"/>
    <w:rsid w:val="003F6B62"/>
    <w:rsid w:val="003F6B66"/>
    <w:rsid w:val="003F6BA8"/>
    <w:rsid w:val="003F6BDE"/>
    <w:rsid w:val="003F6D81"/>
    <w:rsid w:val="003F7070"/>
    <w:rsid w:val="003F71DB"/>
    <w:rsid w:val="003F727F"/>
    <w:rsid w:val="003F742A"/>
    <w:rsid w:val="003F745D"/>
    <w:rsid w:val="003F7497"/>
    <w:rsid w:val="003F7717"/>
    <w:rsid w:val="003F7A55"/>
    <w:rsid w:val="003F7B52"/>
    <w:rsid w:val="003F7C40"/>
    <w:rsid w:val="003F7D61"/>
    <w:rsid w:val="003F7FA3"/>
    <w:rsid w:val="0040013D"/>
    <w:rsid w:val="004003FE"/>
    <w:rsid w:val="00400A08"/>
    <w:rsid w:val="00400B90"/>
    <w:rsid w:val="00400C3E"/>
    <w:rsid w:val="00400D14"/>
    <w:rsid w:val="00400E28"/>
    <w:rsid w:val="00400E8B"/>
    <w:rsid w:val="00400E8D"/>
    <w:rsid w:val="00400FBA"/>
    <w:rsid w:val="0040111B"/>
    <w:rsid w:val="00401273"/>
    <w:rsid w:val="00401911"/>
    <w:rsid w:val="00401A84"/>
    <w:rsid w:val="00401C35"/>
    <w:rsid w:val="00401C9F"/>
    <w:rsid w:val="004020B8"/>
    <w:rsid w:val="00402340"/>
    <w:rsid w:val="004028F0"/>
    <w:rsid w:val="00402ABE"/>
    <w:rsid w:val="00402D86"/>
    <w:rsid w:val="00402E9E"/>
    <w:rsid w:val="00403068"/>
    <w:rsid w:val="004033C2"/>
    <w:rsid w:val="0040362B"/>
    <w:rsid w:val="00403659"/>
    <w:rsid w:val="004039E4"/>
    <w:rsid w:val="00403B07"/>
    <w:rsid w:val="00403B70"/>
    <w:rsid w:val="0040407E"/>
    <w:rsid w:val="004043B8"/>
    <w:rsid w:val="004045C6"/>
    <w:rsid w:val="004049C3"/>
    <w:rsid w:val="00404BB6"/>
    <w:rsid w:val="00404EAC"/>
    <w:rsid w:val="00404F20"/>
    <w:rsid w:val="004050EF"/>
    <w:rsid w:val="004051CC"/>
    <w:rsid w:val="0040537D"/>
    <w:rsid w:val="00405A08"/>
    <w:rsid w:val="00405AA4"/>
    <w:rsid w:val="00405ACC"/>
    <w:rsid w:val="00405C0C"/>
    <w:rsid w:val="00405C27"/>
    <w:rsid w:val="00405CEA"/>
    <w:rsid w:val="00405EE1"/>
    <w:rsid w:val="00406109"/>
    <w:rsid w:val="004064C6"/>
    <w:rsid w:val="0040655B"/>
    <w:rsid w:val="00406B17"/>
    <w:rsid w:val="00406B69"/>
    <w:rsid w:val="00406B78"/>
    <w:rsid w:val="00406C34"/>
    <w:rsid w:val="00406E6E"/>
    <w:rsid w:val="00406FFE"/>
    <w:rsid w:val="0040762C"/>
    <w:rsid w:val="004077C9"/>
    <w:rsid w:val="0040783F"/>
    <w:rsid w:val="00407968"/>
    <w:rsid w:val="0040796D"/>
    <w:rsid w:val="00407ADB"/>
    <w:rsid w:val="00407B5E"/>
    <w:rsid w:val="00407EF7"/>
    <w:rsid w:val="004101A0"/>
    <w:rsid w:val="0041033C"/>
    <w:rsid w:val="004104EB"/>
    <w:rsid w:val="004105A9"/>
    <w:rsid w:val="004105DC"/>
    <w:rsid w:val="00410848"/>
    <w:rsid w:val="00410904"/>
    <w:rsid w:val="00410B43"/>
    <w:rsid w:val="00410B84"/>
    <w:rsid w:val="00410D86"/>
    <w:rsid w:val="00410EAB"/>
    <w:rsid w:val="004112A2"/>
    <w:rsid w:val="004112AC"/>
    <w:rsid w:val="004113CF"/>
    <w:rsid w:val="004114AF"/>
    <w:rsid w:val="00411510"/>
    <w:rsid w:val="00411578"/>
    <w:rsid w:val="00411582"/>
    <w:rsid w:val="00411844"/>
    <w:rsid w:val="004118AA"/>
    <w:rsid w:val="00411A36"/>
    <w:rsid w:val="00411A63"/>
    <w:rsid w:val="00411B3F"/>
    <w:rsid w:val="00411B51"/>
    <w:rsid w:val="00411B6A"/>
    <w:rsid w:val="00411B89"/>
    <w:rsid w:val="00411BCA"/>
    <w:rsid w:val="00411BE1"/>
    <w:rsid w:val="00411BE8"/>
    <w:rsid w:val="00411C52"/>
    <w:rsid w:val="00411D15"/>
    <w:rsid w:val="00411E74"/>
    <w:rsid w:val="00411F35"/>
    <w:rsid w:val="00411F8B"/>
    <w:rsid w:val="004120A3"/>
    <w:rsid w:val="0041240E"/>
    <w:rsid w:val="0041245A"/>
    <w:rsid w:val="0041276B"/>
    <w:rsid w:val="0041282C"/>
    <w:rsid w:val="0041284A"/>
    <w:rsid w:val="00412926"/>
    <w:rsid w:val="00412A0C"/>
    <w:rsid w:val="00412C03"/>
    <w:rsid w:val="00412C78"/>
    <w:rsid w:val="00412E55"/>
    <w:rsid w:val="00412F5F"/>
    <w:rsid w:val="00412FD5"/>
    <w:rsid w:val="00412FE0"/>
    <w:rsid w:val="004130A9"/>
    <w:rsid w:val="0041310E"/>
    <w:rsid w:val="0041316A"/>
    <w:rsid w:val="00413172"/>
    <w:rsid w:val="004133BA"/>
    <w:rsid w:val="0041357B"/>
    <w:rsid w:val="004135C2"/>
    <w:rsid w:val="0041387B"/>
    <w:rsid w:val="004138BD"/>
    <w:rsid w:val="00413A95"/>
    <w:rsid w:val="00413AB8"/>
    <w:rsid w:val="00413C30"/>
    <w:rsid w:val="00413DD5"/>
    <w:rsid w:val="00413E2E"/>
    <w:rsid w:val="00413E8B"/>
    <w:rsid w:val="00414009"/>
    <w:rsid w:val="004140E1"/>
    <w:rsid w:val="004141CE"/>
    <w:rsid w:val="004141D8"/>
    <w:rsid w:val="00414354"/>
    <w:rsid w:val="00414475"/>
    <w:rsid w:val="00414780"/>
    <w:rsid w:val="0041489D"/>
    <w:rsid w:val="004149B4"/>
    <w:rsid w:val="00414EC7"/>
    <w:rsid w:val="00415097"/>
    <w:rsid w:val="004150DC"/>
    <w:rsid w:val="004150EA"/>
    <w:rsid w:val="0041511C"/>
    <w:rsid w:val="0041514F"/>
    <w:rsid w:val="00415494"/>
    <w:rsid w:val="0041555B"/>
    <w:rsid w:val="0041560B"/>
    <w:rsid w:val="004159A3"/>
    <w:rsid w:val="00415A34"/>
    <w:rsid w:val="00415A72"/>
    <w:rsid w:val="00415A86"/>
    <w:rsid w:val="00415B11"/>
    <w:rsid w:val="00415B3B"/>
    <w:rsid w:val="00415CB6"/>
    <w:rsid w:val="00415CC5"/>
    <w:rsid w:val="00415CF7"/>
    <w:rsid w:val="00415E51"/>
    <w:rsid w:val="00416015"/>
    <w:rsid w:val="0041605B"/>
    <w:rsid w:val="00416182"/>
    <w:rsid w:val="00416295"/>
    <w:rsid w:val="00416324"/>
    <w:rsid w:val="004163B4"/>
    <w:rsid w:val="0041649A"/>
    <w:rsid w:val="004165E1"/>
    <w:rsid w:val="00416676"/>
    <w:rsid w:val="004168E5"/>
    <w:rsid w:val="004169F6"/>
    <w:rsid w:val="00416C29"/>
    <w:rsid w:val="00416D40"/>
    <w:rsid w:val="00416E2B"/>
    <w:rsid w:val="00417050"/>
    <w:rsid w:val="004172EB"/>
    <w:rsid w:val="00417337"/>
    <w:rsid w:val="0041738C"/>
    <w:rsid w:val="00417439"/>
    <w:rsid w:val="00417465"/>
    <w:rsid w:val="0041753A"/>
    <w:rsid w:val="004177F0"/>
    <w:rsid w:val="00417919"/>
    <w:rsid w:val="00417A34"/>
    <w:rsid w:val="00417A78"/>
    <w:rsid w:val="00417C61"/>
    <w:rsid w:val="00417D8B"/>
    <w:rsid w:val="00417E64"/>
    <w:rsid w:val="00417F53"/>
    <w:rsid w:val="00420049"/>
    <w:rsid w:val="004200EB"/>
    <w:rsid w:val="00420295"/>
    <w:rsid w:val="004204B4"/>
    <w:rsid w:val="00420516"/>
    <w:rsid w:val="0042068B"/>
    <w:rsid w:val="0042071E"/>
    <w:rsid w:val="0042083D"/>
    <w:rsid w:val="00420AD2"/>
    <w:rsid w:val="00420D52"/>
    <w:rsid w:val="00420E37"/>
    <w:rsid w:val="00420F7E"/>
    <w:rsid w:val="0042162C"/>
    <w:rsid w:val="00421790"/>
    <w:rsid w:val="00421845"/>
    <w:rsid w:val="004218FF"/>
    <w:rsid w:val="0042194B"/>
    <w:rsid w:val="00421AB9"/>
    <w:rsid w:val="00421C79"/>
    <w:rsid w:val="00421F3F"/>
    <w:rsid w:val="00422107"/>
    <w:rsid w:val="0042215C"/>
    <w:rsid w:val="0042216B"/>
    <w:rsid w:val="00422327"/>
    <w:rsid w:val="0042236C"/>
    <w:rsid w:val="004223D2"/>
    <w:rsid w:val="004224C5"/>
    <w:rsid w:val="004226A8"/>
    <w:rsid w:val="004229F0"/>
    <w:rsid w:val="00422A55"/>
    <w:rsid w:val="00422CF1"/>
    <w:rsid w:val="004236DB"/>
    <w:rsid w:val="004237E0"/>
    <w:rsid w:val="004239C2"/>
    <w:rsid w:val="00423A36"/>
    <w:rsid w:val="00423B20"/>
    <w:rsid w:val="00423D11"/>
    <w:rsid w:val="00423E8A"/>
    <w:rsid w:val="00424023"/>
    <w:rsid w:val="00424106"/>
    <w:rsid w:val="0042415C"/>
    <w:rsid w:val="00424294"/>
    <w:rsid w:val="004242BC"/>
    <w:rsid w:val="0042444A"/>
    <w:rsid w:val="00424485"/>
    <w:rsid w:val="0042449B"/>
    <w:rsid w:val="004245FE"/>
    <w:rsid w:val="00424976"/>
    <w:rsid w:val="00424AF0"/>
    <w:rsid w:val="00424F58"/>
    <w:rsid w:val="004250C4"/>
    <w:rsid w:val="004251F8"/>
    <w:rsid w:val="004252B6"/>
    <w:rsid w:val="004254EA"/>
    <w:rsid w:val="004255D7"/>
    <w:rsid w:val="004256C7"/>
    <w:rsid w:val="00425877"/>
    <w:rsid w:val="00425ABE"/>
    <w:rsid w:val="00425CFA"/>
    <w:rsid w:val="00425E21"/>
    <w:rsid w:val="00425E4D"/>
    <w:rsid w:val="00425EBE"/>
    <w:rsid w:val="00425EF4"/>
    <w:rsid w:val="00426000"/>
    <w:rsid w:val="00426054"/>
    <w:rsid w:val="00426078"/>
    <w:rsid w:val="004260ED"/>
    <w:rsid w:val="004261D9"/>
    <w:rsid w:val="00426224"/>
    <w:rsid w:val="00426486"/>
    <w:rsid w:val="00426491"/>
    <w:rsid w:val="0042686B"/>
    <w:rsid w:val="00426911"/>
    <w:rsid w:val="0042696E"/>
    <w:rsid w:val="00426F69"/>
    <w:rsid w:val="0042708E"/>
    <w:rsid w:val="0042717C"/>
    <w:rsid w:val="004272FF"/>
    <w:rsid w:val="004273D2"/>
    <w:rsid w:val="00427511"/>
    <w:rsid w:val="00427556"/>
    <w:rsid w:val="00427567"/>
    <w:rsid w:val="0042776D"/>
    <w:rsid w:val="004277DB"/>
    <w:rsid w:val="004277F9"/>
    <w:rsid w:val="0042783F"/>
    <w:rsid w:val="004278DE"/>
    <w:rsid w:val="00427A28"/>
    <w:rsid w:val="00427A2A"/>
    <w:rsid w:val="00427B0C"/>
    <w:rsid w:val="00427B87"/>
    <w:rsid w:val="00427BD8"/>
    <w:rsid w:val="00427C4B"/>
    <w:rsid w:val="00427C57"/>
    <w:rsid w:val="00427D41"/>
    <w:rsid w:val="00427FC0"/>
    <w:rsid w:val="004301C0"/>
    <w:rsid w:val="0043026C"/>
    <w:rsid w:val="00430431"/>
    <w:rsid w:val="00430559"/>
    <w:rsid w:val="00430604"/>
    <w:rsid w:val="00430A1A"/>
    <w:rsid w:val="00431103"/>
    <w:rsid w:val="004313E8"/>
    <w:rsid w:val="00431415"/>
    <w:rsid w:val="00431455"/>
    <w:rsid w:val="0043150F"/>
    <w:rsid w:val="0043151C"/>
    <w:rsid w:val="00431852"/>
    <w:rsid w:val="004319C9"/>
    <w:rsid w:val="00431E16"/>
    <w:rsid w:val="00432050"/>
    <w:rsid w:val="0043249E"/>
    <w:rsid w:val="004326C8"/>
    <w:rsid w:val="0043291A"/>
    <w:rsid w:val="0043295C"/>
    <w:rsid w:val="004329C1"/>
    <w:rsid w:val="00432AB3"/>
    <w:rsid w:val="00432B1A"/>
    <w:rsid w:val="00432C4C"/>
    <w:rsid w:val="00432DE0"/>
    <w:rsid w:val="00433061"/>
    <w:rsid w:val="004330DC"/>
    <w:rsid w:val="0043320D"/>
    <w:rsid w:val="0043337E"/>
    <w:rsid w:val="004333D5"/>
    <w:rsid w:val="004334B7"/>
    <w:rsid w:val="00433585"/>
    <w:rsid w:val="00433625"/>
    <w:rsid w:val="004337EF"/>
    <w:rsid w:val="00433892"/>
    <w:rsid w:val="004339E1"/>
    <w:rsid w:val="00433A3A"/>
    <w:rsid w:val="00433A67"/>
    <w:rsid w:val="00433C4B"/>
    <w:rsid w:val="00433DF3"/>
    <w:rsid w:val="0043408E"/>
    <w:rsid w:val="00434139"/>
    <w:rsid w:val="0043415C"/>
    <w:rsid w:val="00434375"/>
    <w:rsid w:val="00434708"/>
    <w:rsid w:val="004347DF"/>
    <w:rsid w:val="00434832"/>
    <w:rsid w:val="004348AC"/>
    <w:rsid w:val="004348C2"/>
    <w:rsid w:val="004348F9"/>
    <w:rsid w:val="00434A2D"/>
    <w:rsid w:val="00434A6D"/>
    <w:rsid w:val="00434B87"/>
    <w:rsid w:val="00434BC9"/>
    <w:rsid w:val="00434FFC"/>
    <w:rsid w:val="0043504C"/>
    <w:rsid w:val="00435206"/>
    <w:rsid w:val="00435227"/>
    <w:rsid w:val="00435330"/>
    <w:rsid w:val="004353A4"/>
    <w:rsid w:val="00435509"/>
    <w:rsid w:val="004355DB"/>
    <w:rsid w:val="00435723"/>
    <w:rsid w:val="00435A87"/>
    <w:rsid w:val="00435D2A"/>
    <w:rsid w:val="00435E9A"/>
    <w:rsid w:val="004360EA"/>
    <w:rsid w:val="00436376"/>
    <w:rsid w:val="0043659D"/>
    <w:rsid w:val="0043662E"/>
    <w:rsid w:val="00436643"/>
    <w:rsid w:val="00436653"/>
    <w:rsid w:val="004368B4"/>
    <w:rsid w:val="004368DD"/>
    <w:rsid w:val="00436990"/>
    <w:rsid w:val="004369AE"/>
    <w:rsid w:val="004369BD"/>
    <w:rsid w:val="00436DBE"/>
    <w:rsid w:val="004371A3"/>
    <w:rsid w:val="004373B8"/>
    <w:rsid w:val="004374E6"/>
    <w:rsid w:val="004376CA"/>
    <w:rsid w:val="00437D56"/>
    <w:rsid w:val="00437ED0"/>
    <w:rsid w:val="00437ED1"/>
    <w:rsid w:val="00437F3A"/>
    <w:rsid w:val="00437FCD"/>
    <w:rsid w:val="00440123"/>
    <w:rsid w:val="0044019C"/>
    <w:rsid w:val="004402B3"/>
    <w:rsid w:val="004402C4"/>
    <w:rsid w:val="0044045C"/>
    <w:rsid w:val="00440930"/>
    <w:rsid w:val="00440DF5"/>
    <w:rsid w:val="00440EE1"/>
    <w:rsid w:val="00441078"/>
    <w:rsid w:val="00441132"/>
    <w:rsid w:val="00441357"/>
    <w:rsid w:val="004416E0"/>
    <w:rsid w:val="0044176D"/>
    <w:rsid w:val="00441841"/>
    <w:rsid w:val="00441881"/>
    <w:rsid w:val="0044189E"/>
    <w:rsid w:val="004418B2"/>
    <w:rsid w:val="00441B90"/>
    <w:rsid w:val="00441CE2"/>
    <w:rsid w:val="00441E24"/>
    <w:rsid w:val="00441E4C"/>
    <w:rsid w:val="00442150"/>
    <w:rsid w:val="00442217"/>
    <w:rsid w:val="00442254"/>
    <w:rsid w:val="00442273"/>
    <w:rsid w:val="004423E8"/>
    <w:rsid w:val="00442740"/>
    <w:rsid w:val="00442831"/>
    <w:rsid w:val="00442836"/>
    <w:rsid w:val="00442B84"/>
    <w:rsid w:val="00442CC2"/>
    <w:rsid w:val="00442E63"/>
    <w:rsid w:val="00443065"/>
    <w:rsid w:val="0044312B"/>
    <w:rsid w:val="0044326B"/>
    <w:rsid w:val="004437D2"/>
    <w:rsid w:val="00443AF5"/>
    <w:rsid w:val="00443C98"/>
    <w:rsid w:val="00443E52"/>
    <w:rsid w:val="00443EB0"/>
    <w:rsid w:val="00444295"/>
    <w:rsid w:val="00444338"/>
    <w:rsid w:val="00444535"/>
    <w:rsid w:val="00444609"/>
    <w:rsid w:val="00444662"/>
    <w:rsid w:val="00444807"/>
    <w:rsid w:val="0044490D"/>
    <w:rsid w:val="00444B90"/>
    <w:rsid w:val="00444BFE"/>
    <w:rsid w:val="00444D90"/>
    <w:rsid w:val="00444DB5"/>
    <w:rsid w:val="00444E1C"/>
    <w:rsid w:val="00445071"/>
    <w:rsid w:val="0044512C"/>
    <w:rsid w:val="00445202"/>
    <w:rsid w:val="00445217"/>
    <w:rsid w:val="004452BF"/>
    <w:rsid w:val="004452C6"/>
    <w:rsid w:val="0044540A"/>
    <w:rsid w:val="00445429"/>
    <w:rsid w:val="0044562F"/>
    <w:rsid w:val="00445854"/>
    <w:rsid w:val="004458E5"/>
    <w:rsid w:val="00445B2B"/>
    <w:rsid w:val="00445C1A"/>
    <w:rsid w:val="00445C5D"/>
    <w:rsid w:val="00445C6F"/>
    <w:rsid w:val="00445C93"/>
    <w:rsid w:val="00445D7E"/>
    <w:rsid w:val="00445DF3"/>
    <w:rsid w:val="00445E3D"/>
    <w:rsid w:val="00445FC3"/>
    <w:rsid w:val="0044614D"/>
    <w:rsid w:val="004462CF"/>
    <w:rsid w:val="004462EE"/>
    <w:rsid w:val="00446364"/>
    <w:rsid w:val="0044639C"/>
    <w:rsid w:val="004463BB"/>
    <w:rsid w:val="00446423"/>
    <w:rsid w:val="004465E0"/>
    <w:rsid w:val="00446E43"/>
    <w:rsid w:val="00446E66"/>
    <w:rsid w:val="00447060"/>
    <w:rsid w:val="00447297"/>
    <w:rsid w:val="0044736D"/>
    <w:rsid w:val="004476CC"/>
    <w:rsid w:val="004477F2"/>
    <w:rsid w:val="004478F0"/>
    <w:rsid w:val="00447948"/>
    <w:rsid w:val="004479FB"/>
    <w:rsid w:val="004479FC"/>
    <w:rsid w:val="00447C6C"/>
    <w:rsid w:val="00447F37"/>
    <w:rsid w:val="00447F4A"/>
    <w:rsid w:val="00447FD3"/>
    <w:rsid w:val="0045015D"/>
    <w:rsid w:val="0045022B"/>
    <w:rsid w:val="00450325"/>
    <w:rsid w:val="00450419"/>
    <w:rsid w:val="00450585"/>
    <w:rsid w:val="004506BB"/>
    <w:rsid w:val="004506CA"/>
    <w:rsid w:val="0045094C"/>
    <w:rsid w:val="00450AD7"/>
    <w:rsid w:val="00450C5D"/>
    <w:rsid w:val="00450C62"/>
    <w:rsid w:val="00450E1C"/>
    <w:rsid w:val="00450EEC"/>
    <w:rsid w:val="00450F20"/>
    <w:rsid w:val="00451054"/>
    <w:rsid w:val="0045125E"/>
    <w:rsid w:val="004512A0"/>
    <w:rsid w:val="0045135F"/>
    <w:rsid w:val="004514F6"/>
    <w:rsid w:val="00451BD8"/>
    <w:rsid w:val="00451EB9"/>
    <w:rsid w:val="00451ED2"/>
    <w:rsid w:val="00451FC0"/>
    <w:rsid w:val="00452072"/>
    <w:rsid w:val="0045221F"/>
    <w:rsid w:val="00452266"/>
    <w:rsid w:val="0045228B"/>
    <w:rsid w:val="004522BA"/>
    <w:rsid w:val="004522D1"/>
    <w:rsid w:val="004522D2"/>
    <w:rsid w:val="0045232F"/>
    <w:rsid w:val="00452333"/>
    <w:rsid w:val="00452455"/>
    <w:rsid w:val="0045251C"/>
    <w:rsid w:val="004527FC"/>
    <w:rsid w:val="00452962"/>
    <w:rsid w:val="0045298F"/>
    <w:rsid w:val="004529FA"/>
    <w:rsid w:val="00452AD9"/>
    <w:rsid w:val="00452C57"/>
    <w:rsid w:val="00452D97"/>
    <w:rsid w:val="00452E1A"/>
    <w:rsid w:val="00452F72"/>
    <w:rsid w:val="00452F9E"/>
    <w:rsid w:val="00453002"/>
    <w:rsid w:val="0045301F"/>
    <w:rsid w:val="0045310B"/>
    <w:rsid w:val="0045320A"/>
    <w:rsid w:val="004532CD"/>
    <w:rsid w:val="0045346E"/>
    <w:rsid w:val="0045351A"/>
    <w:rsid w:val="004536C0"/>
    <w:rsid w:val="00453B6B"/>
    <w:rsid w:val="00453D0D"/>
    <w:rsid w:val="00454238"/>
    <w:rsid w:val="004544BA"/>
    <w:rsid w:val="004544D9"/>
    <w:rsid w:val="00454B72"/>
    <w:rsid w:val="00454C5D"/>
    <w:rsid w:val="00454CAC"/>
    <w:rsid w:val="00455060"/>
    <w:rsid w:val="00455124"/>
    <w:rsid w:val="00455125"/>
    <w:rsid w:val="00455231"/>
    <w:rsid w:val="0045523B"/>
    <w:rsid w:val="004552B9"/>
    <w:rsid w:val="0045543B"/>
    <w:rsid w:val="00455455"/>
    <w:rsid w:val="0045546B"/>
    <w:rsid w:val="00455485"/>
    <w:rsid w:val="0045555A"/>
    <w:rsid w:val="00455A63"/>
    <w:rsid w:val="00455C4F"/>
    <w:rsid w:val="00455F47"/>
    <w:rsid w:val="004561F7"/>
    <w:rsid w:val="0045635A"/>
    <w:rsid w:val="004564C2"/>
    <w:rsid w:val="00456600"/>
    <w:rsid w:val="0045669B"/>
    <w:rsid w:val="0045674E"/>
    <w:rsid w:val="00456944"/>
    <w:rsid w:val="004569C0"/>
    <w:rsid w:val="00456A6E"/>
    <w:rsid w:val="00456CE0"/>
    <w:rsid w:val="00456D72"/>
    <w:rsid w:val="00456DEC"/>
    <w:rsid w:val="00456E7B"/>
    <w:rsid w:val="00456FEB"/>
    <w:rsid w:val="00457007"/>
    <w:rsid w:val="004573D3"/>
    <w:rsid w:val="00457442"/>
    <w:rsid w:val="0045747E"/>
    <w:rsid w:val="00457531"/>
    <w:rsid w:val="00457642"/>
    <w:rsid w:val="0045766F"/>
    <w:rsid w:val="004576A1"/>
    <w:rsid w:val="004577A1"/>
    <w:rsid w:val="0045788C"/>
    <w:rsid w:val="004578A1"/>
    <w:rsid w:val="00457ACA"/>
    <w:rsid w:val="00457D72"/>
    <w:rsid w:val="00457E14"/>
    <w:rsid w:val="0046002D"/>
    <w:rsid w:val="004603B5"/>
    <w:rsid w:val="004604E8"/>
    <w:rsid w:val="0046052E"/>
    <w:rsid w:val="004605F9"/>
    <w:rsid w:val="0046070E"/>
    <w:rsid w:val="00460765"/>
    <w:rsid w:val="004608BF"/>
    <w:rsid w:val="00460A26"/>
    <w:rsid w:val="00460A29"/>
    <w:rsid w:val="00460AF3"/>
    <w:rsid w:val="00460B06"/>
    <w:rsid w:val="00460EBA"/>
    <w:rsid w:val="00460EE1"/>
    <w:rsid w:val="0046104E"/>
    <w:rsid w:val="0046119F"/>
    <w:rsid w:val="004612AB"/>
    <w:rsid w:val="004612B1"/>
    <w:rsid w:val="0046151F"/>
    <w:rsid w:val="00461581"/>
    <w:rsid w:val="0046175D"/>
    <w:rsid w:val="00461932"/>
    <w:rsid w:val="00461972"/>
    <w:rsid w:val="00461CD1"/>
    <w:rsid w:val="00461EC5"/>
    <w:rsid w:val="0046212E"/>
    <w:rsid w:val="004621FE"/>
    <w:rsid w:val="004622D4"/>
    <w:rsid w:val="004624DB"/>
    <w:rsid w:val="00462535"/>
    <w:rsid w:val="004626BC"/>
    <w:rsid w:val="00462A3C"/>
    <w:rsid w:val="00462A4B"/>
    <w:rsid w:val="00462A4F"/>
    <w:rsid w:val="00462B94"/>
    <w:rsid w:val="00462C08"/>
    <w:rsid w:val="00462C2C"/>
    <w:rsid w:val="00462E8E"/>
    <w:rsid w:val="004631FB"/>
    <w:rsid w:val="004632C6"/>
    <w:rsid w:val="0046339B"/>
    <w:rsid w:val="00463564"/>
    <w:rsid w:val="0046365E"/>
    <w:rsid w:val="004636A6"/>
    <w:rsid w:val="0046377D"/>
    <w:rsid w:val="004637E9"/>
    <w:rsid w:val="0046389A"/>
    <w:rsid w:val="00463DE4"/>
    <w:rsid w:val="00464051"/>
    <w:rsid w:val="004641A2"/>
    <w:rsid w:val="00464325"/>
    <w:rsid w:val="00464387"/>
    <w:rsid w:val="0046441A"/>
    <w:rsid w:val="004644DC"/>
    <w:rsid w:val="00464761"/>
    <w:rsid w:val="00464778"/>
    <w:rsid w:val="004647F8"/>
    <w:rsid w:val="004649DD"/>
    <w:rsid w:val="00464A64"/>
    <w:rsid w:val="00464B97"/>
    <w:rsid w:val="00464C70"/>
    <w:rsid w:val="00464ED3"/>
    <w:rsid w:val="00464EDE"/>
    <w:rsid w:val="0046524D"/>
    <w:rsid w:val="00465D7D"/>
    <w:rsid w:val="00466169"/>
    <w:rsid w:val="0046636A"/>
    <w:rsid w:val="0046670E"/>
    <w:rsid w:val="00466869"/>
    <w:rsid w:val="00466A65"/>
    <w:rsid w:val="00466B04"/>
    <w:rsid w:val="00466BF8"/>
    <w:rsid w:val="00466D59"/>
    <w:rsid w:val="00466E08"/>
    <w:rsid w:val="00466E79"/>
    <w:rsid w:val="00466F54"/>
    <w:rsid w:val="004670A1"/>
    <w:rsid w:val="0046710B"/>
    <w:rsid w:val="0046728A"/>
    <w:rsid w:val="00467444"/>
    <w:rsid w:val="004674E9"/>
    <w:rsid w:val="004676D5"/>
    <w:rsid w:val="004676E5"/>
    <w:rsid w:val="004679BE"/>
    <w:rsid w:val="00467A7F"/>
    <w:rsid w:val="00467CA6"/>
    <w:rsid w:val="00467E3A"/>
    <w:rsid w:val="00467E55"/>
    <w:rsid w:val="004700B3"/>
    <w:rsid w:val="004701CC"/>
    <w:rsid w:val="0047022E"/>
    <w:rsid w:val="004702AC"/>
    <w:rsid w:val="0047037A"/>
    <w:rsid w:val="004703FF"/>
    <w:rsid w:val="0047047A"/>
    <w:rsid w:val="00470788"/>
    <w:rsid w:val="0047078D"/>
    <w:rsid w:val="0047083B"/>
    <w:rsid w:val="00470ABE"/>
    <w:rsid w:val="00470B53"/>
    <w:rsid w:val="00470C1F"/>
    <w:rsid w:val="00470CAF"/>
    <w:rsid w:val="00470DF2"/>
    <w:rsid w:val="00470E79"/>
    <w:rsid w:val="00471213"/>
    <w:rsid w:val="00471530"/>
    <w:rsid w:val="004717B9"/>
    <w:rsid w:val="00471C75"/>
    <w:rsid w:val="00471EDA"/>
    <w:rsid w:val="00471F28"/>
    <w:rsid w:val="00472132"/>
    <w:rsid w:val="004722D9"/>
    <w:rsid w:val="0047236A"/>
    <w:rsid w:val="00472374"/>
    <w:rsid w:val="004724F5"/>
    <w:rsid w:val="004725EC"/>
    <w:rsid w:val="00472611"/>
    <w:rsid w:val="00472768"/>
    <w:rsid w:val="004727E5"/>
    <w:rsid w:val="004728C0"/>
    <w:rsid w:val="004729C2"/>
    <w:rsid w:val="00472A19"/>
    <w:rsid w:val="00472C30"/>
    <w:rsid w:val="00472C34"/>
    <w:rsid w:val="00472C36"/>
    <w:rsid w:val="00472CCF"/>
    <w:rsid w:val="00472FF5"/>
    <w:rsid w:val="00473268"/>
    <w:rsid w:val="004732F9"/>
    <w:rsid w:val="00473368"/>
    <w:rsid w:val="004733FC"/>
    <w:rsid w:val="0047342D"/>
    <w:rsid w:val="004737F0"/>
    <w:rsid w:val="004738CE"/>
    <w:rsid w:val="004739F4"/>
    <w:rsid w:val="00473B90"/>
    <w:rsid w:val="00473C1E"/>
    <w:rsid w:val="00473E17"/>
    <w:rsid w:val="00473EB5"/>
    <w:rsid w:val="00473F15"/>
    <w:rsid w:val="0047418C"/>
    <w:rsid w:val="004741A7"/>
    <w:rsid w:val="004742FF"/>
    <w:rsid w:val="00474350"/>
    <w:rsid w:val="004743FF"/>
    <w:rsid w:val="00474424"/>
    <w:rsid w:val="0047448A"/>
    <w:rsid w:val="004744BF"/>
    <w:rsid w:val="004746DB"/>
    <w:rsid w:val="00474848"/>
    <w:rsid w:val="00474AB7"/>
    <w:rsid w:val="00474B46"/>
    <w:rsid w:val="00474F86"/>
    <w:rsid w:val="00474FC5"/>
    <w:rsid w:val="00475097"/>
    <w:rsid w:val="00475142"/>
    <w:rsid w:val="00475442"/>
    <w:rsid w:val="0047563B"/>
    <w:rsid w:val="00475ACC"/>
    <w:rsid w:val="00475B07"/>
    <w:rsid w:val="00475BD6"/>
    <w:rsid w:val="00475D1E"/>
    <w:rsid w:val="00475D20"/>
    <w:rsid w:val="00475FB3"/>
    <w:rsid w:val="0047601C"/>
    <w:rsid w:val="0047630A"/>
    <w:rsid w:val="0047637B"/>
    <w:rsid w:val="00476455"/>
    <w:rsid w:val="00476517"/>
    <w:rsid w:val="00476568"/>
    <w:rsid w:val="0047656C"/>
    <w:rsid w:val="004765D7"/>
    <w:rsid w:val="004766F4"/>
    <w:rsid w:val="00476AA9"/>
    <w:rsid w:val="00476AEE"/>
    <w:rsid w:val="00476B68"/>
    <w:rsid w:val="00476B8B"/>
    <w:rsid w:val="00476C2D"/>
    <w:rsid w:val="00476CD5"/>
    <w:rsid w:val="00476ECE"/>
    <w:rsid w:val="00476F7E"/>
    <w:rsid w:val="00477003"/>
    <w:rsid w:val="0047702C"/>
    <w:rsid w:val="0047711E"/>
    <w:rsid w:val="00477238"/>
    <w:rsid w:val="004773F9"/>
    <w:rsid w:val="0047767C"/>
    <w:rsid w:val="0047771F"/>
    <w:rsid w:val="0047774F"/>
    <w:rsid w:val="0047785D"/>
    <w:rsid w:val="00477964"/>
    <w:rsid w:val="00477A9E"/>
    <w:rsid w:val="00477BAA"/>
    <w:rsid w:val="00477BCA"/>
    <w:rsid w:val="00477D1E"/>
    <w:rsid w:val="00477D46"/>
    <w:rsid w:val="00477EB5"/>
    <w:rsid w:val="00477F3C"/>
    <w:rsid w:val="00477F48"/>
    <w:rsid w:val="00480132"/>
    <w:rsid w:val="0048043D"/>
    <w:rsid w:val="00480651"/>
    <w:rsid w:val="00480A83"/>
    <w:rsid w:val="00480CB3"/>
    <w:rsid w:val="00480CE7"/>
    <w:rsid w:val="00480D87"/>
    <w:rsid w:val="004810A0"/>
    <w:rsid w:val="00481198"/>
    <w:rsid w:val="00481323"/>
    <w:rsid w:val="004815F4"/>
    <w:rsid w:val="00481697"/>
    <w:rsid w:val="00481709"/>
    <w:rsid w:val="0048177D"/>
    <w:rsid w:val="00481864"/>
    <w:rsid w:val="004818AB"/>
    <w:rsid w:val="00481B31"/>
    <w:rsid w:val="00481CF0"/>
    <w:rsid w:val="00481ED8"/>
    <w:rsid w:val="00481F55"/>
    <w:rsid w:val="0048227E"/>
    <w:rsid w:val="00482614"/>
    <w:rsid w:val="0048262A"/>
    <w:rsid w:val="004827AB"/>
    <w:rsid w:val="00482816"/>
    <w:rsid w:val="00482A56"/>
    <w:rsid w:val="00482D6F"/>
    <w:rsid w:val="00482E23"/>
    <w:rsid w:val="00483101"/>
    <w:rsid w:val="0048312C"/>
    <w:rsid w:val="00483131"/>
    <w:rsid w:val="00483384"/>
    <w:rsid w:val="0048341B"/>
    <w:rsid w:val="0048350F"/>
    <w:rsid w:val="0048355D"/>
    <w:rsid w:val="004835A4"/>
    <w:rsid w:val="004837BD"/>
    <w:rsid w:val="00483863"/>
    <w:rsid w:val="00483865"/>
    <w:rsid w:val="00483A26"/>
    <w:rsid w:val="00483AFD"/>
    <w:rsid w:val="00483EED"/>
    <w:rsid w:val="00483FD1"/>
    <w:rsid w:val="0048403D"/>
    <w:rsid w:val="00484096"/>
    <w:rsid w:val="004840E9"/>
    <w:rsid w:val="004842E9"/>
    <w:rsid w:val="0048440F"/>
    <w:rsid w:val="004844FD"/>
    <w:rsid w:val="004845C1"/>
    <w:rsid w:val="004846C6"/>
    <w:rsid w:val="00484757"/>
    <w:rsid w:val="004847E0"/>
    <w:rsid w:val="00484826"/>
    <w:rsid w:val="004848A4"/>
    <w:rsid w:val="004848A5"/>
    <w:rsid w:val="00484B53"/>
    <w:rsid w:val="00484D2F"/>
    <w:rsid w:val="00484E9D"/>
    <w:rsid w:val="00484EE8"/>
    <w:rsid w:val="00484F9C"/>
    <w:rsid w:val="00485050"/>
    <w:rsid w:val="004853FB"/>
    <w:rsid w:val="00485510"/>
    <w:rsid w:val="0048553F"/>
    <w:rsid w:val="0048583E"/>
    <w:rsid w:val="004858CC"/>
    <w:rsid w:val="00485B05"/>
    <w:rsid w:val="00485B29"/>
    <w:rsid w:val="00485B9B"/>
    <w:rsid w:val="00485BF8"/>
    <w:rsid w:val="00485C1B"/>
    <w:rsid w:val="00485E5D"/>
    <w:rsid w:val="00485E64"/>
    <w:rsid w:val="00485EE2"/>
    <w:rsid w:val="00485F90"/>
    <w:rsid w:val="00485FB6"/>
    <w:rsid w:val="004861CD"/>
    <w:rsid w:val="00486218"/>
    <w:rsid w:val="0048634C"/>
    <w:rsid w:val="0048664F"/>
    <w:rsid w:val="004868AF"/>
    <w:rsid w:val="004869F3"/>
    <w:rsid w:val="00486C12"/>
    <w:rsid w:val="00486C63"/>
    <w:rsid w:val="00486D03"/>
    <w:rsid w:val="00486E3C"/>
    <w:rsid w:val="00486FAF"/>
    <w:rsid w:val="00487004"/>
    <w:rsid w:val="00487035"/>
    <w:rsid w:val="00487060"/>
    <w:rsid w:val="0048747A"/>
    <w:rsid w:val="00487482"/>
    <w:rsid w:val="004874EB"/>
    <w:rsid w:val="00487695"/>
    <w:rsid w:val="00487A44"/>
    <w:rsid w:val="00487AD1"/>
    <w:rsid w:val="00487B36"/>
    <w:rsid w:val="00487CF0"/>
    <w:rsid w:val="00490053"/>
    <w:rsid w:val="004904EF"/>
    <w:rsid w:val="00490696"/>
    <w:rsid w:val="00490826"/>
    <w:rsid w:val="00490837"/>
    <w:rsid w:val="004909D8"/>
    <w:rsid w:val="00490A30"/>
    <w:rsid w:val="00490A81"/>
    <w:rsid w:val="00490A92"/>
    <w:rsid w:val="00490D72"/>
    <w:rsid w:val="00490DA0"/>
    <w:rsid w:val="00490E37"/>
    <w:rsid w:val="00491001"/>
    <w:rsid w:val="0049120E"/>
    <w:rsid w:val="00491403"/>
    <w:rsid w:val="00491427"/>
    <w:rsid w:val="004914A7"/>
    <w:rsid w:val="00491B37"/>
    <w:rsid w:val="00491D32"/>
    <w:rsid w:val="00491D76"/>
    <w:rsid w:val="00491DF2"/>
    <w:rsid w:val="00491F2F"/>
    <w:rsid w:val="004921C2"/>
    <w:rsid w:val="00492519"/>
    <w:rsid w:val="00492686"/>
    <w:rsid w:val="00492695"/>
    <w:rsid w:val="00492735"/>
    <w:rsid w:val="004928CA"/>
    <w:rsid w:val="00492A51"/>
    <w:rsid w:val="00492A77"/>
    <w:rsid w:val="00492AEA"/>
    <w:rsid w:val="00492CA4"/>
    <w:rsid w:val="00492E57"/>
    <w:rsid w:val="00492F10"/>
    <w:rsid w:val="00493045"/>
    <w:rsid w:val="00493124"/>
    <w:rsid w:val="00493161"/>
    <w:rsid w:val="004931E9"/>
    <w:rsid w:val="004935B8"/>
    <w:rsid w:val="00493678"/>
    <w:rsid w:val="0049370D"/>
    <w:rsid w:val="004937B7"/>
    <w:rsid w:val="004937D5"/>
    <w:rsid w:val="0049382B"/>
    <w:rsid w:val="00493C33"/>
    <w:rsid w:val="00493DD2"/>
    <w:rsid w:val="00493F13"/>
    <w:rsid w:val="0049411E"/>
    <w:rsid w:val="0049438A"/>
    <w:rsid w:val="00494797"/>
    <w:rsid w:val="00494C76"/>
    <w:rsid w:val="00494E83"/>
    <w:rsid w:val="00495017"/>
    <w:rsid w:val="0049508A"/>
    <w:rsid w:val="00495422"/>
    <w:rsid w:val="00495480"/>
    <w:rsid w:val="004954D0"/>
    <w:rsid w:val="0049559F"/>
    <w:rsid w:val="0049561F"/>
    <w:rsid w:val="00495693"/>
    <w:rsid w:val="004957A2"/>
    <w:rsid w:val="00495879"/>
    <w:rsid w:val="00495AB8"/>
    <w:rsid w:val="00495BCD"/>
    <w:rsid w:val="00495CAB"/>
    <w:rsid w:val="00495CEC"/>
    <w:rsid w:val="00495DCD"/>
    <w:rsid w:val="00495ECF"/>
    <w:rsid w:val="004961BB"/>
    <w:rsid w:val="00496397"/>
    <w:rsid w:val="0049643B"/>
    <w:rsid w:val="0049649E"/>
    <w:rsid w:val="004964E8"/>
    <w:rsid w:val="004964FF"/>
    <w:rsid w:val="004967E8"/>
    <w:rsid w:val="00496825"/>
    <w:rsid w:val="00496904"/>
    <w:rsid w:val="00496BC9"/>
    <w:rsid w:val="00496CB2"/>
    <w:rsid w:val="00496EC6"/>
    <w:rsid w:val="004971C7"/>
    <w:rsid w:val="0049729C"/>
    <w:rsid w:val="00497342"/>
    <w:rsid w:val="004973F2"/>
    <w:rsid w:val="00497694"/>
    <w:rsid w:val="00497A6A"/>
    <w:rsid w:val="00497B68"/>
    <w:rsid w:val="00497B98"/>
    <w:rsid w:val="00497B9A"/>
    <w:rsid w:val="00497C19"/>
    <w:rsid w:val="00497C32"/>
    <w:rsid w:val="00497D73"/>
    <w:rsid w:val="00497D82"/>
    <w:rsid w:val="004A0100"/>
    <w:rsid w:val="004A01E2"/>
    <w:rsid w:val="004A03B8"/>
    <w:rsid w:val="004A03D9"/>
    <w:rsid w:val="004A05D7"/>
    <w:rsid w:val="004A062B"/>
    <w:rsid w:val="004A084B"/>
    <w:rsid w:val="004A0AEC"/>
    <w:rsid w:val="004A1044"/>
    <w:rsid w:val="004A11E0"/>
    <w:rsid w:val="004A1249"/>
    <w:rsid w:val="004A1250"/>
    <w:rsid w:val="004A12A7"/>
    <w:rsid w:val="004A1349"/>
    <w:rsid w:val="004A15B4"/>
    <w:rsid w:val="004A186B"/>
    <w:rsid w:val="004A1874"/>
    <w:rsid w:val="004A1AE6"/>
    <w:rsid w:val="004A1C38"/>
    <w:rsid w:val="004A1EBE"/>
    <w:rsid w:val="004A1F44"/>
    <w:rsid w:val="004A2131"/>
    <w:rsid w:val="004A246F"/>
    <w:rsid w:val="004A269D"/>
    <w:rsid w:val="004A26A0"/>
    <w:rsid w:val="004A274A"/>
    <w:rsid w:val="004A27E3"/>
    <w:rsid w:val="004A2A7B"/>
    <w:rsid w:val="004A2DC8"/>
    <w:rsid w:val="004A31C5"/>
    <w:rsid w:val="004A31F4"/>
    <w:rsid w:val="004A33B5"/>
    <w:rsid w:val="004A3410"/>
    <w:rsid w:val="004A35B7"/>
    <w:rsid w:val="004A3626"/>
    <w:rsid w:val="004A37CE"/>
    <w:rsid w:val="004A39BB"/>
    <w:rsid w:val="004A3A52"/>
    <w:rsid w:val="004A3D54"/>
    <w:rsid w:val="004A4342"/>
    <w:rsid w:val="004A44FB"/>
    <w:rsid w:val="004A491E"/>
    <w:rsid w:val="004A49B0"/>
    <w:rsid w:val="004A49BA"/>
    <w:rsid w:val="004A4A30"/>
    <w:rsid w:val="004A4BF8"/>
    <w:rsid w:val="004A4C62"/>
    <w:rsid w:val="004A4CE1"/>
    <w:rsid w:val="004A4D41"/>
    <w:rsid w:val="004A4F25"/>
    <w:rsid w:val="004A4F27"/>
    <w:rsid w:val="004A4F4F"/>
    <w:rsid w:val="004A5013"/>
    <w:rsid w:val="004A5232"/>
    <w:rsid w:val="004A5582"/>
    <w:rsid w:val="004A5655"/>
    <w:rsid w:val="004A5BC3"/>
    <w:rsid w:val="004A5E99"/>
    <w:rsid w:val="004A612A"/>
    <w:rsid w:val="004A6686"/>
    <w:rsid w:val="004A66FE"/>
    <w:rsid w:val="004A680E"/>
    <w:rsid w:val="004A6966"/>
    <w:rsid w:val="004A6A2E"/>
    <w:rsid w:val="004A6B5D"/>
    <w:rsid w:val="004A6C7F"/>
    <w:rsid w:val="004A72DF"/>
    <w:rsid w:val="004A74F6"/>
    <w:rsid w:val="004A7690"/>
    <w:rsid w:val="004A76AD"/>
    <w:rsid w:val="004A794D"/>
    <w:rsid w:val="004B014F"/>
    <w:rsid w:val="004B027B"/>
    <w:rsid w:val="004B0410"/>
    <w:rsid w:val="004B04D9"/>
    <w:rsid w:val="004B0506"/>
    <w:rsid w:val="004B0546"/>
    <w:rsid w:val="004B08A1"/>
    <w:rsid w:val="004B0A6D"/>
    <w:rsid w:val="004B0B06"/>
    <w:rsid w:val="004B0B1F"/>
    <w:rsid w:val="004B0D5D"/>
    <w:rsid w:val="004B0E2D"/>
    <w:rsid w:val="004B108C"/>
    <w:rsid w:val="004B1253"/>
    <w:rsid w:val="004B134D"/>
    <w:rsid w:val="004B13BF"/>
    <w:rsid w:val="004B1872"/>
    <w:rsid w:val="004B19E8"/>
    <w:rsid w:val="004B1A21"/>
    <w:rsid w:val="004B1B3F"/>
    <w:rsid w:val="004B1CCF"/>
    <w:rsid w:val="004B2102"/>
    <w:rsid w:val="004B21CA"/>
    <w:rsid w:val="004B2378"/>
    <w:rsid w:val="004B2538"/>
    <w:rsid w:val="004B2792"/>
    <w:rsid w:val="004B286B"/>
    <w:rsid w:val="004B2A8A"/>
    <w:rsid w:val="004B2B90"/>
    <w:rsid w:val="004B2D1A"/>
    <w:rsid w:val="004B2D45"/>
    <w:rsid w:val="004B3138"/>
    <w:rsid w:val="004B313B"/>
    <w:rsid w:val="004B3179"/>
    <w:rsid w:val="004B31DB"/>
    <w:rsid w:val="004B345E"/>
    <w:rsid w:val="004B36AB"/>
    <w:rsid w:val="004B376D"/>
    <w:rsid w:val="004B3D9B"/>
    <w:rsid w:val="004B3DEF"/>
    <w:rsid w:val="004B3E32"/>
    <w:rsid w:val="004B412B"/>
    <w:rsid w:val="004B4185"/>
    <w:rsid w:val="004B42EE"/>
    <w:rsid w:val="004B4443"/>
    <w:rsid w:val="004B46A9"/>
    <w:rsid w:val="004B4775"/>
    <w:rsid w:val="004B484B"/>
    <w:rsid w:val="004B4956"/>
    <w:rsid w:val="004B49A2"/>
    <w:rsid w:val="004B4B27"/>
    <w:rsid w:val="004B4BF8"/>
    <w:rsid w:val="004B4C4B"/>
    <w:rsid w:val="004B4DDB"/>
    <w:rsid w:val="004B506D"/>
    <w:rsid w:val="004B51E8"/>
    <w:rsid w:val="004B520B"/>
    <w:rsid w:val="004B521D"/>
    <w:rsid w:val="004B5282"/>
    <w:rsid w:val="004B5384"/>
    <w:rsid w:val="004B53F4"/>
    <w:rsid w:val="004B5556"/>
    <w:rsid w:val="004B5774"/>
    <w:rsid w:val="004B5848"/>
    <w:rsid w:val="004B597B"/>
    <w:rsid w:val="004B5989"/>
    <w:rsid w:val="004B598C"/>
    <w:rsid w:val="004B59DC"/>
    <w:rsid w:val="004B5A2A"/>
    <w:rsid w:val="004B5E60"/>
    <w:rsid w:val="004B5FB9"/>
    <w:rsid w:val="004B5FCF"/>
    <w:rsid w:val="004B60DA"/>
    <w:rsid w:val="004B6163"/>
    <w:rsid w:val="004B6306"/>
    <w:rsid w:val="004B651A"/>
    <w:rsid w:val="004B6520"/>
    <w:rsid w:val="004B69DE"/>
    <w:rsid w:val="004B69F2"/>
    <w:rsid w:val="004B72C0"/>
    <w:rsid w:val="004B7358"/>
    <w:rsid w:val="004B74D5"/>
    <w:rsid w:val="004B76B3"/>
    <w:rsid w:val="004B7B9D"/>
    <w:rsid w:val="004B7E1C"/>
    <w:rsid w:val="004B7EF0"/>
    <w:rsid w:val="004C0034"/>
    <w:rsid w:val="004C0354"/>
    <w:rsid w:val="004C058C"/>
    <w:rsid w:val="004C05D8"/>
    <w:rsid w:val="004C0980"/>
    <w:rsid w:val="004C0B2A"/>
    <w:rsid w:val="004C0E56"/>
    <w:rsid w:val="004C0F4A"/>
    <w:rsid w:val="004C104A"/>
    <w:rsid w:val="004C1057"/>
    <w:rsid w:val="004C10FF"/>
    <w:rsid w:val="004C11DE"/>
    <w:rsid w:val="004C12DD"/>
    <w:rsid w:val="004C137D"/>
    <w:rsid w:val="004C169F"/>
    <w:rsid w:val="004C172C"/>
    <w:rsid w:val="004C19AD"/>
    <w:rsid w:val="004C1E91"/>
    <w:rsid w:val="004C1EBA"/>
    <w:rsid w:val="004C206A"/>
    <w:rsid w:val="004C2395"/>
    <w:rsid w:val="004C25AB"/>
    <w:rsid w:val="004C2647"/>
    <w:rsid w:val="004C2A84"/>
    <w:rsid w:val="004C2B06"/>
    <w:rsid w:val="004C2B94"/>
    <w:rsid w:val="004C2BBB"/>
    <w:rsid w:val="004C2DA9"/>
    <w:rsid w:val="004C2DC0"/>
    <w:rsid w:val="004C2F35"/>
    <w:rsid w:val="004C305E"/>
    <w:rsid w:val="004C306B"/>
    <w:rsid w:val="004C31CE"/>
    <w:rsid w:val="004C31D2"/>
    <w:rsid w:val="004C31D9"/>
    <w:rsid w:val="004C326E"/>
    <w:rsid w:val="004C36CB"/>
    <w:rsid w:val="004C39BC"/>
    <w:rsid w:val="004C3A2B"/>
    <w:rsid w:val="004C3A2D"/>
    <w:rsid w:val="004C3FF8"/>
    <w:rsid w:val="004C439F"/>
    <w:rsid w:val="004C43A9"/>
    <w:rsid w:val="004C4687"/>
    <w:rsid w:val="004C46AB"/>
    <w:rsid w:val="004C48C2"/>
    <w:rsid w:val="004C491F"/>
    <w:rsid w:val="004C4961"/>
    <w:rsid w:val="004C49B0"/>
    <w:rsid w:val="004C4A2B"/>
    <w:rsid w:val="004C4ADB"/>
    <w:rsid w:val="004C4D88"/>
    <w:rsid w:val="004C4EBD"/>
    <w:rsid w:val="004C4FA2"/>
    <w:rsid w:val="004C5113"/>
    <w:rsid w:val="004C51F5"/>
    <w:rsid w:val="004C5343"/>
    <w:rsid w:val="004C5426"/>
    <w:rsid w:val="004C548C"/>
    <w:rsid w:val="004C54B2"/>
    <w:rsid w:val="004C57EF"/>
    <w:rsid w:val="004C5C5C"/>
    <w:rsid w:val="004C5C8B"/>
    <w:rsid w:val="004C5E65"/>
    <w:rsid w:val="004C5EE9"/>
    <w:rsid w:val="004C5F3D"/>
    <w:rsid w:val="004C6103"/>
    <w:rsid w:val="004C6327"/>
    <w:rsid w:val="004C63A7"/>
    <w:rsid w:val="004C63FB"/>
    <w:rsid w:val="004C6402"/>
    <w:rsid w:val="004C67A1"/>
    <w:rsid w:val="004C6BD6"/>
    <w:rsid w:val="004C6BFA"/>
    <w:rsid w:val="004C6C20"/>
    <w:rsid w:val="004C6C39"/>
    <w:rsid w:val="004C6C97"/>
    <w:rsid w:val="004C6C99"/>
    <w:rsid w:val="004C6CD3"/>
    <w:rsid w:val="004C7080"/>
    <w:rsid w:val="004C70AB"/>
    <w:rsid w:val="004C715A"/>
    <w:rsid w:val="004C7241"/>
    <w:rsid w:val="004C73A6"/>
    <w:rsid w:val="004C73CB"/>
    <w:rsid w:val="004C745F"/>
    <w:rsid w:val="004C74A6"/>
    <w:rsid w:val="004C76BB"/>
    <w:rsid w:val="004C7724"/>
    <w:rsid w:val="004C78B9"/>
    <w:rsid w:val="004C78BA"/>
    <w:rsid w:val="004C7909"/>
    <w:rsid w:val="004C7F0D"/>
    <w:rsid w:val="004C7F10"/>
    <w:rsid w:val="004C7F48"/>
    <w:rsid w:val="004D0186"/>
    <w:rsid w:val="004D036A"/>
    <w:rsid w:val="004D041A"/>
    <w:rsid w:val="004D04DE"/>
    <w:rsid w:val="004D082C"/>
    <w:rsid w:val="004D0859"/>
    <w:rsid w:val="004D089B"/>
    <w:rsid w:val="004D090C"/>
    <w:rsid w:val="004D091A"/>
    <w:rsid w:val="004D095B"/>
    <w:rsid w:val="004D09B4"/>
    <w:rsid w:val="004D0C64"/>
    <w:rsid w:val="004D0EF1"/>
    <w:rsid w:val="004D1228"/>
    <w:rsid w:val="004D136B"/>
    <w:rsid w:val="004D1540"/>
    <w:rsid w:val="004D15A6"/>
    <w:rsid w:val="004D16DC"/>
    <w:rsid w:val="004D1888"/>
    <w:rsid w:val="004D1A11"/>
    <w:rsid w:val="004D1C90"/>
    <w:rsid w:val="004D1C96"/>
    <w:rsid w:val="004D1D43"/>
    <w:rsid w:val="004D1D87"/>
    <w:rsid w:val="004D1DE5"/>
    <w:rsid w:val="004D1FC3"/>
    <w:rsid w:val="004D228A"/>
    <w:rsid w:val="004D24A7"/>
    <w:rsid w:val="004D2535"/>
    <w:rsid w:val="004D269A"/>
    <w:rsid w:val="004D26B5"/>
    <w:rsid w:val="004D2797"/>
    <w:rsid w:val="004D2921"/>
    <w:rsid w:val="004D2AA2"/>
    <w:rsid w:val="004D2B12"/>
    <w:rsid w:val="004D2C02"/>
    <w:rsid w:val="004D2C86"/>
    <w:rsid w:val="004D3215"/>
    <w:rsid w:val="004D32E8"/>
    <w:rsid w:val="004D3322"/>
    <w:rsid w:val="004D3415"/>
    <w:rsid w:val="004D358D"/>
    <w:rsid w:val="004D38D6"/>
    <w:rsid w:val="004D3A9A"/>
    <w:rsid w:val="004D3BB0"/>
    <w:rsid w:val="004D3C5C"/>
    <w:rsid w:val="004D41A7"/>
    <w:rsid w:val="004D4330"/>
    <w:rsid w:val="004D43A0"/>
    <w:rsid w:val="004D461C"/>
    <w:rsid w:val="004D467B"/>
    <w:rsid w:val="004D48A1"/>
    <w:rsid w:val="004D4A11"/>
    <w:rsid w:val="004D4B23"/>
    <w:rsid w:val="004D4C10"/>
    <w:rsid w:val="004D4C85"/>
    <w:rsid w:val="004D4E3D"/>
    <w:rsid w:val="004D4ED3"/>
    <w:rsid w:val="004D519A"/>
    <w:rsid w:val="004D52E1"/>
    <w:rsid w:val="004D53E6"/>
    <w:rsid w:val="004D5422"/>
    <w:rsid w:val="004D5647"/>
    <w:rsid w:val="004D56D5"/>
    <w:rsid w:val="004D5764"/>
    <w:rsid w:val="004D5858"/>
    <w:rsid w:val="004D5B05"/>
    <w:rsid w:val="004D5BD9"/>
    <w:rsid w:val="004D5BDD"/>
    <w:rsid w:val="004D5D15"/>
    <w:rsid w:val="004D5E3C"/>
    <w:rsid w:val="004D6024"/>
    <w:rsid w:val="004D6302"/>
    <w:rsid w:val="004D636F"/>
    <w:rsid w:val="004D64E5"/>
    <w:rsid w:val="004D6C48"/>
    <w:rsid w:val="004D6DC9"/>
    <w:rsid w:val="004D711F"/>
    <w:rsid w:val="004D7230"/>
    <w:rsid w:val="004D73F8"/>
    <w:rsid w:val="004D7636"/>
    <w:rsid w:val="004D77B3"/>
    <w:rsid w:val="004D780D"/>
    <w:rsid w:val="004D79DC"/>
    <w:rsid w:val="004D7A3A"/>
    <w:rsid w:val="004D7A57"/>
    <w:rsid w:val="004D7BD8"/>
    <w:rsid w:val="004D7C3C"/>
    <w:rsid w:val="004D7C81"/>
    <w:rsid w:val="004D7CD8"/>
    <w:rsid w:val="004D7D00"/>
    <w:rsid w:val="004D7E9B"/>
    <w:rsid w:val="004E0104"/>
    <w:rsid w:val="004E010A"/>
    <w:rsid w:val="004E0264"/>
    <w:rsid w:val="004E0287"/>
    <w:rsid w:val="004E03F1"/>
    <w:rsid w:val="004E06DF"/>
    <w:rsid w:val="004E07E7"/>
    <w:rsid w:val="004E0844"/>
    <w:rsid w:val="004E0AE3"/>
    <w:rsid w:val="004E0C2A"/>
    <w:rsid w:val="004E106E"/>
    <w:rsid w:val="004E113D"/>
    <w:rsid w:val="004E1179"/>
    <w:rsid w:val="004E1217"/>
    <w:rsid w:val="004E12E0"/>
    <w:rsid w:val="004E131A"/>
    <w:rsid w:val="004E1346"/>
    <w:rsid w:val="004E1505"/>
    <w:rsid w:val="004E158B"/>
    <w:rsid w:val="004E16A4"/>
    <w:rsid w:val="004E16D1"/>
    <w:rsid w:val="004E1931"/>
    <w:rsid w:val="004E1A37"/>
    <w:rsid w:val="004E1A48"/>
    <w:rsid w:val="004E1C55"/>
    <w:rsid w:val="004E1CF4"/>
    <w:rsid w:val="004E1DD5"/>
    <w:rsid w:val="004E217A"/>
    <w:rsid w:val="004E2230"/>
    <w:rsid w:val="004E2331"/>
    <w:rsid w:val="004E23FF"/>
    <w:rsid w:val="004E28AF"/>
    <w:rsid w:val="004E28B2"/>
    <w:rsid w:val="004E2967"/>
    <w:rsid w:val="004E29BE"/>
    <w:rsid w:val="004E2BFF"/>
    <w:rsid w:val="004E2EE1"/>
    <w:rsid w:val="004E3017"/>
    <w:rsid w:val="004E302F"/>
    <w:rsid w:val="004E316D"/>
    <w:rsid w:val="004E3174"/>
    <w:rsid w:val="004E31C7"/>
    <w:rsid w:val="004E32A4"/>
    <w:rsid w:val="004E3353"/>
    <w:rsid w:val="004E3390"/>
    <w:rsid w:val="004E346D"/>
    <w:rsid w:val="004E3524"/>
    <w:rsid w:val="004E384A"/>
    <w:rsid w:val="004E38F8"/>
    <w:rsid w:val="004E3CD0"/>
    <w:rsid w:val="004E3D15"/>
    <w:rsid w:val="004E3DE4"/>
    <w:rsid w:val="004E3EA2"/>
    <w:rsid w:val="004E3FE5"/>
    <w:rsid w:val="004E42D9"/>
    <w:rsid w:val="004E43A6"/>
    <w:rsid w:val="004E44DE"/>
    <w:rsid w:val="004E45C0"/>
    <w:rsid w:val="004E45D3"/>
    <w:rsid w:val="004E45E2"/>
    <w:rsid w:val="004E4775"/>
    <w:rsid w:val="004E4871"/>
    <w:rsid w:val="004E4895"/>
    <w:rsid w:val="004E4B4F"/>
    <w:rsid w:val="004E4B5C"/>
    <w:rsid w:val="004E4D95"/>
    <w:rsid w:val="004E5485"/>
    <w:rsid w:val="004E5601"/>
    <w:rsid w:val="004E56FE"/>
    <w:rsid w:val="004E579D"/>
    <w:rsid w:val="004E5A9A"/>
    <w:rsid w:val="004E5AE2"/>
    <w:rsid w:val="004E5B05"/>
    <w:rsid w:val="004E5BBD"/>
    <w:rsid w:val="004E5C10"/>
    <w:rsid w:val="004E5E2B"/>
    <w:rsid w:val="004E5F68"/>
    <w:rsid w:val="004E6049"/>
    <w:rsid w:val="004E605F"/>
    <w:rsid w:val="004E60FB"/>
    <w:rsid w:val="004E672A"/>
    <w:rsid w:val="004E68FD"/>
    <w:rsid w:val="004E69F0"/>
    <w:rsid w:val="004E6B1B"/>
    <w:rsid w:val="004E6B72"/>
    <w:rsid w:val="004E6C17"/>
    <w:rsid w:val="004E6F8F"/>
    <w:rsid w:val="004E708F"/>
    <w:rsid w:val="004E71DE"/>
    <w:rsid w:val="004E727C"/>
    <w:rsid w:val="004E7383"/>
    <w:rsid w:val="004E7679"/>
    <w:rsid w:val="004E770D"/>
    <w:rsid w:val="004E7A06"/>
    <w:rsid w:val="004E7A54"/>
    <w:rsid w:val="004E7BB5"/>
    <w:rsid w:val="004E7BB6"/>
    <w:rsid w:val="004E7D15"/>
    <w:rsid w:val="004E7E76"/>
    <w:rsid w:val="004F0099"/>
    <w:rsid w:val="004F02D9"/>
    <w:rsid w:val="004F039E"/>
    <w:rsid w:val="004F0480"/>
    <w:rsid w:val="004F0676"/>
    <w:rsid w:val="004F07C7"/>
    <w:rsid w:val="004F08C9"/>
    <w:rsid w:val="004F090A"/>
    <w:rsid w:val="004F0A66"/>
    <w:rsid w:val="004F0C8B"/>
    <w:rsid w:val="004F0FBE"/>
    <w:rsid w:val="004F1142"/>
    <w:rsid w:val="004F145E"/>
    <w:rsid w:val="004F14E3"/>
    <w:rsid w:val="004F15B7"/>
    <w:rsid w:val="004F1724"/>
    <w:rsid w:val="004F17D2"/>
    <w:rsid w:val="004F18BB"/>
    <w:rsid w:val="004F1E52"/>
    <w:rsid w:val="004F210F"/>
    <w:rsid w:val="004F2175"/>
    <w:rsid w:val="004F24AC"/>
    <w:rsid w:val="004F2712"/>
    <w:rsid w:val="004F28E4"/>
    <w:rsid w:val="004F2B16"/>
    <w:rsid w:val="004F2DB2"/>
    <w:rsid w:val="004F2E9F"/>
    <w:rsid w:val="004F2F35"/>
    <w:rsid w:val="004F2FA6"/>
    <w:rsid w:val="004F2FE8"/>
    <w:rsid w:val="004F3056"/>
    <w:rsid w:val="004F31E6"/>
    <w:rsid w:val="004F33C1"/>
    <w:rsid w:val="004F34ED"/>
    <w:rsid w:val="004F38CD"/>
    <w:rsid w:val="004F38E0"/>
    <w:rsid w:val="004F3AE9"/>
    <w:rsid w:val="004F3DAA"/>
    <w:rsid w:val="004F4016"/>
    <w:rsid w:val="004F41AB"/>
    <w:rsid w:val="004F46C8"/>
    <w:rsid w:val="004F46F5"/>
    <w:rsid w:val="004F4A05"/>
    <w:rsid w:val="004F4A2B"/>
    <w:rsid w:val="004F4B8A"/>
    <w:rsid w:val="004F4C70"/>
    <w:rsid w:val="004F4C73"/>
    <w:rsid w:val="004F4CB8"/>
    <w:rsid w:val="004F4CDE"/>
    <w:rsid w:val="004F4EDF"/>
    <w:rsid w:val="004F507B"/>
    <w:rsid w:val="004F51AE"/>
    <w:rsid w:val="004F521B"/>
    <w:rsid w:val="004F52B5"/>
    <w:rsid w:val="004F5354"/>
    <w:rsid w:val="004F5543"/>
    <w:rsid w:val="004F5960"/>
    <w:rsid w:val="004F5A3D"/>
    <w:rsid w:val="004F5AC5"/>
    <w:rsid w:val="004F5B9E"/>
    <w:rsid w:val="004F5BE2"/>
    <w:rsid w:val="004F5C03"/>
    <w:rsid w:val="004F5C78"/>
    <w:rsid w:val="004F5C9B"/>
    <w:rsid w:val="004F5D6E"/>
    <w:rsid w:val="004F5E15"/>
    <w:rsid w:val="004F6032"/>
    <w:rsid w:val="004F629F"/>
    <w:rsid w:val="004F62FB"/>
    <w:rsid w:val="004F65DB"/>
    <w:rsid w:val="004F6716"/>
    <w:rsid w:val="004F6954"/>
    <w:rsid w:val="004F699E"/>
    <w:rsid w:val="004F6C59"/>
    <w:rsid w:val="004F7058"/>
    <w:rsid w:val="004F7164"/>
    <w:rsid w:val="004F7327"/>
    <w:rsid w:val="004F7374"/>
    <w:rsid w:val="004F74B9"/>
    <w:rsid w:val="004F75B4"/>
    <w:rsid w:val="004F75C3"/>
    <w:rsid w:val="004F7815"/>
    <w:rsid w:val="004F7850"/>
    <w:rsid w:val="004F79F7"/>
    <w:rsid w:val="004F7B43"/>
    <w:rsid w:val="004F7C31"/>
    <w:rsid w:val="004F7C8D"/>
    <w:rsid w:val="004F7D08"/>
    <w:rsid w:val="004F7F45"/>
    <w:rsid w:val="0050049F"/>
    <w:rsid w:val="00500532"/>
    <w:rsid w:val="005006CB"/>
    <w:rsid w:val="00500A8F"/>
    <w:rsid w:val="00500B9C"/>
    <w:rsid w:val="00500BCE"/>
    <w:rsid w:val="00500D29"/>
    <w:rsid w:val="00500F67"/>
    <w:rsid w:val="00500F72"/>
    <w:rsid w:val="00500FD9"/>
    <w:rsid w:val="00501137"/>
    <w:rsid w:val="005012F9"/>
    <w:rsid w:val="00501447"/>
    <w:rsid w:val="0050154D"/>
    <w:rsid w:val="00501682"/>
    <w:rsid w:val="005018F2"/>
    <w:rsid w:val="00501943"/>
    <w:rsid w:val="00501970"/>
    <w:rsid w:val="005019E8"/>
    <w:rsid w:val="00501A89"/>
    <w:rsid w:val="00501C74"/>
    <w:rsid w:val="00501D39"/>
    <w:rsid w:val="00501D53"/>
    <w:rsid w:val="0050200F"/>
    <w:rsid w:val="00502247"/>
    <w:rsid w:val="0050231E"/>
    <w:rsid w:val="005024F3"/>
    <w:rsid w:val="00502547"/>
    <w:rsid w:val="005028CF"/>
    <w:rsid w:val="00502A6B"/>
    <w:rsid w:val="00502ABB"/>
    <w:rsid w:val="00502AFC"/>
    <w:rsid w:val="00502D5B"/>
    <w:rsid w:val="00502F06"/>
    <w:rsid w:val="00503092"/>
    <w:rsid w:val="005031C0"/>
    <w:rsid w:val="00503330"/>
    <w:rsid w:val="0050333B"/>
    <w:rsid w:val="00503357"/>
    <w:rsid w:val="00503435"/>
    <w:rsid w:val="0050354A"/>
    <w:rsid w:val="00503815"/>
    <w:rsid w:val="00503A11"/>
    <w:rsid w:val="00503BBC"/>
    <w:rsid w:val="00503BCF"/>
    <w:rsid w:val="00503BF8"/>
    <w:rsid w:val="00503C84"/>
    <w:rsid w:val="00503E6D"/>
    <w:rsid w:val="00503EBC"/>
    <w:rsid w:val="00503F8B"/>
    <w:rsid w:val="00504001"/>
    <w:rsid w:val="005040A0"/>
    <w:rsid w:val="005041BF"/>
    <w:rsid w:val="00504532"/>
    <w:rsid w:val="005045E8"/>
    <w:rsid w:val="005047A2"/>
    <w:rsid w:val="00504982"/>
    <w:rsid w:val="00504B25"/>
    <w:rsid w:val="00504B8F"/>
    <w:rsid w:val="00504DF8"/>
    <w:rsid w:val="00504F7D"/>
    <w:rsid w:val="0050507C"/>
    <w:rsid w:val="00505405"/>
    <w:rsid w:val="00505449"/>
    <w:rsid w:val="005055DF"/>
    <w:rsid w:val="00505659"/>
    <w:rsid w:val="00505691"/>
    <w:rsid w:val="005057B0"/>
    <w:rsid w:val="005057C4"/>
    <w:rsid w:val="005057E9"/>
    <w:rsid w:val="005058A4"/>
    <w:rsid w:val="005058FE"/>
    <w:rsid w:val="00505B03"/>
    <w:rsid w:val="00505C76"/>
    <w:rsid w:val="005060B0"/>
    <w:rsid w:val="00506371"/>
    <w:rsid w:val="005063D5"/>
    <w:rsid w:val="00506488"/>
    <w:rsid w:val="00506599"/>
    <w:rsid w:val="00506758"/>
    <w:rsid w:val="00506794"/>
    <w:rsid w:val="005067BF"/>
    <w:rsid w:val="0050688C"/>
    <w:rsid w:val="00506B6A"/>
    <w:rsid w:val="00506E18"/>
    <w:rsid w:val="00506EB2"/>
    <w:rsid w:val="00506F92"/>
    <w:rsid w:val="00506FCC"/>
    <w:rsid w:val="0050704D"/>
    <w:rsid w:val="0050704F"/>
    <w:rsid w:val="00507173"/>
    <w:rsid w:val="00507265"/>
    <w:rsid w:val="00507966"/>
    <w:rsid w:val="00507A1F"/>
    <w:rsid w:val="00507A78"/>
    <w:rsid w:val="00507D00"/>
    <w:rsid w:val="00507D31"/>
    <w:rsid w:val="00507E9C"/>
    <w:rsid w:val="00507F09"/>
    <w:rsid w:val="00507F90"/>
    <w:rsid w:val="005101BE"/>
    <w:rsid w:val="005101FD"/>
    <w:rsid w:val="0051026D"/>
    <w:rsid w:val="005108E6"/>
    <w:rsid w:val="00510A39"/>
    <w:rsid w:val="00510BA6"/>
    <w:rsid w:val="00510BB9"/>
    <w:rsid w:val="00510BBC"/>
    <w:rsid w:val="00510C73"/>
    <w:rsid w:val="00511499"/>
    <w:rsid w:val="00511504"/>
    <w:rsid w:val="00511608"/>
    <w:rsid w:val="0051164A"/>
    <w:rsid w:val="00511751"/>
    <w:rsid w:val="005119DC"/>
    <w:rsid w:val="00511A16"/>
    <w:rsid w:val="00511ADA"/>
    <w:rsid w:val="00511C31"/>
    <w:rsid w:val="00511C7A"/>
    <w:rsid w:val="00512114"/>
    <w:rsid w:val="005121A1"/>
    <w:rsid w:val="005122B9"/>
    <w:rsid w:val="00512706"/>
    <w:rsid w:val="0051279C"/>
    <w:rsid w:val="0051284D"/>
    <w:rsid w:val="00512C1E"/>
    <w:rsid w:val="00512C22"/>
    <w:rsid w:val="00512F9A"/>
    <w:rsid w:val="0051339A"/>
    <w:rsid w:val="0051372E"/>
    <w:rsid w:val="005138C2"/>
    <w:rsid w:val="00513AB5"/>
    <w:rsid w:val="00513CF8"/>
    <w:rsid w:val="00513DD9"/>
    <w:rsid w:val="00513F6E"/>
    <w:rsid w:val="0051404E"/>
    <w:rsid w:val="00514069"/>
    <w:rsid w:val="00514154"/>
    <w:rsid w:val="0051415C"/>
    <w:rsid w:val="00514304"/>
    <w:rsid w:val="0051438E"/>
    <w:rsid w:val="005143AC"/>
    <w:rsid w:val="005144BF"/>
    <w:rsid w:val="0051469F"/>
    <w:rsid w:val="00514700"/>
    <w:rsid w:val="005148EB"/>
    <w:rsid w:val="00514ABB"/>
    <w:rsid w:val="00514B4A"/>
    <w:rsid w:val="00514C30"/>
    <w:rsid w:val="00514CFC"/>
    <w:rsid w:val="00514ED5"/>
    <w:rsid w:val="00514F60"/>
    <w:rsid w:val="00514F71"/>
    <w:rsid w:val="00514FA1"/>
    <w:rsid w:val="00515050"/>
    <w:rsid w:val="005151E0"/>
    <w:rsid w:val="005153D1"/>
    <w:rsid w:val="00515487"/>
    <w:rsid w:val="005154DB"/>
    <w:rsid w:val="00515702"/>
    <w:rsid w:val="00515706"/>
    <w:rsid w:val="00515A0C"/>
    <w:rsid w:val="00515BF7"/>
    <w:rsid w:val="00515C68"/>
    <w:rsid w:val="00515CF8"/>
    <w:rsid w:val="00515EA7"/>
    <w:rsid w:val="00515ED3"/>
    <w:rsid w:val="00515FEA"/>
    <w:rsid w:val="005161FF"/>
    <w:rsid w:val="0051643C"/>
    <w:rsid w:val="00516495"/>
    <w:rsid w:val="005165F1"/>
    <w:rsid w:val="0051678C"/>
    <w:rsid w:val="005168F0"/>
    <w:rsid w:val="005168FD"/>
    <w:rsid w:val="00516997"/>
    <w:rsid w:val="005169F0"/>
    <w:rsid w:val="00516A70"/>
    <w:rsid w:val="00516AB5"/>
    <w:rsid w:val="00516E65"/>
    <w:rsid w:val="0051713A"/>
    <w:rsid w:val="005171D1"/>
    <w:rsid w:val="00517290"/>
    <w:rsid w:val="005172C0"/>
    <w:rsid w:val="0051743C"/>
    <w:rsid w:val="00517641"/>
    <w:rsid w:val="00517A68"/>
    <w:rsid w:val="00517AFD"/>
    <w:rsid w:val="00517D00"/>
    <w:rsid w:val="00517F52"/>
    <w:rsid w:val="005201A1"/>
    <w:rsid w:val="0052023C"/>
    <w:rsid w:val="005203BD"/>
    <w:rsid w:val="00520529"/>
    <w:rsid w:val="00520543"/>
    <w:rsid w:val="005205F9"/>
    <w:rsid w:val="0052085C"/>
    <w:rsid w:val="00520886"/>
    <w:rsid w:val="005208FB"/>
    <w:rsid w:val="00520B1C"/>
    <w:rsid w:val="00520C37"/>
    <w:rsid w:val="00520E67"/>
    <w:rsid w:val="00520EA9"/>
    <w:rsid w:val="00520EBE"/>
    <w:rsid w:val="00520F68"/>
    <w:rsid w:val="00520FE4"/>
    <w:rsid w:val="00520FEC"/>
    <w:rsid w:val="00521079"/>
    <w:rsid w:val="0052185C"/>
    <w:rsid w:val="00521DD1"/>
    <w:rsid w:val="00521E36"/>
    <w:rsid w:val="00521F47"/>
    <w:rsid w:val="005221B8"/>
    <w:rsid w:val="005222AB"/>
    <w:rsid w:val="00522527"/>
    <w:rsid w:val="00522606"/>
    <w:rsid w:val="00522A2E"/>
    <w:rsid w:val="00522A4A"/>
    <w:rsid w:val="00522A81"/>
    <w:rsid w:val="00522C1E"/>
    <w:rsid w:val="00522C27"/>
    <w:rsid w:val="00522C9D"/>
    <w:rsid w:val="00522E12"/>
    <w:rsid w:val="00522E84"/>
    <w:rsid w:val="00522E8E"/>
    <w:rsid w:val="00523310"/>
    <w:rsid w:val="00523374"/>
    <w:rsid w:val="00523502"/>
    <w:rsid w:val="00523679"/>
    <w:rsid w:val="005236B2"/>
    <w:rsid w:val="005236F5"/>
    <w:rsid w:val="005239E9"/>
    <w:rsid w:val="00523D5D"/>
    <w:rsid w:val="005244C6"/>
    <w:rsid w:val="005245BE"/>
    <w:rsid w:val="005245D8"/>
    <w:rsid w:val="00524633"/>
    <w:rsid w:val="00524953"/>
    <w:rsid w:val="00524DF3"/>
    <w:rsid w:val="00524FC7"/>
    <w:rsid w:val="005252F7"/>
    <w:rsid w:val="00525638"/>
    <w:rsid w:val="005256A0"/>
    <w:rsid w:val="005256C7"/>
    <w:rsid w:val="0052571E"/>
    <w:rsid w:val="005257F2"/>
    <w:rsid w:val="00525807"/>
    <w:rsid w:val="00525904"/>
    <w:rsid w:val="00525A86"/>
    <w:rsid w:val="00525B3B"/>
    <w:rsid w:val="00526214"/>
    <w:rsid w:val="00526514"/>
    <w:rsid w:val="005265DB"/>
    <w:rsid w:val="0052664F"/>
    <w:rsid w:val="005267F3"/>
    <w:rsid w:val="0052682C"/>
    <w:rsid w:val="00526964"/>
    <w:rsid w:val="00526B8C"/>
    <w:rsid w:val="00526C7B"/>
    <w:rsid w:val="00526CBC"/>
    <w:rsid w:val="00527113"/>
    <w:rsid w:val="0052744D"/>
    <w:rsid w:val="005275D5"/>
    <w:rsid w:val="005276A4"/>
    <w:rsid w:val="005276B2"/>
    <w:rsid w:val="005277CC"/>
    <w:rsid w:val="005278AC"/>
    <w:rsid w:val="00527C49"/>
    <w:rsid w:val="00527D42"/>
    <w:rsid w:val="00527E92"/>
    <w:rsid w:val="00527FF1"/>
    <w:rsid w:val="005303BF"/>
    <w:rsid w:val="00530417"/>
    <w:rsid w:val="0053043F"/>
    <w:rsid w:val="00530521"/>
    <w:rsid w:val="005308D0"/>
    <w:rsid w:val="00530BA7"/>
    <w:rsid w:val="00530CB7"/>
    <w:rsid w:val="00530D3F"/>
    <w:rsid w:val="00530E55"/>
    <w:rsid w:val="00530EAB"/>
    <w:rsid w:val="00530FDA"/>
    <w:rsid w:val="00531493"/>
    <w:rsid w:val="0053155D"/>
    <w:rsid w:val="005315C1"/>
    <w:rsid w:val="005317F9"/>
    <w:rsid w:val="00531843"/>
    <w:rsid w:val="00531950"/>
    <w:rsid w:val="0053197F"/>
    <w:rsid w:val="00531998"/>
    <w:rsid w:val="00531A39"/>
    <w:rsid w:val="00531BE9"/>
    <w:rsid w:val="00531EAF"/>
    <w:rsid w:val="00531F9E"/>
    <w:rsid w:val="005320E4"/>
    <w:rsid w:val="0053228C"/>
    <w:rsid w:val="0053244E"/>
    <w:rsid w:val="005327AA"/>
    <w:rsid w:val="005327D7"/>
    <w:rsid w:val="00532878"/>
    <w:rsid w:val="0053294B"/>
    <w:rsid w:val="00532A9E"/>
    <w:rsid w:val="00532AE7"/>
    <w:rsid w:val="00532C7C"/>
    <w:rsid w:val="005331F5"/>
    <w:rsid w:val="005334F2"/>
    <w:rsid w:val="0053352A"/>
    <w:rsid w:val="0053362D"/>
    <w:rsid w:val="005336ED"/>
    <w:rsid w:val="0053371C"/>
    <w:rsid w:val="005339AC"/>
    <w:rsid w:val="00533EBA"/>
    <w:rsid w:val="00533ECF"/>
    <w:rsid w:val="00533EE4"/>
    <w:rsid w:val="00533F64"/>
    <w:rsid w:val="005340AD"/>
    <w:rsid w:val="0053468E"/>
    <w:rsid w:val="0053469D"/>
    <w:rsid w:val="005346E2"/>
    <w:rsid w:val="00534706"/>
    <w:rsid w:val="00534770"/>
    <w:rsid w:val="00534788"/>
    <w:rsid w:val="005347AE"/>
    <w:rsid w:val="00534965"/>
    <w:rsid w:val="005349B7"/>
    <w:rsid w:val="00534A0F"/>
    <w:rsid w:val="00534ACB"/>
    <w:rsid w:val="00534B1D"/>
    <w:rsid w:val="00534B7A"/>
    <w:rsid w:val="00534BAD"/>
    <w:rsid w:val="00534BE2"/>
    <w:rsid w:val="00534E59"/>
    <w:rsid w:val="00534F06"/>
    <w:rsid w:val="005355F4"/>
    <w:rsid w:val="00535614"/>
    <w:rsid w:val="005356B2"/>
    <w:rsid w:val="005356D5"/>
    <w:rsid w:val="005356F4"/>
    <w:rsid w:val="00535740"/>
    <w:rsid w:val="00535897"/>
    <w:rsid w:val="00535B40"/>
    <w:rsid w:val="00535C8E"/>
    <w:rsid w:val="00535C93"/>
    <w:rsid w:val="00535CE6"/>
    <w:rsid w:val="00535CF0"/>
    <w:rsid w:val="0053609C"/>
    <w:rsid w:val="0053631F"/>
    <w:rsid w:val="0053634D"/>
    <w:rsid w:val="00536420"/>
    <w:rsid w:val="00536440"/>
    <w:rsid w:val="00536592"/>
    <w:rsid w:val="00536748"/>
    <w:rsid w:val="00536788"/>
    <w:rsid w:val="0053683A"/>
    <w:rsid w:val="005368B1"/>
    <w:rsid w:val="00536A76"/>
    <w:rsid w:val="00536C2D"/>
    <w:rsid w:val="00536E23"/>
    <w:rsid w:val="00536FC9"/>
    <w:rsid w:val="00537156"/>
    <w:rsid w:val="005371D6"/>
    <w:rsid w:val="00537287"/>
    <w:rsid w:val="0053730C"/>
    <w:rsid w:val="00537432"/>
    <w:rsid w:val="00537750"/>
    <w:rsid w:val="005377D0"/>
    <w:rsid w:val="005378C8"/>
    <w:rsid w:val="005378D1"/>
    <w:rsid w:val="005379D5"/>
    <w:rsid w:val="00537B7B"/>
    <w:rsid w:val="00537DE5"/>
    <w:rsid w:val="00537EDF"/>
    <w:rsid w:val="00537EFE"/>
    <w:rsid w:val="00537FE0"/>
    <w:rsid w:val="0054012E"/>
    <w:rsid w:val="00540433"/>
    <w:rsid w:val="005404C3"/>
    <w:rsid w:val="00540582"/>
    <w:rsid w:val="005408B1"/>
    <w:rsid w:val="00540AF9"/>
    <w:rsid w:val="005410D8"/>
    <w:rsid w:val="00541308"/>
    <w:rsid w:val="00541434"/>
    <w:rsid w:val="00541598"/>
    <w:rsid w:val="005416F7"/>
    <w:rsid w:val="00541776"/>
    <w:rsid w:val="0054199B"/>
    <w:rsid w:val="00541A0D"/>
    <w:rsid w:val="00541C2A"/>
    <w:rsid w:val="00541CD9"/>
    <w:rsid w:val="00541DD5"/>
    <w:rsid w:val="00541F35"/>
    <w:rsid w:val="0054223C"/>
    <w:rsid w:val="00542251"/>
    <w:rsid w:val="00542297"/>
    <w:rsid w:val="0054280A"/>
    <w:rsid w:val="0054283C"/>
    <w:rsid w:val="0054287A"/>
    <w:rsid w:val="00542891"/>
    <w:rsid w:val="00542AF9"/>
    <w:rsid w:val="00542D1B"/>
    <w:rsid w:val="00542D6A"/>
    <w:rsid w:val="00543075"/>
    <w:rsid w:val="005430E1"/>
    <w:rsid w:val="005430F1"/>
    <w:rsid w:val="0054324B"/>
    <w:rsid w:val="00543397"/>
    <w:rsid w:val="0054355E"/>
    <w:rsid w:val="00543A37"/>
    <w:rsid w:val="00543A62"/>
    <w:rsid w:val="00543B74"/>
    <w:rsid w:val="00543BB2"/>
    <w:rsid w:val="00543CC8"/>
    <w:rsid w:val="00543CD5"/>
    <w:rsid w:val="00543D14"/>
    <w:rsid w:val="00543E23"/>
    <w:rsid w:val="00543F22"/>
    <w:rsid w:val="00543F4C"/>
    <w:rsid w:val="00544069"/>
    <w:rsid w:val="005440D4"/>
    <w:rsid w:val="00544178"/>
    <w:rsid w:val="005443EA"/>
    <w:rsid w:val="005445A2"/>
    <w:rsid w:val="005448B1"/>
    <w:rsid w:val="005448B2"/>
    <w:rsid w:val="0054495C"/>
    <w:rsid w:val="00544A74"/>
    <w:rsid w:val="00544AD2"/>
    <w:rsid w:val="00544AD8"/>
    <w:rsid w:val="00544D45"/>
    <w:rsid w:val="00544E2B"/>
    <w:rsid w:val="00544E32"/>
    <w:rsid w:val="0054520B"/>
    <w:rsid w:val="00545267"/>
    <w:rsid w:val="005454ED"/>
    <w:rsid w:val="005458F8"/>
    <w:rsid w:val="00545938"/>
    <w:rsid w:val="00545A26"/>
    <w:rsid w:val="00545A8A"/>
    <w:rsid w:val="00545AD3"/>
    <w:rsid w:val="00545D5F"/>
    <w:rsid w:val="00545E47"/>
    <w:rsid w:val="00545FE8"/>
    <w:rsid w:val="00545FF3"/>
    <w:rsid w:val="00546080"/>
    <w:rsid w:val="0054637F"/>
    <w:rsid w:val="005464ED"/>
    <w:rsid w:val="005465AA"/>
    <w:rsid w:val="005465CA"/>
    <w:rsid w:val="0054682F"/>
    <w:rsid w:val="00546840"/>
    <w:rsid w:val="005468C1"/>
    <w:rsid w:val="005468E5"/>
    <w:rsid w:val="00546DD1"/>
    <w:rsid w:val="00546E0A"/>
    <w:rsid w:val="00546EAF"/>
    <w:rsid w:val="00547195"/>
    <w:rsid w:val="005472C7"/>
    <w:rsid w:val="005474EE"/>
    <w:rsid w:val="00547537"/>
    <w:rsid w:val="00547943"/>
    <w:rsid w:val="00547AF6"/>
    <w:rsid w:val="00547CF9"/>
    <w:rsid w:val="00547E1F"/>
    <w:rsid w:val="00547F57"/>
    <w:rsid w:val="00547F6D"/>
    <w:rsid w:val="00547F9C"/>
    <w:rsid w:val="005500A2"/>
    <w:rsid w:val="00550304"/>
    <w:rsid w:val="00550458"/>
    <w:rsid w:val="00550902"/>
    <w:rsid w:val="00550925"/>
    <w:rsid w:val="005509E2"/>
    <w:rsid w:val="00550AD0"/>
    <w:rsid w:val="00550ADF"/>
    <w:rsid w:val="00550D3F"/>
    <w:rsid w:val="00550E2D"/>
    <w:rsid w:val="00550FA2"/>
    <w:rsid w:val="00551260"/>
    <w:rsid w:val="005512B0"/>
    <w:rsid w:val="0055130E"/>
    <w:rsid w:val="00551604"/>
    <w:rsid w:val="00551628"/>
    <w:rsid w:val="0055164A"/>
    <w:rsid w:val="00551868"/>
    <w:rsid w:val="00551AD5"/>
    <w:rsid w:val="00551D35"/>
    <w:rsid w:val="00551EB9"/>
    <w:rsid w:val="00552050"/>
    <w:rsid w:val="00552060"/>
    <w:rsid w:val="0055214D"/>
    <w:rsid w:val="005522D7"/>
    <w:rsid w:val="005525F4"/>
    <w:rsid w:val="00552775"/>
    <w:rsid w:val="005527C2"/>
    <w:rsid w:val="005528D2"/>
    <w:rsid w:val="00552994"/>
    <w:rsid w:val="00552BE1"/>
    <w:rsid w:val="00552F93"/>
    <w:rsid w:val="00552FE8"/>
    <w:rsid w:val="0055304E"/>
    <w:rsid w:val="00553195"/>
    <w:rsid w:val="00553340"/>
    <w:rsid w:val="0055338B"/>
    <w:rsid w:val="00553395"/>
    <w:rsid w:val="005534BA"/>
    <w:rsid w:val="00553998"/>
    <w:rsid w:val="00553EF7"/>
    <w:rsid w:val="00553FD8"/>
    <w:rsid w:val="005541E1"/>
    <w:rsid w:val="005542B5"/>
    <w:rsid w:val="00554420"/>
    <w:rsid w:val="00554481"/>
    <w:rsid w:val="005544C8"/>
    <w:rsid w:val="00554568"/>
    <w:rsid w:val="005545C9"/>
    <w:rsid w:val="005545DB"/>
    <w:rsid w:val="00554758"/>
    <w:rsid w:val="0055478E"/>
    <w:rsid w:val="00554824"/>
    <w:rsid w:val="005548E3"/>
    <w:rsid w:val="005549AE"/>
    <w:rsid w:val="005549FA"/>
    <w:rsid w:val="00554AB3"/>
    <w:rsid w:val="00554B30"/>
    <w:rsid w:val="00554B8E"/>
    <w:rsid w:val="00554BEE"/>
    <w:rsid w:val="00554C79"/>
    <w:rsid w:val="00554E74"/>
    <w:rsid w:val="00554FD6"/>
    <w:rsid w:val="00555305"/>
    <w:rsid w:val="00555456"/>
    <w:rsid w:val="005555DD"/>
    <w:rsid w:val="0055576A"/>
    <w:rsid w:val="0055598A"/>
    <w:rsid w:val="005559E8"/>
    <w:rsid w:val="00555BCB"/>
    <w:rsid w:val="00555EB4"/>
    <w:rsid w:val="00555F60"/>
    <w:rsid w:val="005560DA"/>
    <w:rsid w:val="0055614E"/>
    <w:rsid w:val="0055616D"/>
    <w:rsid w:val="005561B8"/>
    <w:rsid w:val="00556204"/>
    <w:rsid w:val="0055643E"/>
    <w:rsid w:val="005564ED"/>
    <w:rsid w:val="00556508"/>
    <w:rsid w:val="00556645"/>
    <w:rsid w:val="00556895"/>
    <w:rsid w:val="005568C6"/>
    <w:rsid w:val="005568D4"/>
    <w:rsid w:val="00556CFD"/>
    <w:rsid w:val="00556DA9"/>
    <w:rsid w:val="00556ED4"/>
    <w:rsid w:val="00556F1D"/>
    <w:rsid w:val="0055713A"/>
    <w:rsid w:val="00557472"/>
    <w:rsid w:val="0055781B"/>
    <w:rsid w:val="00557D2A"/>
    <w:rsid w:val="00557D30"/>
    <w:rsid w:val="00557DCD"/>
    <w:rsid w:val="00557FDC"/>
    <w:rsid w:val="0056009B"/>
    <w:rsid w:val="005605D0"/>
    <w:rsid w:val="0056075F"/>
    <w:rsid w:val="00560810"/>
    <w:rsid w:val="005608B0"/>
    <w:rsid w:val="00560911"/>
    <w:rsid w:val="00560990"/>
    <w:rsid w:val="00560C46"/>
    <w:rsid w:val="00560CF2"/>
    <w:rsid w:val="005610F4"/>
    <w:rsid w:val="00561292"/>
    <w:rsid w:val="0056150E"/>
    <w:rsid w:val="00561579"/>
    <w:rsid w:val="00561590"/>
    <w:rsid w:val="005615CD"/>
    <w:rsid w:val="005617A8"/>
    <w:rsid w:val="005617B5"/>
    <w:rsid w:val="005617FB"/>
    <w:rsid w:val="00561964"/>
    <w:rsid w:val="0056197E"/>
    <w:rsid w:val="00561B67"/>
    <w:rsid w:val="00561C00"/>
    <w:rsid w:val="00561C1B"/>
    <w:rsid w:val="00562166"/>
    <w:rsid w:val="005621C8"/>
    <w:rsid w:val="005623D9"/>
    <w:rsid w:val="005624BA"/>
    <w:rsid w:val="005625BA"/>
    <w:rsid w:val="005627AD"/>
    <w:rsid w:val="005629F1"/>
    <w:rsid w:val="00562ACB"/>
    <w:rsid w:val="00562B64"/>
    <w:rsid w:val="00562D38"/>
    <w:rsid w:val="00562F8B"/>
    <w:rsid w:val="00562FD3"/>
    <w:rsid w:val="005630D8"/>
    <w:rsid w:val="00563386"/>
    <w:rsid w:val="0056356B"/>
    <w:rsid w:val="0056359F"/>
    <w:rsid w:val="005635DD"/>
    <w:rsid w:val="005638D3"/>
    <w:rsid w:val="005639A0"/>
    <w:rsid w:val="00563B1D"/>
    <w:rsid w:val="00563D5E"/>
    <w:rsid w:val="00563E60"/>
    <w:rsid w:val="00563E6D"/>
    <w:rsid w:val="00563F8C"/>
    <w:rsid w:val="00564078"/>
    <w:rsid w:val="005641FA"/>
    <w:rsid w:val="005642B2"/>
    <w:rsid w:val="00564303"/>
    <w:rsid w:val="0056438E"/>
    <w:rsid w:val="005643A0"/>
    <w:rsid w:val="005644B5"/>
    <w:rsid w:val="005645C2"/>
    <w:rsid w:val="0056468A"/>
    <w:rsid w:val="005649D7"/>
    <w:rsid w:val="005649E8"/>
    <w:rsid w:val="00564AA3"/>
    <w:rsid w:val="00564C18"/>
    <w:rsid w:val="00564D36"/>
    <w:rsid w:val="00564EFE"/>
    <w:rsid w:val="00564F6E"/>
    <w:rsid w:val="00565424"/>
    <w:rsid w:val="0056561F"/>
    <w:rsid w:val="00565641"/>
    <w:rsid w:val="0056594E"/>
    <w:rsid w:val="00565B04"/>
    <w:rsid w:val="00565BB7"/>
    <w:rsid w:val="00565D0D"/>
    <w:rsid w:val="00566116"/>
    <w:rsid w:val="00566129"/>
    <w:rsid w:val="00566142"/>
    <w:rsid w:val="00566444"/>
    <w:rsid w:val="00566505"/>
    <w:rsid w:val="005665BC"/>
    <w:rsid w:val="005665E2"/>
    <w:rsid w:val="0056672F"/>
    <w:rsid w:val="005667A8"/>
    <w:rsid w:val="005668E2"/>
    <w:rsid w:val="00566A3E"/>
    <w:rsid w:val="00566A90"/>
    <w:rsid w:val="00566B9B"/>
    <w:rsid w:val="005670C2"/>
    <w:rsid w:val="0056710F"/>
    <w:rsid w:val="00567317"/>
    <w:rsid w:val="00567692"/>
    <w:rsid w:val="00567957"/>
    <w:rsid w:val="0056798F"/>
    <w:rsid w:val="00567A76"/>
    <w:rsid w:val="00567AEB"/>
    <w:rsid w:val="00567D60"/>
    <w:rsid w:val="00567E4D"/>
    <w:rsid w:val="005700F0"/>
    <w:rsid w:val="0057016D"/>
    <w:rsid w:val="0057027B"/>
    <w:rsid w:val="005704F3"/>
    <w:rsid w:val="00570631"/>
    <w:rsid w:val="00570974"/>
    <w:rsid w:val="00570ABC"/>
    <w:rsid w:val="00570B9D"/>
    <w:rsid w:val="00570FA8"/>
    <w:rsid w:val="005711D5"/>
    <w:rsid w:val="00571240"/>
    <w:rsid w:val="0057141E"/>
    <w:rsid w:val="00571495"/>
    <w:rsid w:val="005715A7"/>
    <w:rsid w:val="00571668"/>
    <w:rsid w:val="005716D3"/>
    <w:rsid w:val="0057199F"/>
    <w:rsid w:val="005719D5"/>
    <w:rsid w:val="00571A02"/>
    <w:rsid w:val="00571C22"/>
    <w:rsid w:val="00571C73"/>
    <w:rsid w:val="00571CF3"/>
    <w:rsid w:val="00571D61"/>
    <w:rsid w:val="00571D8D"/>
    <w:rsid w:val="00571EFA"/>
    <w:rsid w:val="005720AF"/>
    <w:rsid w:val="00572196"/>
    <w:rsid w:val="005723B2"/>
    <w:rsid w:val="005724E8"/>
    <w:rsid w:val="005724F6"/>
    <w:rsid w:val="005727B1"/>
    <w:rsid w:val="00572819"/>
    <w:rsid w:val="005729B2"/>
    <w:rsid w:val="00572D59"/>
    <w:rsid w:val="00572DD0"/>
    <w:rsid w:val="005734CB"/>
    <w:rsid w:val="00573522"/>
    <w:rsid w:val="00573760"/>
    <w:rsid w:val="005737BD"/>
    <w:rsid w:val="005737D5"/>
    <w:rsid w:val="005738FB"/>
    <w:rsid w:val="00573D3A"/>
    <w:rsid w:val="00573F65"/>
    <w:rsid w:val="00573FA4"/>
    <w:rsid w:val="005743DE"/>
    <w:rsid w:val="005743E8"/>
    <w:rsid w:val="00574401"/>
    <w:rsid w:val="00574575"/>
    <w:rsid w:val="005745A4"/>
    <w:rsid w:val="005745F7"/>
    <w:rsid w:val="0057473D"/>
    <w:rsid w:val="00574918"/>
    <w:rsid w:val="00574A5C"/>
    <w:rsid w:val="00574B76"/>
    <w:rsid w:val="0057510C"/>
    <w:rsid w:val="0057527C"/>
    <w:rsid w:val="00575646"/>
    <w:rsid w:val="00575733"/>
    <w:rsid w:val="005758C7"/>
    <w:rsid w:val="0057592B"/>
    <w:rsid w:val="00575946"/>
    <w:rsid w:val="005759DE"/>
    <w:rsid w:val="00575AE8"/>
    <w:rsid w:val="00575BA7"/>
    <w:rsid w:val="00575CD3"/>
    <w:rsid w:val="00575CF9"/>
    <w:rsid w:val="00575D5C"/>
    <w:rsid w:val="00575EEB"/>
    <w:rsid w:val="00575F4F"/>
    <w:rsid w:val="00576174"/>
    <w:rsid w:val="00576312"/>
    <w:rsid w:val="00576400"/>
    <w:rsid w:val="00576436"/>
    <w:rsid w:val="00576446"/>
    <w:rsid w:val="0057656E"/>
    <w:rsid w:val="005766E3"/>
    <w:rsid w:val="00576859"/>
    <w:rsid w:val="00576A84"/>
    <w:rsid w:val="00576AE0"/>
    <w:rsid w:val="00576B34"/>
    <w:rsid w:val="00576CEE"/>
    <w:rsid w:val="00576EAB"/>
    <w:rsid w:val="00576F9C"/>
    <w:rsid w:val="00577025"/>
    <w:rsid w:val="005770F2"/>
    <w:rsid w:val="005771F9"/>
    <w:rsid w:val="005773DC"/>
    <w:rsid w:val="00577576"/>
    <w:rsid w:val="005775CE"/>
    <w:rsid w:val="005779E8"/>
    <w:rsid w:val="00577AB1"/>
    <w:rsid w:val="00577C7A"/>
    <w:rsid w:val="00580006"/>
    <w:rsid w:val="00580149"/>
    <w:rsid w:val="00580455"/>
    <w:rsid w:val="00580B2B"/>
    <w:rsid w:val="00580C55"/>
    <w:rsid w:val="00580E4E"/>
    <w:rsid w:val="00581051"/>
    <w:rsid w:val="00581209"/>
    <w:rsid w:val="00581249"/>
    <w:rsid w:val="00581400"/>
    <w:rsid w:val="00581950"/>
    <w:rsid w:val="00581A15"/>
    <w:rsid w:val="00581AB4"/>
    <w:rsid w:val="00581D9F"/>
    <w:rsid w:val="00581E26"/>
    <w:rsid w:val="00581F4B"/>
    <w:rsid w:val="00582132"/>
    <w:rsid w:val="00582395"/>
    <w:rsid w:val="00582477"/>
    <w:rsid w:val="00582587"/>
    <w:rsid w:val="005826F0"/>
    <w:rsid w:val="00582874"/>
    <w:rsid w:val="00582B6B"/>
    <w:rsid w:val="00582E79"/>
    <w:rsid w:val="00582EC3"/>
    <w:rsid w:val="00583021"/>
    <w:rsid w:val="0058324F"/>
    <w:rsid w:val="005832F0"/>
    <w:rsid w:val="00583378"/>
    <w:rsid w:val="005833E4"/>
    <w:rsid w:val="0058345C"/>
    <w:rsid w:val="005835B0"/>
    <w:rsid w:val="005837D4"/>
    <w:rsid w:val="0058390A"/>
    <w:rsid w:val="005839A5"/>
    <w:rsid w:val="00583AF0"/>
    <w:rsid w:val="00583B79"/>
    <w:rsid w:val="00583F89"/>
    <w:rsid w:val="00584375"/>
    <w:rsid w:val="0058449C"/>
    <w:rsid w:val="0058452E"/>
    <w:rsid w:val="0058470A"/>
    <w:rsid w:val="00584770"/>
    <w:rsid w:val="005847D4"/>
    <w:rsid w:val="00584900"/>
    <w:rsid w:val="0058496B"/>
    <w:rsid w:val="00584ABF"/>
    <w:rsid w:val="00584CC2"/>
    <w:rsid w:val="00584D4F"/>
    <w:rsid w:val="00584ED8"/>
    <w:rsid w:val="0058501B"/>
    <w:rsid w:val="00585110"/>
    <w:rsid w:val="0058516E"/>
    <w:rsid w:val="00585229"/>
    <w:rsid w:val="00585860"/>
    <w:rsid w:val="00585952"/>
    <w:rsid w:val="00585979"/>
    <w:rsid w:val="00585C0D"/>
    <w:rsid w:val="00585C82"/>
    <w:rsid w:val="00585EF2"/>
    <w:rsid w:val="00585FB1"/>
    <w:rsid w:val="00586095"/>
    <w:rsid w:val="00586252"/>
    <w:rsid w:val="005864E3"/>
    <w:rsid w:val="00586605"/>
    <w:rsid w:val="0058678E"/>
    <w:rsid w:val="005869DE"/>
    <w:rsid w:val="00586C62"/>
    <w:rsid w:val="00586C9C"/>
    <w:rsid w:val="00586CFF"/>
    <w:rsid w:val="00586E01"/>
    <w:rsid w:val="00586EB9"/>
    <w:rsid w:val="00586FA4"/>
    <w:rsid w:val="005873BA"/>
    <w:rsid w:val="0058741C"/>
    <w:rsid w:val="0058747C"/>
    <w:rsid w:val="00587903"/>
    <w:rsid w:val="00587A65"/>
    <w:rsid w:val="00587B69"/>
    <w:rsid w:val="00587D3E"/>
    <w:rsid w:val="0059001F"/>
    <w:rsid w:val="00590184"/>
    <w:rsid w:val="005901BC"/>
    <w:rsid w:val="0059030D"/>
    <w:rsid w:val="00590328"/>
    <w:rsid w:val="00590423"/>
    <w:rsid w:val="0059049A"/>
    <w:rsid w:val="005904F8"/>
    <w:rsid w:val="00590584"/>
    <w:rsid w:val="005906D2"/>
    <w:rsid w:val="00590705"/>
    <w:rsid w:val="00590B88"/>
    <w:rsid w:val="00590BB3"/>
    <w:rsid w:val="00590FC9"/>
    <w:rsid w:val="00591014"/>
    <w:rsid w:val="00591017"/>
    <w:rsid w:val="0059101B"/>
    <w:rsid w:val="005912B0"/>
    <w:rsid w:val="005912C5"/>
    <w:rsid w:val="005912D1"/>
    <w:rsid w:val="00591305"/>
    <w:rsid w:val="00591443"/>
    <w:rsid w:val="00591480"/>
    <w:rsid w:val="005916C8"/>
    <w:rsid w:val="00591711"/>
    <w:rsid w:val="0059175E"/>
    <w:rsid w:val="005919C8"/>
    <w:rsid w:val="00591BD4"/>
    <w:rsid w:val="00591C9A"/>
    <w:rsid w:val="00592009"/>
    <w:rsid w:val="00592149"/>
    <w:rsid w:val="00592157"/>
    <w:rsid w:val="00592279"/>
    <w:rsid w:val="00592390"/>
    <w:rsid w:val="0059239A"/>
    <w:rsid w:val="005926F4"/>
    <w:rsid w:val="005928D1"/>
    <w:rsid w:val="005928FC"/>
    <w:rsid w:val="00592C3A"/>
    <w:rsid w:val="00592D54"/>
    <w:rsid w:val="00592FFA"/>
    <w:rsid w:val="0059301C"/>
    <w:rsid w:val="00593169"/>
    <w:rsid w:val="005931F9"/>
    <w:rsid w:val="00593674"/>
    <w:rsid w:val="005936DA"/>
    <w:rsid w:val="00593A65"/>
    <w:rsid w:val="00593AC4"/>
    <w:rsid w:val="00593DA2"/>
    <w:rsid w:val="00594254"/>
    <w:rsid w:val="0059433B"/>
    <w:rsid w:val="005944E1"/>
    <w:rsid w:val="0059456C"/>
    <w:rsid w:val="005945EF"/>
    <w:rsid w:val="0059480C"/>
    <w:rsid w:val="00594822"/>
    <w:rsid w:val="00594865"/>
    <w:rsid w:val="00594A28"/>
    <w:rsid w:val="00594A73"/>
    <w:rsid w:val="00594C88"/>
    <w:rsid w:val="00594EAA"/>
    <w:rsid w:val="005951F3"/>
    <w:rsid w:val="00595290"/>
    <w:rsid w:val="0059532B"/>
    <w:rsid w:val="0059563F"/>
    <w:rsid w:val="005956BB"/>
    <w:rsid w:val="00595828"/>
    <w:rsid w:val="005958A3"/>
    <w:rsid w:val="0059599E"/>
    <w:rsid w:val="005959BD"/>
    <w:rsid w:val="00595D3A"/>
    <w:rsid w:val="00595E2C"/>
    <w:rsid w:val="0059617E"/>
    <w:rsid w:val="0059618B"/>
    <w:rsid w:val="0059619C"/>
    <w:rsid w:val="005961EB"/>
    <w:rsid w:val="00596415"/>
    <w:rsid w:val="005965CD"/>
    <w:rsid w:val="005965EF"/>
    <w:rsid w:val="00596614"/>
    <w:rsid w:val="0059671A"/>
    <w:rsid w:val="0059674E"/>
    <w:rsid w:val="005967A4"/>
    <w:rsid w:val="005967C6"/>
    <w:rsid w:val="005969D2"/>
    <w:rsid w:val="00597050"/>
    <w:rsid w:val="005971F5"/>
    <w:rsid w:val="005972B2"/>
    <w:rsid w:val="005973E4"/>
    <w:rsid w:val="00597508"/>
    <w:rsid w:val="00597536"/>
    <w:rsid w:val="00597673"/>
    <w:rsid w:val="00597818"/>
    <w:rsid w:val="00597827"/>
    <w:rsid w:val="0059782F"/>
    <w:rsid w:val="00597970"/>
    <w:rsid w:val="00597BF2"/>
    <w:rsid w:val="00597D3C"/>
    <w:rsid w:val="00597D6E"/>
    <w:rsid w:val="00597D72"/>
    <w:rsid w:val="00597F2E"/>
    <w:rsid w:val="005A01B9"/>
    <w:rsid w:val="005A06FF"/>
    <w:rsid w:val="005A0729"/>
    <w:rsid w:val="005A0751"/>
    <w:rsid w:val="005A0819"/>
    <w:rsid w:val="005A08C0"/>
    <w:rsid w:val="005A091E"/>
    <w:rsid w:val="005A09DC"/>
    <w:rsid w:val="005A0B77"/>
    <w:rsid w:val="005A0BFC"/>
    <w:rsid w:val="005A0C21"/>
    <w:rsid w:val="005A0D0B"/>
    <w:rsid w:val="005A0EA9"/>
    <w:rsid w:val="005A0F13"/>
    <w:rsid w:val="005A110C"/>
    <w:rsid w:val="005A11CF"/>
    <w:rsid w:val="005A1332"/>
    <w:rsid w:val="005A139F"/>
    <w:rsid w:val="005A14F5"/>
    <w:rsid w:val="005A1526"/>
    <w:rsid w:val="005A153D"/>
    <w:rsid w:val="005A15BD"/>
    <w:rsid w:val="005A15DE"/>
    <w:rsid w:val="005A1795"/>
    <w:rsid w:val="005A1914"/>
    <w:rsid w:val="005A1B38"/>
    <w:rsid w:val="005A1BEE"/>
    <w:rsid w:val="005A1C18"/>
    <w:rsid w:val="005A1D67"/>
    <w:rsid w:val="005A227E"/>
    <w:rsid w:val="005A2286"/>
    <w:rsid w:val="005A2448"/>
    <w:rsid w:val="005A25C3"/>
    <w:rsid w:val="005A2727"/>
    <w:rsid w:val="005A286A"/>
    <w:rsid w:val="005A2899"/>
    <w:rsid w:val="005A291D"/>
    <w:rsid w:val="005A2BBC"/>
    <w:rsid w:val="005A2BFD"/>
    <w:rsid w:val="005A2C55"/>
    <w:rsid w:val="005A2D4D"/>
    <w:rsid w:val="005A2DEE"/>
    <w:rsid w:val="005A347F"/>
    <w:rsid w:val="005A3536"/>
    <w:rsid w:val="005A3624"/>
    <w:rsid w:val="005A39A7"/>
    <w:rsid w:val="005A3B75"/>
    <w:rsid w:val="005A3ED3"/>
    <w:rsid w:val="005A42DD"/>
    <w:rsid w:val="005A4336"/>
    <w:rsid w:val="005A4345"/>
    <w:rsid w:val="005A462C"/>
    <w:rsid w:val="005A46B5"/>
    <w:rsid w:val="005A46D9"/>
    <w:rsid w:val="005A482B"/>
    <w:rsid w:val="005A4906"/>
    <w:rsid w:val="005A49D9"/>
    <w:rsid w:val="005A4A12"/>
    <w:rsid w:val="005A4C8F"/>
    <w:rsid w:val="005A4FCB"/>
    <w:rsid w:val="005A51AD"/>
    <w:rsid w:val="005A5357"/>
    <w:rsid w:val="005A53F3"/>
    <w:rsid w:val="005A54A1"/>
    <w:rsid w:val="005A5614"/>
    <w:rsid w:val="005A5756"/>
    <w:rsid w:val="005A59EB"/>
    <w:rsid w:val="005A5CE8"/>
    <w:rsid w:val="005A5D21"/>
    <w:rsid w:val="005A5F1F"/>
    <w:rsid w:val="005A60E6"/>
    <w:rsid w:val="005A61ED"/>
    <w:rsid w:val="005A6221"/>
    <w:rsid w:val="005A6289"/>
    <w:rsid w:val="005A65B8"/>
    <w:rsid w:val="005A665E"/>
    <w:rsid w:val="005A669F"/>
    <w:rsid w:val="005A6BA3"/>
    <w:rsid w:val="005A6C7F"/>
    <w:rsid w:val="005A6D2A"/>
    <w:rsid w:val="005A6DAB"/>
    <w:rsid w:val="005A6F97"/>
    <w:rsid w:val="005A70BF"/>
    <w:rsid w:val="005A714B"/>
    <w:rsid w:val="005A720B"/>
    <w:rsid w:val="005A7273"/>
    <w:rsid w:val="005A75E1"/>
    <w:rsid w:val="005A763E"/>
    <w:rsid w:val="005A76A5"/>
    <w:rsid w:val="005A76C8"/>
    <w:rsid w:val="005A7734"/>
    <w:rsid w:val="005A783A"/>
    <w:rsid w:val="005A791A"/>
    <w:rsid w:val="005A79B4"/>
    <w:rsid w:val="005A7A5B"/>
    <w:rsid w:val="005A7ABA"/>
    <w:rsid w:val="005A7C46"/>
    <w:rsid w:val="005A7E80"/>
    <w:rsid w:val="005B0079"/>
    <w:rsid w:val="005B0093"/>
    <w:rsid w:val="005B009C"/>
    <w:rsid w:val="005B00BE"/>
    <w:rsid w:val="005B00DD"/>
    <w:rsid w:val="005B01DF"/>
    <w:rsid w:val="005B032E"/>
    <w:rsid w:val="005B0447"/>
    <w:rsid w:val="005B061B"/>
    <w:rsid w:val="005B0660"/>
    <w:rsid w:val="005B0A68"/>
    <w:rsid w:val="005B0B8D"/>
    <w:rsid w:val="005B0D6A"/>
    <w:rsid w:val="005B0DA4"/>
    <w:rsid w:val="005B0E41"/>
    <w:rsid w:val="005B100F"/>
    <w:rsid w:val="005B1037"/>
    <w:rsid w:val="005B10DB"/>
    <w:rsid w:val="005B1319"/>
    <w:rsid w:val="005B1558"/>
    <w:rsid w:val="005B15C4"/>
    <w:rsid w:val="005B15F2"/>
    <w:rsid w:val="005B1666"/>
    <w:rsid w:val="005B18EA"/>
    <w:rsid w:val="005B1B70"/>
    <w:rsid w:val="005B1B7C"/>
    <w:rsid w:val="005B1D2F"/>
    <w:rsid w:val="005B1D47"/>
    <w:rsid w:val="005B1D82"/>
    <w:rsid w:val="005B1D98"/>
    <w:rsid w:val="005B1E48"/>
    <w:rsid w:val="005B2086"/>
    <w:rsid w:val="005B2295"/>
    <w:rsid w:val="005B24A5"/>
    <w:rsid w:val="005B250A"/>
    <w:rsid w:val="005B259E"/>
    <w:rsid w:val="005B2620"/>
    <w:rsid w:val="005B26C0"/>
    <w:rsid w:val="005B281A"/>
    <w:rsid w:val="005B2916"/>
    <w:rsid w:val="005B2A1F"/>
    <w:rsid w:val="005B2A88"/>
    <w:rsid w:val="005B2BB1"/>
    <w:rsid w:val="005B2D8A"/>
    <w:rsid w:val="005B2D94"/>
    <w:rsid w:val="005B2DB5"/>
    <w:rsid w:val="005B2FAF"/>
    <w:rsid w:val="005B317A"/>
    <w:rsid w:val="005B334E"/>
    <w:rsid w:val="005B3434"/>
    <w:rsid w:val="005B3A09"/>
    <w:rsid w:val="005B3CB2"/>
    <w:rsid w:val="005B3CCA"/>
    <w:rsid w:val="005B3D08"/>
    <w:rsid w:val="005B3D86"/>
    <w:rsid w:val="005B3EB8"/>
    <w:rsid w:val="005B3FDE"/>
    <w:rsid w:val="005B4144"/>
    <w:rsid w:val="005B41A7"/>
    <w:rsid w:val="005B4269"/>
    <w:rsid w:val="005B45D5"/>
    <w:rsid w:val="005B4959"/>
    <w:rsid w:val="005B4962"/>
    <w:rsid w:val="005B4A24"/>
    <w:rsid w:val="005B4A7D"/>
    <w:rsid w:val="005B4C26"/>
    <w:rsid w:val="005B4C60"/>
    <w:rsid w:val="005B527D"/>
    <w:rsid w:val="005B5319"/>
    <w:rsid w:val="005B5375"/>
    <w:rsid w:val="005B53C9"/>
    <w:rsid w:val="005B551F"/>
    <w:rsid w:val="005B5579"/>
    <w:rsid w:val="005B55E2"/>
    <w:rsid w:val="005B5786"/>
    <w:rsid w:val="005B57AB"/>
    <w:rsid w:val="005B5C32"/>
    <w:rsid w:val="005B5C3E"/>
    <w:rsid w:val="005B6535"/>
    <w:rsid w:val="005B67C7"/>
    <w:rsid w:val="005B690A"/>
    <w:rsid w:val="005B6956"/>
    <w:rsid w:val="005B6AE4"/>
    <w:rsid w:val="005B6B74"/>
    <w:rsid w:val="005B6CC9"/>
    <w:rsid w:val="005B6DB0"/>
    <w:rsid w:val="005B6F7A"/>
    <w:rsid w:val="005B759E"/>
    <w:rsid w:val="005B76BA"/>
    <w:rsid w:val="005B77D5"/>
    <w:rsid w:val="005B792D"/>
    <w:rsid w:val="005B79F6"/>
    <w:rsid w:val="005B7C3B"/>
    <w:rsid w:val="005B7C4B"/>
    <w:rsid w:val="005B7E50"/>
    <w:rsid w:val="005C0188"/>
    <w:rsid w:val="005C0545"/>
    <w:rsid w:val="005C056D"/>
    <w:rsid w:val="005C05B2"/>
    <w:rsid w:val="005C0605"/>
    <w:rsid w:val="005C06AD"/>
    <w:rsid w:val="005C0921"/>
    <w:rsid w:val="005C09F1"/>
    <w:rsid w:val="005C0A4D"/>
    <w:rsid w:val="005C0BCD"/>
    <w:rsid w:val="005C0C02"/>
    <w:rsid w:val="005C0EF3"/>
    <w:rsid w:val="005C10ED"/>
    <w:rsid w:val="005C1205"/>
    <w:rsid w:val="005C121E"/>
    <w:rsid w:val="005C15E3"/>
    <w:rsid w:val="005C1666"/>
    <w:rsid w:val="005C1779"/>
    <w:rsid w:val="005C185B"/>
    <w:rsid w:val="005C185E"/>
    <w:rsid w:val="005C18DA"/>
    <w:rsid w:val="005C1A19"/>
    <w:rsid w:val="005C1BAF"/>
    <w:rsid w:val="005C1E6C"/>
    <w:rsid w:val="005C1E9F"/>
    <w:rsid w:val="005C1F56"/>
    <w:rsid w:val="005C203E"/>
    <w:rsid w:val="005C2356"/>
    <w:rsid w:val="005C2401"/>
    <w:rsid w:val="005C27FE"/>
    <w:rsid w:val="005C28A7"/>
    <w:rsid w:val="005C3025"/>
    <w:rsid w:val="005C312E"/>
    <w:rsid w:val="005C32CB"/>
    <w:rsid w:val="005C330E"/>
    <w:rsid w:val="005C341D"/>
    <w:rsid w:val="005C36A4"/>
    <w:rsid w:val="005C3791"/>
    <w:rsid w:val="005C404B"/>
    <w:rsid w:val="005C405E"/>
    <w:rsid w:val="005C40C4"/>
    <w:rsid w:val="005C4267"/>
    <w:rsid w:val="005C441A"/>
    <w:rsid w:val="005C45E2"/>
    <w:rsid w:val="005C4A9A"/>
    <w:rsid w:val="005C4B30"/>
    <w:rsid w:val="005C4CE5"/>
    <w:rsid w:val="005C4D20"/>
    <w:rsid w:val="005C4D9E"/>
    <w:rsid w:val="005C4E5A"/>
    <w:rsid w:val="005C4EF3"/>
    <w:rsid w:val="005C5271"/>
    <w:rsid w:val="005C52E5"/>
    <w:rsid w:val="005C5C4B"/>
    <w:rsid w:val="005C5CB7"/>
    <w:rsid w:val="005C5FFB"/>
    <w:rsid w:val="005C62A2"/>
    <w:rsid w:val="005C64EA"/>
    <w:rsid w:val="005C691B"/>
    <w:rsid w:val="005C6BFC"/>
    <w:rsid w:val="005C6CB0"/>
    <w:rsid w:val="005C6F72"/>
    <w:rsid w:val="005C7146"/>
    <w:rsid w:val="005C7228"/>
    <w:rsid w:val="005C72D1"/>
    <w:rsid w:val="005C72F0"/>
    <w:rsid w:val="005C7370"/>
    <w:rsid w:val="005C7374"/>
    <w:rsid w:val="005C74ED"/>
    <w:rsid w:val="005C774D"/>
    <w:rsid w:val="005C77FA"/>
    <w:rsid w:val="005C78B5"/>
    <w:rsid w:val="005C7919"/>
    <w:rsid w:val="005C7EEA"/>
    <w:rsid w:val="005C7F4A"/>
    <w:rsid w:val="005C7F62"/>
    <w:rsid w:val="005D021B"/>
    <w:rsid w:val="005D0246"/>
    <w:rsid w:val="005D0289"/>
    <w:rsid w:val="005D0439"/>
    <w:rsid w:val="005D0650"/>
    <w:rsid w:val="005D0668"/>
    <w:rsid w:val="005D06A2"/>
    <w:rsid w:val="005D0923"/>
    <w:rsid w:val="005D0988"/>
    <w:rsid w:val="005D0BD8"/>
    <w:rsid w:val="005D0D61"/>
    <w:rsid w:val="005D0E53"/>
    <w:rsid w:val="005D1061"/>
    <w:rsid w:val="005D1280"/>
    <w:rsid w:val="005D1356"/>
    <w:rsid w:val="005D13D3"/>
    <w:rsid w:val="005D16E7"/>
    <w:rsid w:val="005D1832"/>
    <w:rsid w:val="005D195B"/>
    <w:rsid w:val="005D1B02"/>
    <w:rsid w:val="005D1B52"/>
    <w:rsid w:val="005D1DB9"/>
    <w:rsid w:val="005D1F06"/>
    <w:rsid w:val="005D2005"/>
    <w:rsid w:val="005D2225"/>
    <w:rsid w:val="005D226E"/>
    <w:rsid w:val="005D2275"/>
    <w:rsid w:val="005D22FF"/>
    <w:rsid w:val="005D25BF"/>
    <w:rsid w:val="005D2841"/>
    <w:rsid w:val="005D2865"/>
    <w:rsid w:val="005D28BF"/>
    <w:rsid w:val="005D293D"/>
    <w:rsid w:val="005D2940"/>
    <w:rsid w:val="005D2955"/>
    <w:rsid w:val="005D29F6"/>
    <w:rsid w:val="005D2FA9"/>
    <w:rsid w:val="005D3020"/>
    <w:rsid w:val="005D36F6"/>
    <w:rsid w:val="005D3879"/>
    <w:rsid w:val="005D3913"/>
    <w:rsid w:val="005D3A54"/>
    <w:rsid w:val="005D3ABA"/>
    <w:rsid w:val="005D3CB9"/>
    <w:rsid w:val="005D3D32"/>
    <w:rsid w:val="005D4500"/>
    <w:rsid w:val="005D46C8"/>
    <w:rsid w:val="005D48C5"/>
    <w:rsid w:val="005D48F5"/>
    <w:rsid w:val="005D4A0F"/>
    <w:rsid w:val="005D4A21"/>
    <w:rsid w:val="005D4AA3"/>
    <w:rsid w:val="005D4AB8"/>
    <w:rsid w:val="005D4C85"/>
    <w:rsid w:val="005D54A3"/>
    <w:rsid w:val="005D5620"/>
    <w:rsid w:val="005D5722"/>
    <w:rsid w:val="005D5873"/>
    <w:rsid w:val="005D5AF7"/>
    <w:rsid w:val="005D5BF2"/>
    <w:rsid w:val="005D5CEB"/>
    <w:rsid w:val="005D5D50"/>
    <w:rsid w:val="005D5DD7"/>
    <w:rsid w:val="005D5E67"/>
    <w:rsid w:val="005D5F80"/>
    <w:rsid w:val="005D5FA6"/>
    <w:rsid w:val="005D609D"/>
    <w:rsid w:val="005D62E9"/>
    <w:rsid w:val="005D6541"/>
    <w:rsid w:val="005D668E"/>
    <w:rsid w:val="005D67EE"/>
    <w:rsid w:val="005D682B"/>
    <w:rsid w:val="005D6F0C"/>
    <w:rsid w:val="005D6FE4"/>
    <w:rsid w:val="005D708C"/>
    <w:rsid w:val="005D712A"/>
    <w:rsid w:val="005D7135"/>
    <w:rsid w:val="005D7442"/>
    <w:rsid w:val="005D744E"/>
    <w:rsid w:val="005D75D0"/>
    <w:rsid w:val="005D7667"/>
    <w:rsid w:val="005D78A3"/>
    <w:rsid w:val="005D7CFE"/>
    <w:rsid w:val="005D7DE2"/>
    <w:rsid w:val="005D7F13"/>
    <w:rsid w:val="005E0043"/>
    <w:rsid w:val="005E00D3"/>
    <w:rsid w:val="005E011D"/>
    <w:rsid w:val="005E0403"/>
    <w:rsid w:val="005E0659"/>
    <w:rsid w:val="005E09FA"/>
    <w:rsid w:val="005E0A75"/>
    <w:rsid w:val="005E0AFB"/>
    <w:rsid w:val="005E0B56"/>
    <w:rsid w:val="005E0BAD"/>
    <w:rsid w:val="005E0C1B"/>
    <w:rsid w:val="005E0C1C"/>
    <w:rsid w:val="005E0D53"/>
    <w:rsid w:val="005E0EE9"/>
    <w:rsid w:val="005E1021"/>
    <w:rsid w:val="005E10F7"/>
    <w:rsid w:val="005E11CA"/>
    <w:rsid w:val="005E132F"/>
    <w:rsid w:val="005E164A"/>
    <w:rsid w:val="005E1813"/>
    <w:rsid w:val="005E1981"/>
    <w:rsid w:val="005E1C98"/>
    <w:rsid w:val="005E1E42"/>
    <w:rsid w:val="005E241D"/>
    <w:rsid w:val="005E27F2"/>
    <w:rsid w:val="005E27F7"/>
    <w:rsid w:val="005E2861"/>
    <w:rsid w:val="005E29AF"/>
    <w:rsid w:val="005E2D20"/>
    <w:rsid w:val="005E2E5E"/>
    <w:rsid w:val="005E319F"/>
    <w:rsid w:val="005E328F"/>
    <w:rsid w:val="005E32D9"/>
    <w:rsid w:val="005E34D9"/>
    <w:rsid w:val="005E37F4"/>
    <w:rsid w:val="005E3D52"/>
    <w:rsid w:val="005E3D66"/>
    <w:rsid w:val="005E3D7A"/>
    <w:rsid w:val="005E40FE"/>
    <w:rsid w:val="005E4156"/>
    <w:rsid w:val="005E431E"/>
    <w:rsid w:val="005E4392"/>
    <w:rsid w:val="005E459B"/>
    <w:rsid w:val="005E4613"/>
    <w:rsid w:val="005E46C3"/>
    <w:rsid w:val="005E489C"/>
    <w:rsid w:val="005E497E"/>
    <w:rsid w:val="005E49AD"/>
    <w:rsid w:val="005E4A9E"/>
    <w:rsid w:val="005E4B5F"/>
    <w:rsid w:val="005E4B9A"/>
    <w:rsid w:val="005E4C2B"/>
    <w:rsid w:val="005E4EE0"/>
    <w:rsid w:val="005E4FDD"/>
    <w:rsid w:val="005E51CF"/>
    <w:rsid w:val="005E549E"/>
    <w:rsid w:val="005E5502"/>
    <w:rsid w:val="005E595E"/>
    <w:rsid w:val="005E5BFD"/>
    <w:rsid w:val="005E5C59"/>
    <w:rsid w:val="005E5D15"/>
    <w:rsid w:val="005E5D3B"/>
    <w:rsid w:val="005E5D4B"/>
    <w:rsid w:val="005E5DC5"/>
    <w:rsid w:val="005E5F53"/>
    <w:rsid w:val="005E6086"/>
    <w:rsid w:val="005E6301"/>
    <w:rsid w:val="005E64C6"/>
    <w:rsid w:val="005E674A"/>
    <w:rsid w:val="005E68D2"/>
    <w:rsid w:val="005E68FC"/>
    <w:rsid w:val="005E6AB8"/>
    <w:rsid w:val="005E6C23"/>
    <w:rsid w:val="005E6EA5"/>
    <w:rsid w:val="005E6F32"/>
    <w:rsid w:val="005E70D0"/>
    <w:rsid w:val="005E7205"/>
    <w:rsid w:val="005E7289"/>
    <w:rsid w:val="005E767B"/>
    <w:rsid w:val="005E774E"/>
    <w:rsid w:val="005E78A7"/>
    <w:rsid w:val="005E79AE"/>
    <w:rsid w:val="005E7BB7"/>
    <w:rsid w:val="005E7D4E"/>
    <w:rsid w:val="005E7FC5"/>
    <w:rsid w:val="005F0057"/>
    <w:rsid w:val="005F00DA"/>
    <w:rsid w:val="005F0140"/>
    <w:rsid w:val="005F015D"/>
    <w:rsid w:val="005F0176"/>
    <w:rsid w:val="005F0185"/>
    <w:rsid w:val="005F01F8"/>
    <w:rsid w:val="005F0343"/>
    <w:rsid w:val="005F0375"/>
    <w:rsid w:val="005F046E"/>
    <w:rsid w:val="005F053F"/>
    <w:rsid w:val="005F055A"/>
    <w:rsid w:val="005F0650"/>
    <w:rsid w:val="005F0774"/>
    <w:rsid w:val="005F081E"/>
    <w:rsid w:val="005F09E6"/>
    <w:rsid w:val="005F0B4A"/>
    <w:rsid w:val="005F0BE9"/>
    <w:rsid w:val="005F0C17"/>
    <w:rsid w:val="005F0C9C"/>
    <w:rsid w:val="005F154E"/>
    <w:rsid w:val="005F1577"/>
    <w:rsid w:val="005F16D2"/>
    <w:rsid w:val="005F16F4"/>
    <w:rsid w:val="005F178A"/>
    <w:rsid w:val="005F17EB"/>
    <w:rsid w:val="005F181D"/>
    <w:rsid w:val="005F1A06"/>
    <w:rsid w:val="005F1C33"/>
    <w:rsid w:val="005F1EE6"/>
    <w:rsid w:val="005F1F17"/>
    <w:rsid w:val="005F204E"/>
    <w:rsid w:val="005F2525"/>
    <w:rsid w:val="005F252B"/>
    <w:rsid w:val="005F2540"/>
    <w:rsid w:val="005F25EF"/>
    <w:rsid w:val="005F2640"/>
    <w:rsid w:val="005F2674"/>
    <w:rsid w:val="005F2733"/>
    <w:rsid w:val="005F277A"/>
    <w:rsid w:val="005F2803"/>
    <w:rsid w:val="005F28D9"/>
    <w:rsid w:val="005F2913"/>
    <w:rsid w:val="005F297F"/>
    <w:rsid w:val="005F299E"/>
    <w:rsid w:val="005F2B08"/>
    <w:rsid w:val="005F2CA2"/>
    <w:rsid w:val="005F2CAA"/>
    <w:rsid w:val="005F2E14"/>
    <w:rsid w:val="005F2F70"/>
    <w:rsid w:val="005F3030"/>
    <w:rsid w:val="005F305A"/>
    <w:rsid w:val="005F3355"/>
    <w:rsid w:val="005F3443"/>
    <w:rsid w:val="005F35DF"/>
    <w:rsid w:val="005F36E4"/>
    <w:rsid w:val="005F373A"/>
    <w:rsid w:val="005F376E"/>
    <w:rsid w:val="005F3A4B"/>
    <w:rsid w:val="005F3D09"/>
    <w:rsid w:val="005F3D0E"/>
    <w:rsid w:val="005F4078"/>
    <w:rsid w:val="005F4229"/>
    <w:rsid w:val="005F422D"/>
    <w:rsid w:val="005F4249"/>
    <w:rsid w:val="005F45FF"/>
    <w:rsid w:val="005F4638"/>
    <w:rsid w:val="005F46EB"/>
    <w:rsid w:val="005F47C4"/>
    <w:rsid w:val="005F493A"/>
    <w:rsid w:val="005F4AE9"/>
    <w:rsid w:val="005F4DD9"/>
    <w:rsid w:val="005F50B6"/>
    <w:rsid w:val="005F5165"/>
    <w:rsid w:val="005F520F"/>
    <w:rsid w:val="005F5253"/>
    <w:rsid w:val="005F535A"/>
    <w:rsid w:val="005F53FB"/>
    <w:rsid w:val="005F548D"/>
    <w:rsid w:val="005F54BE"/>
    <w:rsid w:val="005F550F"/>
    <w:rsid w:val="005F56BF"/>
    <w:rsid w:val="005F5909"/>
    <w:rsid w:val="005F5AD7"/>
    <w:rsid w:val="005F5C5F"/>
    <w:rsid w:val="005F5D06"/>
    <w:rsid w:val="005F5E7F"/>
    <w:rsid w:val="005F5F4B"/>
    <w:rsid w:val="005F5FD7"/>
    <w:rsid w:val="005F61AC"/>
    <w:rsid w:val="005F6261"/>
    <w:rsid w:val="005F645A"/>
    <w:rsid w:val="005F64FF"/>
    <w:rsid w:val="005F65D6"/>
    <w:rsid w:val="005F6664"/>
    <w:rsid w:val="005F6800"/>
    <w:rsid w:val="005F6802"/>
    <w:rsid w:val="005F685E"/>
    <w:rsid w:val="005F68E0"/>
    <w:rsid w:val="005F697D"/>
    <w:rsid w:val="005F6E9B"/>
    <w:rsid w:val="005F6EE7"/>
    <w:rsid w:val="005F71A7"/>
    <w:rsid w:val="005F7385"/>
    <w:rsid w:val="005F7397"/>
    <w:rsid w:val="005F73E7"/>
    <w:rsid w:val="005F7421"/>
    <w:rsid w:val="005F75E7"/>
    <w:rsid w:val="005F7614"/>
    <w:rsid w:val="005F7643"/>
    <w:rsid w:val="005F76DF"/>
    <w:rsid w:val="005F7702"/>
    <w:rsid w:val="005F773A"/>
    <w:rsid w:val="005F7CE2"/>
    <w:rsid w:val="005F7EB1"/>
    <w:rsid w:val="005F7EF5"/>
    <w:rsid w:val="005F7FF4"/>
    <w:rsid w:val="006000C2"/>
    <w:rsid w:val="006001D2"/>
    <w:rsid w:val="00600255"/>
    <w:rsid w:val="006002E1"/>
    <w:rsid w:val="00600459"/>
    <w:rsid w:val="006005C2"/>
    <w:rsid w:val="006006B1"/>
    <w:rsid w:val="0060079F"/>
    <w:rsid w:val="00600B0F"/>
    <w:rsid w:val="00600C30"/>
    <w:rsid w:val="00600C60"/>
    <w:rsid w:val="00600F12"/>
    <w:rsid w:val="00600FA2"/>
    <w:rsid w:val="00600FB7"/>
    <w:rsid w:val="00601151"/>
    <w:rsid w:val="0060119E"/>
    <w:rsid w:val="0060124D"/>
    <w:rsid w:val="006014C4"/>
    <w:rsid w:val="006017C1"/>
    <w:rsid w:val="006018A7"/>
    <w:rsid w:val="00601990"/>
    <w:rsid w:val="00601A8F"/>
    <w:rsid w:val="00601AA1"/>
    <w:rsid w:val="00601AB4"/>
    <w:rsid w:val="00601B99"/>
    <w:rsid w:val="00601E74"/>
    <w:rsid w:val="00601F2F"/>
    <w:rsid w:val="00601FD9"/>
    <w:rsid w:val="00601FF1"/>
    <w:rsid w:val="00602091"/>
    <w:rsid w:val="0060253B"/>
    <w:rsid w:val="0060264B"/>
    <w:rsid w:val="006028BA"/>
    <w:rsid w:val="00602A26"/>
    <w:rsid w:val="00602A99"/>
    <w:rsid w:val="00602AD4"/>
    <w:rsid w:val="00602C6A"/>
    <w:rsid w:val="00602FAC"/>
    <w:rsid w:val="00603049"/>
    <w:rsid w:val="006030A0"/>
    <w:rsid w:val="0060316F"/>
    <w:rsid w:val="00603230"/>
    <w:rsid w:val="006033E9"/>
    <w:rsid w:val="006034B0"/>
    <w:rsid w:val="006034B6"/>
    <w:rsid w:val="0060356E"/>
    <w:rsid w:val="006035B1"/>
    <w:rsid w:val="006035EE"/>
    <w:rsid w:val="0060389D"/>
    <w:rsid w:val="00603A98"/>
    <w:rsid w:val="00603C42"/>
    <w:rsid w:val="00603DBB"/>
    <w:rsid w:val="0060433E"/>
    <w:rsid w:val="006043A3"/>
    <w:rsid w:val="00604541"/>
    <w:rsid w:val="006045B5"/>
    <w:rsid w:val="0060461B"/>
    <w:rsid w:val="006046DB"/>
    <w:rsid w:val="00604794"/>
    <w:rsid w:val="006048C0"/>
    <w:rsid w:val="0060491F"/>
    <w:rsid w:val="00604B0C"/>
    <w:rsid w:val="00604B0D"/>
    <w:rsid w:val="006054AC"/>
    <w:rsid w:val="006055FF"/>
    <w:rsid w:val="006056A0"/>
    <w:rsid w:val="006057B4"/>
    <w:rsid w:val="006059A4"/>
    <w:rsid w:val="00605AA7"/>
    <w:rsid w:val="00605C3F"/>
    <w:rsid w:val="00605CF3"/>
    <w:rsid w:val="0060633A"/>
    <w:rsid w:val="006063AA"/>
    <w:rsid w:val="0060654A"/>
    <w:rsid w:val="0060657E"/>
    <w:rsid w:val="006066F2"/>
    <w:rsid w:val="00606732"/>
    <w:rsid w:val="00606993"/>
    <w:rsid w:val="00606A06"/>
    <w:rsid w:val="00606A0D"/>
    <w:rsid w:val="00606A6C"/>
    <w:rsid w:val="00606E1B"/>
    <w:rsid w:val="00607033"/>
    <w:rsid w:val="0060713E"/>
    <w:rsid w:val="006073EA"/>
    <w:rsid w:val="0060750D"/>
    <w:rsid w:val="00607597"/>
    <w:rsid w:val="00607714"/>
    <w:rsid w:val="006077BD"/>
    <w:rsid w:val="00607BA8"/>
    <w:rsid w:val="00607BF7"/>
    <w:rsid w:val="00607E98"/>
    <w:rsid w:val="00607FA2"/>
    <w:rsid w:val="006103E5"/>
    <w:rsid w:val="00610449"/>
    <w:rsid w:val="006104C0"/>
    <w:rsid w:val="006106E3"/>
    <w:rsid w:val="0061070D"/>
    <w:rsid w:val="00610B08"/>
    <w:rsid w:val="00610BEC"/>
    <w:rsid w:val="00610CDB"/>
    <w:rsid w:val="00610F07"/>
    <w:rsid w:val="00610F4D"/>
    <w:rsid w:val="00610FF5"/>
    <w:rsid w:val="0061113A"/>
    <w:rsid w:val="00611245"/>
    <w:rsid w:val="0061129E"/>
    <w:rsid w:val="006112BD"/>
    <w:rsid w:val="006112E9"/>
    <w:rsid w:val="0061133B"/>
    <w:rsid w:val="00611467"/>
    <w:rsid w:val="006114AD"/>
    <w:rsid w:val="006114F0"/>
    <w:rsid w:val="0061183E"/>
    <w:rsid w:val="00611884"/>
    <w:rsid w:val="00611926"/>
    <w:rsid w:val="006119C1"/>
    <w:rsid w:val="006119FB"/>
    <w:rsid w:val="006119FD"/>
    <w:rsid w:val="00611AFA"/>
    <w:rsid w:val="00611BD3"/>
    <w:rsid w:val="00611D5F"/>
    <w:rsid w:val="00611DCE"/>
    <w:rsid w:val="00611DCF"/>
    <w:rsid w:val="006120F7"/>
    <w:rsid w:val="00612472"/>
    <w:rsid w:val="006125EF"/>
    <w:rsid w:val="0061279A"/>
    <w:rsid w:val="00612BC4"/>
    <w:rsid w:val="00612C03"/>
    <w:rsid w:val="00612F27"/>
    <w:rsid w:val="00612F52"/>
    <w:rsid w:val="0061301F"/>
    <w:rsid w:val="00613046"/>
    <w:rsid w:val="00613125"/>
    <w:rsid w:val="006133B0"/>
    <w:rsid w:val="00613477"/>
    <w:rsid w:val="00613482"/>
    <w:rsid w:val="006138AB"/>
    <w:rsid w:val="00613B94"/>
    <w:rsid w:val="00613C1B"/>
    <w:rsid w:val="00613D2F"/>
    <w:rsid w:val="00613E85"/>
    <w:rsid w:val="0061400F"/>
    <w:rsid w:val="00614058"/>
    <w:rsid w:val="006140AF"/>
    <w:rsid w:val="0061410D"/>
    <w:rsid w:val="0061418A"/>
    <w:rsid w:val="006141C7"/>
    <w:rsid w:val="00614357"/>
    <w:rsid w:val="006143C4"/>
    <w:rsid w:val="006144ED"/>
    <w:rsid w:val="0061456E"/>
    <w:rsid w:val="0061473F"/>
    <w:rsid w:val="006147DD"/>
    <w:rsid w:val="00614BF2"/>
    <w:rsid w:val="00614C56"/>
    <w:rsid w:val="00614C90"/>
    <w:rsid w:val="00614E15"/>
    <w:rsid w:val="006151C9"/>
    <w:rsid w:val="006151D7"/>
    <w:rsid w:val="0061529B"/>
    <w:rsid w:val="0061532B"/>
    <w:rsid w:val="00615344"/>
    <w:rsid w:val="006154F6"/>
    <w:rsid w:val="006155ED"/>
    <w:rsid w:val="006155FA"/>
    <w:rsid w:val="006157DF"/>
    <w:rsid w:val="00615829"/>
    <w:rsid w:val="0061586B"/>
    <w:rsid w:val="006158FB"/>
    <w:rsid w:val="0061591A"/>
    <w:rsid w:val="006159A3"/>
    <w:rsid w:val="00615A87"/>
    <w:rsid w:val="00615BCB"/>
    <w:rsid w:val="00615E50"/>
    <w:rsid w:val="00615F17"/>
    <w:rsid w:val="0061604C"/>
    <w:rsid w:val="0061612B"/>
    <w:rsid w:val="00616135"/>
    <w:rsid w:val="0061637F"/>
    <w:rsid w:val="00616415"/>
    <w:rsid w:val="006164C8"/>
    <w:rsid w:val="00616834"/>
    <w:rsid w:val="00616B02"/>
    <w:rsid w:val="00616D8C"/>
    <w:rsid w:val="00617011"/>
    <w:rsid w:val="006170B9"/>
    <w:rsid w:val="00617172"/>
    <w:rsid w:val="006171FD"/>
    <w:rsid w:val="0061723A"/>
    <w:rsid w:val="0061740A"/>
    <w:rsid w:val="006175A7"/>
    <w:rsid w:val="00617650"/>
    <w:rsid w:val="00617844"/>
    <w:rsid w:val="006179AF"/>
    <w:rsid w:val="006179C5"/>
    <w:rsid w:val="00617AC3"/>
    <w:rsid w:val="00617CAE"/>
    <w:rsid w:val="00617DC3"/>
    <w:rsid w:val="00617E18"/>
    <w:rsid w:val="00620076"/>
    <w:rsid w:val="00620087"/>
    <w:rsid w:val="006200EC"/>
    <w:rsid w:val="00620207"/>
    <w:rsid w:val="006204FD"/>
    <w:rsid w:val="006205C2"/>
    <w:rsid w:val="00620751"/>
    <w:rsid w:val="00620984"/>
    <w:rsid w:val="00620AFA"/>
    <w:rsid w:val="00620CB8"/>
    <w:rsid w:val="00620D43"/>
    <w:rsid w:val="00620DE5"/>
    <w:rsid w:val="00621265"/>
    <w:rsid w:val="006213E1"/>
    <w:rsid w:val="006215B1"/>
    <w:rsid w:val="006217E9"/>
    <w:rsid w:val="00621877"/>
    <w:rsid w:val="00621BBC"/>
    <w:rsid w:val="00621DC9"/>
    <w:rsid w:val="00621F35"/>
    <w:rsid w:val="00621F6D"/>
    <w:rsid w:val="00622159"/>
    <w:rsid w:val="0062215D"/>
    <w:rsid w:val="006223BF"/>
    <w:rsid w:val="0062241E"/>
    <w:rsid w:val="006224A7"/>
    <w:rsid w:val="00622831"/>
    <w:rsid w:val="00622865"/>
    <w:rsid w:val="00622A08"/>
    <w:rsid w:val="00622C81"/>
    <w:rsid w:val="00622D7B"/>
    <w:rsid w:val="00622D8E"/>
    <w:rsid w:val="00622E01"/>
    <w:rsid w:val="00622FF9"/>
    <w:rsid w:val="00623136"/>
    <w:rsid w:val="0062313F"/>
    <w:rsid w:val="0062384D"/>
    <w:rsid w:val="00623867"/>
    <w:rsid w:val="00623D67"/>
    <w:rsid w:val="00623E56"/>
    <w:rsid w:val="006240D9"/>
    <w:rsid w:val="00624100"/>
    <w:rsid w:val="006241BD"/>
    <w:rsid w:val="00624239"/>
    <w:rsid w:val="0062425E"/>
    <w:rsid w:val="006242BE"/>
    <w:rsid w:val="006242D1"/>
    <w:rsid w:val="00624378"/>
    <w:rsid w:val="006243AF"/>
    <w:rsid w:val="006246D8"/>
    <w:rsid w:val="006248E0"/>
    <w:rsid w:val="00624B5C"/>
    <w:rsid w:val="00624EAF"/>
    <w:rsid w:val="00624EF6"/>
    <w:rsid w:val="0062502E"/>
    <w:rsid w:val="00625032"/>
    <w:rsid w:val="00625208"/>
    <w:rsid w:val="00625296"/>
    <w:rsid w:val="0062537B"/>
    <w:rsid w:val="00625391"/>
    <w:rsid w:val="006253D7"/>
    <w:rsid w:val="00625814"/>
    <w:rsid w:val="0062596A"/>
    <w:rsid w:val="0062598C"/>
    <w:rsid w:val="00625BD4"/>
    <w:rsid w:val="00625C6B"/>
    <w:rsid w:val="00625E31"/>
    <w:rsid w:val="00625FA0"/>
    <w:rsid w:val="00626004"/>
    <w:rsid w:val="006260E8"/>
    <w:rsid w:val="00626166"/>
    <w:rsid w:val="0062642E"/>
    <w:rsid w:val="006264EC"/>
    <w:rsid w:val="006265B3"/>
    <w:rsid w:val="006265EB"/>
    <w:rsid w:val="00626718"/>
    <w:rsid w:val="00626A61"/>
    <w:rsid w:val="00626C12"/>
    <w:rsid w:val="00626CBF"/>
    <w:rsid w:val="00626D2F"/>
    <w:rsid w:val="00626F25"/>
    <w:rsid w:val="00626F9F"/>
    <w:rsid w:val="00627252"/>
    <w:rsid w:val="00627315"/>
    <w:rsid w:val="006273E5"/>
    <w:rsid w:val="0062754D"/>
    <w:rsid w:val="0062766C"/>
    <w:rsid w:val="006277D1"/>
    <w:rsid w:val="0062787E"/>
    <w:rsid w:val="006278B8"/>
    <w:rsid w:val="006278C2"/>
    <w:rsid w:val="00627997"/>
    <w:rsid w:val="00627C71"/>
    <w:rsid w:val="00630068"/>
    <w:rsid w:val="00630478"/>
    <w:rsid w:val="00630793"/>
    <w:rsid w:val="006308AD"/>
    <w:rsid w:val="00630AB3"/>
    <w:rsid w:val="00630AF7"/>
    <w:rsid w:val="00630D01"/>
    <w:rsid w:val="00630E01"/>
    <w:rsid w:val="0063117C"/>
    <w:rsid w:val="00631438"/>
    <w:rsid w:val="006314EE"/>
    <w:rsid w:val="006315F0"/>
    <w:rsid w:val="006318AC"/>
    <w:rsid w:val="00631B87"/>
    <w:rsid w:val="00631C0E"/>
    <w:rsid w:val="00631CF7"/>
    <w:rsid w:val="00631D6B"/>
    <w:rsid w:val="00631F9C"/>
    <w:rsid w:val="00632103"/>
    <w:rsid w:val="0063216C"/>
    <w:rsid w:val="006322F5"/>
    <w:rsid w:val="00632346"/>
    <w:rsid w:val="00632454"/>
    <w:rsid w:val="00632792"/>
    <w:rsid w:val="006327F6"/>
    <w:rsid w:val="0063289D"/>
    <w:rsid w:val="00632990"/>
    <w:rsid w:val="00632B47"/>
    <w:rsid w:val="00632BBB"/>
    <w:rsid w:val="00632D05"/>
    <w:rsid w:val="00632E40"/>
    <w:rsid w:val="00632E52"/>
    <w:rsid w:val="0063306F"/>
    <w:rsid w:val="006330A9"/>
    <w:rsid w:val="0063322B"/>
    <w:rsid w:val="006332A3"/>
    <w:rsid w:val="00633669"/>
    <w:rsid w:val="0063380F"/>
    <w:rsid w:val="00633A3E"/>
    <w:rsid w:val="00633AA4"/>
    <w:rsid w:val="00633B68"/>
    <w:rsid w:val="00633D69"/>
    <w:rsid w:val="00633E37"/>
    <w:rsid w:val="00633F60"/>
    <w:rsid w:val="00633FB1"/>
    <w:rsid w:val="006340D4"/>
    <w:rsid w:val="00634206"/>
    <w:rsid w:val="0063428F"/>
    <w:rsid w:val="0063436B"/>
    <w:rsid w:val="006344B3"/>
    <w:rsid w:val="0063466D"/>
    <w:rsid w:val="006346FD"/>
    <w:rsid w:val="00634813"/>
    <w:rsid w:val="006348D7"/>
    <w:rsid w:val="006348E6"/>
    <w:rsid w:val="0063491C"/>
    <w:rsid w:val="00634ACE"/>
    <w:rsid w:val="00634B0A"/>
    <w:rsid w:val="00634B3F"/>
    <w:rsid w:val="00634E78"/>
    <w:rsid w:val="006350F2"/>
    <w:rsid w:val="0063529D"/>
    <w:rsid w:val="00635582"/>
    <w:rsid w:val="006355A7"/>
    <w:rsid w:val="006355DE"/>
    <w:rsid w:val="00635646"/>
    <w:rsid w:val="00635754"/>
    <w:rsid w:val="0063581D"/>
    <w:rsid w:val="006358C3"/>
    <w:rsid w:val="00635937"/>
    <w:rsid w:val="006359AA"/>
    <w:rsid w:val="00635AE9"/>
    <w:rsid w:val="00635B6B"/>
    <w:rsid w:val="00635B97"/>
    <w:rsid w:val="00635BA3"/>
    <w:rsid w:val="00635D37"/>
    <w:rsid w:val="00635E95"/>
    <w:rsid w:val="0063609F"/>
    <w:rsid w:val="006362DD"/>
    <w:rsid w:val="0063666B"/>
    <w:rsid w:val="006366A4"/>
    <w:rsid w:val="00636925"/>
    <w:rsid w:val="006369CB"/>
    <w:rsid w:val="00636A02"/>
    <w:rsid w:val="00636AF9"/>
    <w:rsid w:val="00636D98"/>
    <w:rsid w:val="006370E8"/>
    <w:rsid w:val="006370F2"/>
    <w:rsid w:val="0063717A"/>
    <w:rsid w:val="00637185"/>
    <w:rsid w:val="006371D9"/>
    <w:rsid w:val="006375CD"/>
    <w:rsid w:val="0063763C"/>
    <w:rsid w:val="00637A44"/>
    <w:rsid w:val="00637EEA"/>
    <w:rsid w:val="00640070"/>
    <w:rsid w:val="006402C4"/>
    <w:rsid w:val="006402EC"/>
    <w:rsid w:val="00640314"/>
    <w:rsid w:val="0064057E"/>
    <w:rsid w:val="00640614"/>
    <w:rsid w:val="00640671"/>
    <w:rsid w:val="006407DB"/>
    <w:rsid w:val="0064085A"/>
    <w:rsid w:val="00640A2F"/>
    <w:rsid w:val="00640AB6"/>
    <w:rsid w:val="00640C01"/>
    <w:rsid w:val="00640D85"/>
    <w:rsid w:val="006410CC"/>
    <w:rsid w:val="006410ED"/>
    <w:rsid w:val="00641136"/>
    <w:rsid w:val="006411BC"/>
    <w:rsid w:val="00641361"/>
    <w:rsid w:val="00641607"/>
    <w:rsid w:val="00641930"/>
    <w:rsid w:val="00641A13"/>
    <w:rsid w:val="00641B84"/>
    <w:rsid w:val="00641BF8"/>
    <w:rsid w:val="00641C18"/>
    <w:rsid w:val="00641D0F"/>
    <w:rsid w:val="00641D70"/>
    <w:rsid w:val="00641E66"/>
    <w:rsid w:val="00641FD3"/>
    <w:rsid w:val="006421A6"/>
    <w:rsid w:val="00642446"/>
    <w:rsid w:val="00642459"/>
    <w:rsid w:val="00642473"/>
    <w:rsid w:val="006424B3"/>
    <w:rsid w:val="00642501"/>
    <w:rsid w:val="006425AE"/>
    <w:rsid w:val="006425F1"/>
    <w:rsid w:val="00642706"/>
    <w:rsid w:val="0064280D"/>
    <w:rsid w:val="00642881"/>
    <w:rsid w:val="006429B3"/>
    <w:rsid w:val="00642A0F"/>
    <w:rsid w:val="00642CEE"/>
    <w:rsid w:val="00642F66"/>
    <w:rsid w:val="00643089"/>
    <w:rsid w:val="00643550"/>
    <w:rsid w:val="006435B3"/>
    <w:rsid w:val="00643636"/>
    <w:rsid w:val="006438AC"/>
    <w:rsid w:val="00643E02"/>
    <w:rsid w:val="00643F47"/>
    <w:rsid w:val="00644085"/>
    <w:rsid w:val="006443D4"/>
    <w:rsid w:val="006444BD"/>
    <w:rsid w:val="006445A5"/>
    <w:rsid w:val="006446C3"/>
    <w:rsid w:val="0064475E"/>
    <w:rsid w:val="0064485E"/>
    <w:rsid w:val="00644984"/>
    <w:rsid w:val="00644FEA"/>
    <w:rsid w:val="00645154"/>
    <w:rsid w:val="006451C7"/>
    <w:rsid w:val="00645207"/>
    <w:rsid w:val="0064522A"/>
    <w:rsid w:val="0064529D"/>
    <w:rsid w:val="006452ED"/>
    <w:rsid w:val="006453F8"/>
    <w:rsid w:val="0064557C"/>
    <w:rsid w:val="00645587"/>
    <w:rsid w:val="00645633"/>
    <w:rsid w:val="00645685"/>
    <w:rsid w:val="00645743"/>
    <w:rsid w:val="006457AC"/>
    <w:rsid w:val="00645A1B"/>
    <w:rsid w:val="00645BD2"/>
    <w:rsid w:val="00645D0C"/>
    <w:rsid w:val="00645DA5"/>
    <w:rsid w:val="00645E40"/>
    <w:rsid w:val="00645F80"/>
    <w:rsid w:val="006463E0"/>
    <w:rsid w:val="00646765"/>
    <w:rsid w:val="00646769"/>
    <w:rsid w:val="00646BD5"/>
    <w:rsid w:val="00646C73"/>
    <w:rsid w:val="00647024"/>
    <w:rsid w:val="00647117"/>
    <w:rsid w:val="006475B0"/>
    <w:rsid w:val="006475BB"/>
    <w:rsid w:val="006475DD"/>
    <w:rsid w:val="006476C3"/>
    <w:rsid w:val="00647704"/>
    <w:rsid w:val="0064778E"/>
    <w:rsid w:val="00647A08"/>
    <w:rsid w:val="00647B4B"/>
    <w:rsid w:val="00647E62"/>
    <w:rsid w:val="006501E6"/>
    <w:rsid w:val="0065024F"/>
    <w:rsid w:val="006502F5"/>
    <w:rsid w:val="0065032E"/>
    <w:rsid w:val="0065035D"/>
    <w:rsid w:val="00650486"/>
    <w:rsid w:val="0065073F"/>
    <w:rsid w:val="00650966"/>
    <w:rsid w:val="00650A13"/>
    <w:rsid w:val="00650A24"/>
    <w:rsid w:val="00650AAF"/>
    <w:rsid w:val="00650C4B"/>
    <w:rsid w:val="00650E9E"/>
    <w:rsid w:val="00650F2E"/>
    <w:rsid w:val="00651139"/>
    <w:rsid w:val="006516FB"/>
    <w:rsid w:val="00651760"/>
    <w:rsid w:val="00651914"/>
    <w:rsid w:val="00651AD6"/>
    <w:rsid w:val="0065201E"/>
    <w:rsid w:val="0065204C"/>
    <w:rsid w:val="00652092"/>
    <w:rsid w:val="006520D1"/>
    <w:rsid w:val="006526DE"/>
    <w:rsid w:val="006527B4"/>
    <w:rsid w:val="0065282E"/>
    <w:rsid w:val="00652A85"/>
    <w:rsid w:val="00652A8D"/>
    <w:rsid w:val="00652B6A"/>
    <w:rsid w:val="00652EC5"/>
    <w:rsid w:val="00652F57"/>
    <w:rsid w:val="00652F92"/>
    <w:rsid w:val="00653315"/>
    <w:rsid w:val="0065336D"/>
    <w:rsid w:val="0065347A"/>
    <w:rsid w:val="006535A5"/>
    <w:rsid w:val="006537F2"/>
    <w:rsid w:val="0065395B"/>
    <w:rsid w:val="00653D60"/>
    <w:rsid w:val="00654418"/>
    <w:rsid w:val="00654450"/>
    <w:rsid w:val="00654455"/>
    <w:rsid w:val="0065447E"/>
    <w:rsid w:val="006544CC"/>
    <w:rsid w:val="0065451A"/>
    <w:rsid w:val="006545D9"/>
    <w:rsid w:val="00654775"/>
    <w:rsid w:val="00654806"/>
    <w:rsid w:val="00654824"/>
    <w:rsid w:val="00654A0D"/>
    <w:rsid w:val="00654B22"/>
    <w:rsid w:val="00654C7C"/>
    <w:rsid w:val="00654C85"/>
    <w:rsid w:val="00654CFD"/>
    <w:rsid w:val="00654E6B"/>
    <w:rsid w:val="00654E92"/>
    <w:rsid w:val="00655320"/>
    <w:rsid w:val="006553E9"/>
    <w:rsid w:val="0065545D"/>
    <w:rsid w:val="006556FC"/>
    <w:rsid w:val="0065573E"/>
    <w:rsid w:val="00655811"/>
    <w:rsid w:val="00655849"/>
    <w:rsid w:val="00655AE4"/>
    <w:rsid w:val="00655DE2"/>
    <w:rsid w:val="00655F1E"/>
    <w:rsid w:val="0065600C"/>
    <w:rsid w:val="006560AB"/>
    <w:rsid w:val="00656131"/>
    <w:rsid w:val="0065616F"/>
    <w:rsid w:val="006563EE"/>
    <w:rsid w:val="00656409"/>
    <w:rsid w:val="006564E0"/>
    <w:rsid w:val="00656520"/>
    <w:rsid w:val="00656566"/>
    <w:rsid w:val="00656569"/>
    <w:rsid w:val="00656854"/>
    <w:rsid w:val="00656934"/>
    <w:rsid w:val="00656969"/>
    <w:rsid w:val="00657187"/>
    <w:rsid w:val="006574C1"/>
    <w:rsid w:val="0065751A"/>
    <w:rsid w:val="0065763B"/>
    <w:rsid w:val="006577E4"/>
    <w:rsid w:val="00657BF4"/>
    <w:rsid w:val="0066002F"/>
    <w:rsid w:val="00660354"/>
    <w:rsid w:val="00660409"/>
    <w:rsid w:val="00660495"/>
    <w:rsid w:val="00660504"/>
    <w:rsid w:val="0066050C"/>
    <w:rsid w:val="00660553"/>
    <w:rsid w:val="00660958"/>
    <w:rsid w:val="00660963"/>
    <w:rsid w:val="00660CCA"/>
    <w:rsid w:val="00660D0A"/>
    <w:rsid w:val="00660DB5"/>
    <w:rsid w:val="00660EF7"/>
    <w:rsid w:val="006610AC"/>
    <w:rsid w:val="00661136"/>
    <w:rsid w:val="006611CC"/>
    <w:rsid w:val="006617DA"/>
    <w:rsid w:val="006618B5"/>
    <w:rsid w:val="006619E3"/>
    <w:rsid w:val="00661C22"/>
    <w:rsid w:val="00661E5F"/>
    <w:rsid w:val="00661E62"/>
    <w:rsid w:val="00661E64"/>
    <w:rsid w:val="0066203D"/>
    <w:rsid w:val="006623BB"/>
    <w:rsid w:val="006626A1"/>
    <w:rsid w:val="006626B7"/>
    <w:rsid w:val="0066276E"/>
    <w:rsid w:val="00662796"/>
    <w:rsid w:val="006628A1"/>
    <w:rsid w:val="00662987"/>
    <w:rsid w:val="00662A1F"/>
    <w:rsid w:val="00662A98"/>
    <w:rsid w:val="00662B62"/>
    <w:rsid w:val="00663025"/>
    <w:rsid w:val="006631A0"/>
    <w:rsid w:val="006631B6"/>
    <w:rsid w:val="006631CC"/>
    <w:rsid w:val="006631E0"/>
    <w:rsid w:val="0066328A"/>
    <w:rsid w:val="006633EE"/>
    <w:rsid w:val="006633FD"/>
    <w:rsid w:val="00663432"/>
    <w:rsid w:val="006636E6"/>
    <w:rsid w:val="00663730"/>
    <w:rsid w:val="00664054"/>
    <w:rsid w:val="0066406A"/>
    <w:rsid w:val="006640F0"/>
    <w:rsid w:val="006640FE"/>
    <w:rsid w:val="006642FA"/>
    <w:rsid w:val="006643F6"/>
    <w:rsid w:val="006645A8"/>
    <w:rsid w:val="00664804"/>
    <w:rsid w:val="006649F7"/>
    <w:rsid w:val="00664B4E"/>
    <w:rsid w:val="00664D5E"/>
    <w:rsid w:val="006651BA"/>
    <w:rsid w:val="00665731"/>
    <w:rsid w:val="00665934"/>
    <w:rsid w:val="00665957"/>
    <w:rsid w:val="006659F6"/>
    <w:rsid w:val="00665AE9"/>
    <w:rsid w:val="00665ECB"/>
    <w:rsid w:val="00666120"/>
    <w:rsid w:val="0066630A"/>
    <w:rsid w:val="00666339"/>
    <w:rsid w:val="006668C8"/>
    <w:rsid w:val="00666999"/>
    <w:rsid w:val="00666A2F"/>
    <w:rsid w:val="00666D7B"/>
    <w:rsid w:val="00666E41"/>
    <w:rsid w:val="00667005"/>
    <w:rsid w:val="006671C7"/>
    <w:rsid w:val="00667214"/>
    <w:rsid w:val="00667217"/>
    <w:rsid w:val="00667515"/>
    <w:rsid w:val="00667728"/>
    <w:rsid w:val="006678F6"/>
    <w:rsid w:val="00667D5D"/>
    <w:rsid w:val="00667D62"/>
    <w:rsid w:val="00667E31"/>
    <w:rsid w:val="00667E57"/>
    <w:rsid w:val="00667E73"/>
    <w:rsid w:val="00667F44"/>
    <w:rsid w:val="00667F74"/>
    <w:rsid w:val="00667FC4"/>
    <w:rsid w:val="00670192"/>
    <w:rsid w:val="006701B2"/>
    <w:rsid w:val="00670227"/>
    <w:rsid w:val="006702BD"/>
    <w:rsid w:val="006704C4"/>
    <w:rsid w:val="006705FB"/>
    <w:rsid w:val="00670625"/>
    <w:rsid w:val="006706E9"/>
    <w:rsid w:val="006708AF"/>
    <w:rsid w:val="00670953"/>
    <w:rsid w:val="00670A2D"/>
    <w:rsid w:val="00670E82"/>
    <w:rsid w:val="00670EBE"/>
    <w:rsid w:val="00670ED9"/>
    <w:rsid w:val="006710CC"/>
    <w:rsid w:val="0067119F"/>
    <w:rsid w:val="006714E6"/>
    <w:rsid w:val="006716A3"/>
    <w:rsid w:val="0067171E"/>
    <w:rsid w:val="006718D5"/>
    <w:rsid w:val="0067199F"/>
    <w:rsid w:val="00671A1F"/>
    <w:rsid w:val="00671A32"/>
    <w:rsid w:val="00671AF6"/>
    <w:rsid w:val="00671B18"/>
    <w:rsid w:val="00671DFB"/>
    <w:rsid w:val="00671E81"/>
    <w:rsid w:val="00671EA6"/>
    <w:rsid w:val="006721DA"/>
    <w:rsid w:val="006722D3"/>
    <w:rsid w:val="00672434"/>
    <w:rsid w:val="00672A32"/>
    <w:rsid w:val="00672CC7"/>
    <w:rsid w:val="00672E49"/>
    <w:rsid w:val="00672F43"/>
    <w:rsid w:val="00672FC1"/>
    <w:rsid w:val="006732B8"/>
    <w:rsid w:val="00673342"/>
    <w:rsid w:val="00673631"/>
    <w:rsid w:val="00673695"/>
    <w:rsid w:val="00673753"/>
    <w:rsid w:val="00673AFC"/>
    <w:rsid w:val="00673E8D"/>
    <w:rsid w:val="00673F15"/>
    <w:rsid w:val="00673F63"/>
    <w:rsid w:val="00673F6F"/>
    <w:rsid w:val="00673F99"/>
    <w:rsid w:val="00673FC6"/>
    <w:rsid w:val="006740CE"/>
    <w:rsid w:val="006745E5"/>
    <w:rsid w:val="0067469A"/>
    <w:rsid w:val="0067486F"/>
    <w:rsid w:val="00674AF4"/>
    <w:rsid w:val="00674B04"/>
    <w:rsid w:val="00674C2E"/>
    <w:rsid w:val="00674CDD"/>
    <w:rsid w:val="00674D51"/>
    <w:rsid w:val="00674E05"/>
    <w:rsid w:val="00674E37"/>
    <w:rsid w:val="00674F5E"/>
    <w:rsid w:val="00675183"/>
    <w:rsid w:val="00675544"/>
    <w:rsid w:val="00675692"/>
    <w:rsid w:val="006756AF"/>
    <w:rsid w:val="006757CF"/>
    <w:rsid w:val="00675997"/>
    <w:rsid w:val="00675A89"/>
    <w:rsid w:val="00675B97"/>
    <w:rsid w:val="00675DAA"/>
    <w:rsid w:val="00675DBA"/>
    <w:rsid w:val="00675FCB"/>
    <w:rsid w:val="0067602C"/>
    <w:rsid w:val="006760F8"/>
    <w:rsid w:val="0067621F"/>
    <w:rsid w:val="00676251"/>
    <w:rsid w:val="00676319"/>
    <w:rsid w:val="0067631A"/>
    <w:rsid w:val="00676593"/>
    <w:rsid w:val="006765C0"/>
    <w:rsid w:val="0067684B"/>
    <w:rsid w:val="00676873"/>
    <w:rsid w:val="006768E5"/>
    <w:rsid w:val="0067698B"/>
    <w:rsid w:val="00676ABD"/>
    <w:rsid w:val="00676C2D"/>
    <w:rsid w:val="00676D42"/>
    <w:rsid w:val="00676E73"/>
    <w:rsid w:val="00676FB4"/>
    <w:rsid w:val="006774A5"/>
    <w:rsid w:val="0067773F"/>
    <w:rsid w:val="006777F7"/>
    <w:rsid w:val="00677850"/>
    <w:rsid w:val="0067787B"/>
    <w:rsid w:val="006778B1"/>
    <w:rsid w:val="00677BBF"/>
    <w:rsid w:val="00677D09"/>
    <w:rsid w:val="00677DF1"/>
    <w:rsid w:val="00680166"/>
    <w:rsid w:val="0068030A"/>
    <w:rsid w:val="006803CA"/>
    <w:rsid w:val="0068042A"/>
    <w:rsid w:val="00680480"/>
    <w:rsid w:val="0068083F"/>
    <w:rsid w:val="00680AB1"/>
    <w:rsid w:val="00680AD1"/>
    <w:rsid w:val="00680D6E"/>
    <w:rsid w:val="00680E39"/>
    <w:rsid w:val="00680F5C"/>
    <w:rsid w:val="006814BA"/>
    <w:rsid w:val="00681686"/>
    <w:rsid w:val="00681997"/>
    <w:rsid w:val="006819A9"/>
    <w:rsid w:val="00681C50"/>
    <w:rsid w:val="00681CAE"/>
    <w:rsid w:val="00681DCE"/>
    <w:rsid w:val="00681F01"/>
    <w:rsid w:val="00681F6C"/>
    <w:rsid w:val="00682061"/>
    <w:rsid w:val="00682305"/>
    <w:rsid w:val="006823F3"/>
    <w:rsid w:val="006826E9"/>
    <w:rsid w:val="006827C0"/>
    <w:rsid w:val="006828A9"/>
    <w:rsid w:val="006828B7"/>
    <w:rsid w:val="00682BE5"/>
    <w:rsid w:val="00682E0B"/>
    <w:rsid w:val="00682E48"/>
    <w:rsid w:val="00682F9D"/>
    <w:rsid w:val="0068301F"/>
    <w:rsid w:val="006831C8"/>
    <w:rsid w:val="006832AF"/>
    <w:rsid w:val="00683491"/>
    <w:rsid w:val="00683720"/>
    <w:rsid w:val="00683758"/>
    <w:rsid w:val="0068386F"/>
    <w:rsid w:val="00683A5E"/>
    <w:rsid w:val="00683B2D"/>
    <w:rsid w:val="00683DA5"/>
    <w:rsid w:val="00683FB3"/>
    <w:rsid w:val="0068404C"/>
    <w:rsid w:val="00684128"/>
    <w:rsid w:val="00684163"/>
    <w:rsid w:val="0068435B"/>
    <w:rsid w:val="006843F8"/>
    <w:rsid w:val="00684639"/>
    <w:rsid w:val="0068465F"/>
    <w:rsid w:val="00684660"/>
    <w:rsid w:val="0068468D"/>
    <w:rsid w:val="006846ED"/>
    <w:rsid w:val="0068473F"/>
    <w:rsid w:val="00684762"/>
    <w:rsid w:val="006848AC"/>
    <w:rsid w:val="00684A53"/>
    <w:rsid w:val="00684B07"/>
    <w:rsid w:val="00684C07"/>
    <w:rsid w:val="00684FD9"/>
    <w:rsid w:val="00684FFC"/>
    <w:rsid w:val="00685108"/>
    <w:rsid w:val="006851BA"/>
    <w:rsid w:val="0068525F"/>
    <w:rsid w:val="0068541E"/>
    <w:rsid w:val="006855D9"/>
    <w:rsid w:val="006856CD"/>
    <w:rsid w:val="00685719"/>
    <w:rsid w:val="006858BC"/>
    <w:rsid w:val="00685C63"/>
    <w:rsid w:val="00685CD4"/>
    <w:rsid w:val="00685EA7"/>
    <w:rsid w:val="00685FA0"/>
    <w:rsid w:val="00686143"/>
    <w:rsid w:val="006862E7"/>
    <w:rsid w:val="00686314"/>
    <w:rsid w:val="00686414"/>
    <w:rsid w:val="0068643A"/>
    <w:rsid w:val="00686440"/>
    <w:rsid w:val="006867D4"/>
    <w:rsid w:val="006869C3"/>
    <w:rsid w:val="00687126"/>
    <w:rsid w:val="00687301"/>
    <w:rsid w:val="0068741F"/>
    <w:rsid w:val="00687577"/>
    <w:rsid w:val="006877F5"/>
    <w:rsid w:val="00687823"/>
    <w:rsid w:val="0068796C"/>
    <w:rsid w:val="00687B38"/>
    <w:rsid w:val="00687D11"/>
    <w:rsid w:val="00687DB9"/>
    <w:rsid w:val="00687E8E"/>
    <w:rsid w:val="006902D1"/>
    <w:rsid w:val="0069050C"/>
    <w:rsid w:val="0069065C"/>
    <w:rsid w:val="0069085E"/>
    <w:rsid w:val="00690A70"/>
    <w:rsid w:val="00690BE9"/>
    <w:rsid w:val="00690CCF"/>
    <w:rsid w:val="00690DFF"/>
    <w:rsid w:val="00690EB1"/>
    <w:rsid w:val="0069133A"/>
    <w:rsid w:val="0069183C"/>
    <w:rsid w:val="006919A2"/>
    <w:rsid w:val="006919CC"/>
    <w:rsid w:val="00691B9D"/>
    <w:rsid w:val="00691CAF"/>
    <w:rsid w:val="00691E88"/>
    <w:rsid w:val="00691F60"/>
    <w:rsid w:val="0069204D"/>
    <w:rsid w:val="00692141"/>
    <w:rsid w:val="00692142"/>
    <w:rsid w:val="006922C8"/>
    <w:rsid w:val="0069253D"/>
    <w:rsid w:val="00692643"/>
    <w:rsid w:val="00692644"/>
    <w:rsid w:val="006926EF"/>
    <w:rsid w:val="006928A4"/>
    <w:rsid w:val="006928E2"/>
    <w:rsid w:val="00692CD0"/>
    <w:rsid w:val="00692D22"/>
    <w:rsid w:val="00692E5A"/>
    <w:rsid w:val="00692EF7"/>
    <w:rsid w:val="00692FA8"/>
    <w:rsid w:val="00693027"/>
    <w:rsid w:val="00693046"/>
    <w:rsid w:val="00693149"/>
    <w:rsid w:val="00693319"/>
    <w:rsid w:val="0069342A"/>
    <w:rsid w:val="00693771"/>
    <w:rsid w:val="00693803"/>
    <w:rsid w:val="00693836"/>
    <w:rsid w:val="0069384B"/>
    <w:rsid w:val="006939C2"/>
    <w:rsid w:val="00693C32"/>
    <w:rsid w:val="00693D4C"/>
    <w:rsid w:val="006940B0"/>
    <w:rsid w:val="00694181"/>
    <w:rsid w:val="00694190"/>
    <w:rsid w:val="0069460A"/>
    <w:rsid w:val="00694836"/>
    <w:rsid w:val="0069495E"/>
    <w:rsid w:val="00694B76"/>
    <w:rsid w:val="00694E31"/>
    <w:rsid w:val="00694E76"/>
    <w:rsid w:val="00694FAE"/>
    <w:rsid w:val="00695007"/>
    <w:rsid w:val="00695386"/>
    <w:rsid w:val="006953D1"/>
    <w:rsid w:val="00695488"/>
    <w:rsid w:val="00695517"/>
    <w:rsid w:val="00695A39"/>
    <w:rsid w:val="00695AC2"/>
    <w:rsid w:val="00695D05"/>
    <w:rsid w:val="00695DC6"/>
    <w:rsid w:val="00695DF0"/>
    <w:rsid w:val="00695E64"/>
    <w:rsid w:val="00695E90"/>
    <w:rsid w:val="00695FB0"/>
    <w:rsid w:val="006966AF"/>
    <w:rsid w:val="00696739"/>
    <w:rsid w:val="00696903"/>
    <w:rsid w:val="00696937"/>
    <w:rsid w:val="00696AFE"/>
    <w:rsid w:val="00696B9B"/>
    <w:rsid w:val="00696C65"/>
    <w:rsid w:val="00696E18"/>
    <w:rsid w:val="00696ECD"/>
    <w:rsid w:val="006972AD"/>
    <w:rsid w:val="006973C8"/>
    <w:rsid w:val="0069769F"/>
    <w:rsid w:val="006977FD"/>
    <w:rsid w:val="006978C8"/>
    <w:rsid w:val="006978DE"/>
    <w:rsid w:val="006979A6"/>
    <w:rsid w:val="00697B1A"/>
    <w:rsid w:val="00697B6D"/>
    <w:rsid w:val="00697BF8"/>
    <w:rsid w:val="00697D00"/>
    <w:rsid w:val="00697DF5"/>
    <w:rsid w:val="00697ED9"/>
    <w:rsid w:val="006A0127"/>
    <w:rsid w:val="006A024C"/>
    <w:rsid w:val="006A044F"/>
    <w:rsid w:val="006A063D"/>
    <w:rsid w:val="006A079B"/>
    <w:rsid w:val="006A088B"/>
    <w:rsid w:val="006A0A0B"/>
    <w:rsid w:val="006A0ACE"/>
    <w:rsid w:val="006A0AE3"/>
    <w:rsid w:val="006A0C78"/>
    <w:rsid w:val="006A0CEB"/>
    <w:rsid w:val="006A114F"/>
    <w:rsid w:val="006A1165"/>
    <w:rsid w:val="006A1359"/>
    <w:rsid w:val="006A1365"/>
    <w:rsid w:val="006A1505"/>
    <w:rsid w:val="006A1C0D"/>
    <w:rsid w:val="006A1C83"/>
    <w:rsid w:val="006A1C98"/>
    <w:rsid w:val="006A1D46"/>
    <w:rsid w:val="006A1DAE"/>
    <w:rsid w:val="006A2317"/>
    <w:rsid w:val="006A2368"/>
    <w:rsid w:val="006A2447"/>
    <w:rsid w:val="006A2B7C"/>
    <w:rsid w:val="006A2C5C"/>
    <w:rsid w:val="006A2CF4"/>
    <w:rsid w:val="006A2D86"/>
    <w:rsid w:val="006A2F5D"/>
    <w:rsid w:val="006A3038"/>
    <w:rsid w:val="006A3181"/>
    <w:rsid w:val="006A3397"/>
    <w:rsid w:val="006A36FE"/>
    <w:rsid w:val="006A377F"/>
    <w:rsid w:val="006A37A3"/>
    <w:rsid w:val="006A380B"/>
    <w:rsid w:val="006A38F9"/>
    <w:rsid w:val="006A3A8A"/>
    <w:rsid w:val="006A3C54"/>
    <w:rsid w:val="006A4019"/>
    <w:rsid w:val="006A41D0"/>
    <w:rsid w:val="006A41F9"/>
    <w:rsid w:val="006A425F"/>
    <w:rsid w:val="006A4481"/>
    <w:rsid w:val="006A44D9"/>
    <w:rsid w:val="006A46FB"/>
    <w:rsid w:val="006A47BE"/>
    <w:rsid w:val="006A4A89"/>
    <w:rsid w:val="006A4AE3"/>
    <w:rsid w:val="006A4B5B"/>
    <w:rsid w:val="006A4CC9"/>
    <w:rsid w:val="006A4D42"/>
    <w:rsid w:val="006A4F04"/>
    <w:rsid w:val="006A4F85"/>
    <w:rsid w:val="006A519E"/>
    <w:rsid w:val="006A5217"/>
    <w:rsid w:val="006A525B"/>
    <w:rsid w:val="006A5584"/>
    <w:rsid w:val="006A5759"/>
    <w:rsid w:val="006A5825"/>
    <w:rsid w:val="006A5892"/>
    <w:rsid w:val="006A58EB"/>
    <w:rsid w:val="006A5BB0"/>
    <w:rsid w:val="006A5C04"/>
    <w:rsid w:val="006A5CF3"/>
    <w:rsid w:val="006A5F0C"/>
    <w:rsid w:val="006A5F79"/>
    <w:rsid w:val="006A61EE"/>
    <w:rsid w:val="006A6571"/>
    <w:rsid w:val="006A689D"/>
    <w:rsid w:val="006A6A58"/>
    <w:rsid w:val="006A6ABA"/>
    <w:rsid w:val="006A6C8A"/>
    <w:rsid w:val="006A6CA8"/>
    <w:rsid w:val="006A72B4"/>
    <w:rsid w:val="006A7665"/>
    <w:rsid w:val="006A76C0"/>
    <w:rsid w:val="006A76FB"/>
    <w:rsid w:val="006A7908"/>
    <w:rsid w:val="006A795E"/>
    <w:rsid w:val="006A7976"/>
    <w:rsid w:val="006A7B9E"/>
    <w:rsid w:val="006A7DC4"/>
    <w:rsid w:val="006A7E9A"/>
    <w:rsid w:val="006A7EE7"/>
    <w:rsid w:val="006A7FAB"/>
    <w:rsid w:val="006B0148"/>
    <w:rsid w:val="006B0374"/>
    <w:rsid w:val="006B05F3"/>
    <w:rsid w:val="006B0658"/>
    <w:rsid w:val="006B0687"/>
    <w:rsid w:val="006B08C4"/>
    <w:rsid w:val="006B08DE"/>
    <w:rsid w:val="006B0AEA"/>
    <w:rsid w:val="006B0C2D"/>
    <w:rsid w:val="006B1083"/>
    <w:rsid w:val="006B1226"/>
    <w:rsid w:val="006B1394"/>
    <w:rsid w:val="006B1A52"/>
    <w:rsid w:val="006B1B55"/>
    <w:rsid w:val="006B1E8F"/>
    <w:rsid w:val="006B1E9F"/>
    <w:rsid w:val="006B1F62"/>
    <w:rsid w:val="006B2387"/>
    <w:rsid w:val="006B238C"/>
    <w:rsid w:val="006B23A5"/>
    <w:rsid w:val="006B243E"/>
    <w:rsid w:val="006B260B"/>
    <w:rsid w:val="006B28A9"/>
    <w:rsid w:val="006B28B1"/>
    <w:rsid w:val="006B2A41"/>
    <w:rsid w:val="006B2AB4"/>
    <w:rsid w:val="006B2B4C"/>
    <w:rsid w:val="006B2BC2"/>
    <w:rsid w:val="006B2CBB"/>
    <w:rsid w:val="006B2D2C"/>
    <w:rsid w:val="006B2DCE"/>
    <w:rsid w:val="006B2E4F"/>
    <w:rsid w:val="006B2EE6"/>
    <w:rsid w:val="006B2EF1"/>
    <w:rsid w:val="006B31B3"/>
    <w:rsid w:val="006B31ED"/>
    <w:rsid w:val="006B334D"/>
    <w:rsid w:val="006B33AF"/>
    <w:rsid w:val="006B350C"/>
    <w:rsid w:val="006B36DE"/>
    <w:rsid w:val="006B3700"/>
    <w:rsid w:val="006B38B5"/>
    <w:rsid w:val="006B39A3"/>
    <w:rsid w:val="006B39EB"/>
    <w:rsid w:val="006B3B0C"/>
    <w:rsid w:val="006B3BE8"/>
    <w:rsid w:val="006B3D93"/>
    <w:rsid w:val="006B3DB7"/>
    <w:rsid w:val="006B3E4E"/>
    <w:rsid w:val="006B3E6A"/>
    <w:rsid w:val="006B41DD"/>
    <w:rsid w:val="006B42BD"/>
    <w:rsid w:val="006B4717"/>
    <w:rsid w:val="006B4759"/>
    <w:rsid w:val="006B47A7"/>
    <w:rsid w:val="006B4A90"/>
    <w:rsid w:val="006B4AB5"/>
    <w:rsid w:val="006B4B51"/>
    <w:rsid w:val="006B4B9F"/>
    <w:rsid w:val="006B4D44"/>
    <w:rsid w:val="006B4EBF"/>
    <w:rsid w:val="006B5012"/>
    <w:rsid w:val="006B50AA"/>
    <w:rsid w:val="006B5113"/>
    <w:rsid w:val="006B5239"/>
    <w:rsid w:val="006B5718"/>
    <w:rsid w:val="006B572E"/>
    <w:rsid w:val="006B58BD"/>
    <w:rsid w:val="006B59B0"/>
    <w:rsid w:val="006B5FAA"/>
    <w:rsid w:val="006B62AE"/>
    <w:rsid w:val="006B6322"/>
    <w:rsid w:val="006B638B"/>
    <w:rsid w:val="006B666F"/>
    <w:rsid w:val="006B668F"/>
    <w:rsid w:val="006B67AC"/>
    <w:rsid w:val="006B67D2"/>
    <w:rsid w:val="006B685D"/>
    <w:rsid w:val="006B6AD6"/>
    <w:rsid w:val="006B6B44"/>
    <w:rsid w:val="006B6C9A"/>
    <w:rsid w:val="006B6DB6"/>
    <w:rsid w:val="006B6DCD"/>
    <w:rsid w:val="006B6F3D"/>
    <w:rsid w:val="006B72F5"/>
    <w:rsid w:val="006B7480"/>
    <w:rsid w:val="006B7A63"/>
    <w:rsid w:val="006B7D14"/>
    <w:rsid w:val="006B7D1B"/>
    <w:rsid w:val="006B7E22"/>
    <w:rsid w:val="006C008F"/>
    <w:rsid w:val="006C01F3"/>
    <w:rsid w:val="006C0215"/>
    <w:rsid w:val="006C055A"/>
    <w:rsid w:val="006C0873"/>
    <w:rsid w:val="006C0884"/>
    <w:rsid w:val="006C09FA"/>
    <w:rsid w:val="006C0BE1"/>
    <w:rsid w:val="006C0CC2"/>
    <w:rsid w:val="006C0F13"/>
    <w:rsid w:val="006C0FC9"/>
    <w:rsid w:val="006C1108"/>
    <w:rsid w:val="006C110C"/>
    <w:rsid w:val="006C14AE"/>
    <w:rsid w:val="006C163F"/>
    <w:rsid w:val="006C171C"/>
    <w:rsid w:val="006C173F"/>
    <w:rsid w:val="006C1A16"/>
    <w:rsid w:val="006C1A2C"/>
    <w:rsid w:val="006C1ABA"/>
    <w:rsid w:val="006C1B27"/>
    <w:rsid w:val="006C1B31"/>
    <w:rsid w:val="006C1BCF"/>
    <w:rsid w:val="006C1C63"/>
    <w:rsid w:val="006C1D7E"/>
    <w:rsid w:val="006C1DCC"/>
    <w:rsid w:val="006C1E8F"/>
    <w:rsid w:val="006C1FCB"/>
    <w:rsid w:val="006C1FE6"/>
    <w:rsid w:val="006C22CB"/>
    <w:rsid w:val="006C272F"/>
    <w:rsid w:val="006C278E"/>
    <w:rsid w:val="006C2A8D"/>
    <w:rsid w:val="006C2AD4"/>
    <w:rsid w:val="006C2B02"/>
    <w:rsid w:val="006C2B0A"/>
    <w:rsid w:val="006C2B24"/>
    <w:rsid w:val="006C2D98"/>
    <w:rsid w:val="006C308F"/>
    <w:rsid w:val="006C3164"/>
    <w:rsid w:val="006C3171"/>
    <w:rsid w:val="006C32EF"/>
    <w:rsid w:val="006C36BC"/>
    <w:rsid w:val="006C36CE"/>
    <w:rsid w:val="006C38A3"/>
    <w:rsid w:val="006C3ACA"/>
    <w:rsid w:val="006C3CC1"/>
    <w:rsid w:val="006C3D5A"/>
    <w:rsid w:val="006C3E78"/>
    <w:rsid w:val="006C40CD"/>
    <w:rsid w:val="006C41CD"/>
    <w:rsid w:val="006C4295"/>
    <w:rsid w:val="006C439F"/>
    <w:rsid w:val="006C43C7"/>
    <w:rsid w:val="006C43FD"/>
    <w:rsid w:val="006C4423"/>
    <w:rsid w:val="006C4592"/>
    <w:rsid w:val="006C45E8"/>
    <w:rsid w:val="006C4742"/>
    <w:rsid w:val="006C481B"/>
    <w:rsid w:val="006C4859"/>
    <w:rsid w:val="006C48E9"/>
    <w:rsid w:val="006C4967"/>
    <w:rsid w:val="006C4AB2"/>
    <w:rsid w:val="006C4BA5"/>
    <w:rsid w:val="006C4F2D"/>
    <w:rsid w:val="006C4F42"/>
    <w:rsid w:val="006C4FA1"/>
    <w:rsid w:val="006C5004"/>
    <w:rsid w:val="006C50BA"/>
    <w:rsid w:val="006C5105"/>
    <w:rsid w:val="006C5157"/>
    <w:rsid w:val="006C53AF"/>
    <w:rsid w:val="006C5526"/>
    <w:rsid w:val="006C55CA"/>
    <w:rsid w:val="006C58C5"/>
    <w:rsid w:val="006C58F9"/>
    <w:rsid w:val="006C595C"/>
    <w:rsid w:val="006C5B77"/>
    <w:rsid w:val="006C5DA9"/>
    <w:rsid w:val="006C5E29"/>
    <w:rsid w:val="006C5EEF"/>
    <w:rsid w:val="006C5FB7"/>
    <w:rsid w:val="006C6085"/>
    <w:rsid w:val="006C6115"/>
    <w:rsid w:val="006C62FC"/>
    <w:rsid w:val="006C6319"/>
    <w:rsid w:val="006C63AA"/>
    <w:rsid w:val="006C65A2"/>
    <w:rsid w:val="006C6907"/>
    <w:rsid w:val="006C6925"/>
    <w:rsid w:val="006C6993"/>
    <w:rsid w:val="006C6D8E"/>
    <w:rsid w:val="006C6FBE"/>
    <w:rsid w:val="006C7082"/>
    <w:rsid w:val="006C7110"/>
    <w:rsid w:val="006C7263"/>
    <w:rsid w:val="006C72B2"/>
    <w:rsid w:val="006C7417"/>
    <w:rsid w:val="006C74C0"/>
    <w:rsid w:val="006C76DF"/>
    <w:rsid w:val="006C779B"/>
    <w:rsid w:val="006C7889"/>
    <w:rsid w:val="006C7AA8"/>
    <w:rsid w:val="006C7AB3"/>
    <w:rsid w:val="006C7B4A"/>
    <w:rsid w:val="006C7BC0"/>
    <w:rsid w:val="006C7C32"/>
    <w:rsid w:val="006C7D66"/>
    <w:rsid w:val="006D0011"/>
    <w:rsid w:val="006D011D"/>
    <w:rsid w:val="006D0195"/>
    <w:rsid w:val="006D01AA"/>
    <w:rsid w:val="006D0252"/>
    <w:rsid w:val="006D0285"/>
    <w:rsid w:val="006D079C"/>
    <w:rsid w:val="006D0AAF"/>
    <w:rsid w:val="006D0BAA"/>
    <w:rsid w:val="006D0C3D"/>
    <w:rsid w:val="006D0E17"/>
    <w:rsid w:val="006D0E4C"/>
    <w:rsid w:val="006D0EF1"/>
    <w:rsid w:val="006D0F5C"/>
    <w:rsid w:val="006D0FB7"/>
    <w:rsid w:val="006D105F"/>
    <w:rsid w:val="006D1466"/>
    <w:rsid w:val="006D1617"/>
    <w:rsid w:val="006D1714"/>
    <w:rsid w:val="006D17F3"/>
    <w:rsid w:val="006D1962"/>
    <w:rsid w:val="006D1A0F"/>
    <w:rsid w:val="006D1BC7"/>
    <w:rsid w:val="006D1D38"/>
    <w:rsid w:val="006D1E41"/>
    <w:rsid w:val="006D2047"/>
    <w:rsid w:val="006D20DC"/>
    <w:rsid w:val="006D22AE"/>
    <w:rsid w:val="006D22BF"/>
    <w:rsid w:val="006D22CC"/>
    <w:rsid w:val="006D244F"/>
    <w:rsid w:val="006D24F9"/>
    <w:rsid w:val="006D25AB"/>
    <w:rsid w:val="006D2674"/>
    <w:rsid w:val="006D2864"/>
    <w:rsid w:val="006D299B"/>
    <w:rsid w:val="006D2BFF"/>
    <w:rsid w:val="006D2C9A"/>
    <w:rsid w:val="006D2D15"/>
    <w:rsid w:val="006D2DA3"/>
    <w:rsid w:val="006D30BC"/>
    <w:rsid w:val="006D3216"/>
    <w:rsid w:val="006D3289"/>
    <w:rsid w:val="006D32D4"/>
    <w:rsid w:val="006D338A"/>
    <w:rsid w:val="006D3481"/>
    <w:rsid w:val="006D3600"/>
    <w:rsid w:val="006D360C"/>
    <w:rsid w:val="006D38B7"/>
    <w:rsid w:val="006D39A2"/>
    <w:rsid w:val="006D3A4C"/>
    <w:rsid w:val="006D3A89"/>
    <w:rsid w:val="006D4018"/>
    <w:rsid w:val="006D46CC"/>
    <w:rsid w:val="006D4769"/>
    <w:rsid w:val="006D4A09"/>
    <w:rsid w:val="006D4CD9"/>
    <w:rsid w:val="006D4DFB"/>
    <w:rsid w:val="006D4FDA"/>
    <w:rsid w:val="006D510F"/>
    <w:rsid w:val="006D525E"/>
    <w:rsid w:val="006D55A5"/>
    <w:rsid w:val="006D56EF"/>
    <w:rsid w:val="006D5A0E"/>
    <w:rsid w:val="006D5A37"/>
    <w:rsid w:val="006D5B9A"/>
    <w:rsid w:val="006D5C70"/>
    <w:rsid w:val="006D63C5"/>
    <w:rsid w:val="006D6543"/>
    <w:rsid w:val="006D6816"/>
    <w:rsid w:val="006D6901"/>
    <w:rsid w:val="006D6A04"/>
    <w:rsid w:val="006D6D69"/>
    <w:rsid w:val="006D6ECB"/>
    <w:rsid w:val="006D7252"/>
    <w:rsid w:val="006D7328"/>
    <w:rsid w:val="006D753B"/>
    <w:rsid w:val="006D7580"/>
    <w:rsid w:val="006D76A4"/>
    <w:rsid w:val="006D7BC9"/>
    <w:rsid w:val="006D7DCA"/>
    <w:rsid w:val="006E000E"/>
    <w:rsid w:val="006E0118"/>
    <w:rsid w:val="006E0136"/>
    <w:rsid w:val="006E01EA"/>
    <w:rsid w:val="006E02F5"/>
    <w:rsid w:val="006E033F"/>
    <w:rsid w:val="006E0674"/>
    <w:rsid w:val="006E0796"/>
    <w:rsid w:val="006E079F"/>
    <w:rsid w:val="006E084D"/>
    <w:rsid w:val="006E08B4"/>
    <w:rsid w:val="006E0BBE"/>
    <w:rsid w:val="006E0DB4"/>
    <w:rsid w:val="006E12DB"/>
    <w:rsid w:val="006E1364"/>
    <w:rsid w:val="006E1449"/>
    <w:rsid w:val="006E153F"/>
    <w:rsid w:val="006E15AA"/>
    <w:rsid w:val="006E191A"/>
    <w:rsid w:val="006E1A6B"/>
    <w:rsid w:val="006E1B7F"/>
    <w:rsid w:val="006E1C3D"/>
    <w:rsid w:val="006E1DBF"/>
    <w:rsid w:val="006E2282"/>
    <w:rsid w:val="006E25E4"/>
    <w:rsid w:val="006E2607"/>
    <w:rsid w:val="006E262E"/>
    <w:rsid w:val="006E27D9"/>
    <w:rsid w:val="006E2F5F"/>
    <w:rsid w:val="006E317D"/>
    <w:rsid w:val="006E326A"/>
    <w:rsid w:val="006E3292"/>
    <w:rsid w:val="006E3357"/>
    <w:rsid w:val="006E33AD"/>
    <w:rsid w:val="006E34C7"/>
    <w:rsid w:val="006E375A"/>
    <w:rsid w:val="006E378E"/>
    <w:rsid w:val="006E37D2"/>
    <w:rsid w:val="006E3956"/>
    <w:rsid w:val="006E3D24"/>
    <w:rsid w:val="006E3D3D"/>
    <w:rsid w:val="006E4124"/>
    <w:rsid w:val="006E41AA"/>
    <w:rsid w:val="006E4298"/>
    <w:rsid w:val="006E430D"/>
    <w:rsid w:val="006E446D"/>
    <w:rsid w:val="006E44E3"/>
    <w:rsid w:val="006E46DD"/>
    <w:rsid w:val="006E482E"/>
    <w:rsid w:val="006E4A2C"/>
    <w:rsid w:val="006E4AEC"/>
    <w:rsid w:val="006E4CDF"/>
    <w:rsid w:val="006E4F47"/>
    <w:rsid w:val="006E4F8C"/>
    <w:rsid w:val="006E5014"/>
    <w:rsid w:val="006E514D"/>
    <w:rsid w:val="006E51DF"/>
    <w:rsid w:val="006E5394"/>
    <w:rsid w:val="006E5506"/>
    <w:rsid w:val="006E5564"/>
    <w:rsid w:val="006E570D"/>
    <w:rsid w:val="006E57C8"/>
    <w:rsid w:val="006E5809"/>
    <w:rsid w:val="006E5812"/>
    <w:rsid w:val="006E58A2"/>
    <w:rsid w:val="006E5A26"/>
    <w:rsid w:val="006E5A6D"/>
    <w:rsid w:val="006E5AB3"/>
    <w:rsid w:val="006E5AD6"/>
    <w:rsid w:val="006E5B22"/>
    <w:rsid w:val="006E5C72"/>
    <w:rsid w:val="006E5CB6"/>
    <w:rsid w:val="006E5F10"/>
    <w:rsid w:val="006E603A"/>
    <w:rsid w:val="006E61C8"/>
    <w:rsid w:val="006E6324"/>
    <w:rsid w:val="006E65BD"/>
    <w:rsid w:val="006E65DB"/>
    <w:rsid w:val="006E67B7"/>
    <w:rsid w:val="006E689B"/>
    <w:rsid w:val="006E68BA"/>
    <w:rsid w:val="006E6942"/>
    <w:rsid w:val="006E6AC0"/>
    <w:rsid w:val="006E6AC1"/>
    <w:rsid w:val="006E6BE4"/>
    <w:rsid w:val="006E6C99"/>
    <w:rsid w:val="006E6C9F"/>
    <w:rsid w:val="006E6CBD"/>
    <w:rsid w:val="006E6EAA"/>
    <w:rsid w:val="006E6F07"/>
    <w:rsid w:val="006E7124"/>
    <w:rsid w:val="006E726E"/>
    <w:rsid w:val="006E7369"/>
    <w:rsid w:val="006E76A3"/>
    <w:rsid w:val="006E776E"/>
    <w:rsid w:val="006E78C3"/>
    <w:rsid w:val="006E7AE9"/>
    <w:rsid w:val="006E7B3B"/>
    <w:rsid w:val="006E7EE0"/>
    <w:rsid w:val="006F0112"/>
    <w:rsid w:val="006F01B1"/>
    <w:rsid w:val="006F06D3"/>
    <w:rsid w:val="006F0745"/>
    <w:rsid w:val="006F0785"/>
    <w:rsid w:val="006F07A8"/>
    <w:rsid w:val="006F0897"/>
    <w:rsid w:val="006F09A8"/>
    <w:rsid w:val="006F0A6C"/>
    <w:rsid w:val="006F0CF2"/>
    <w:rsid w:val="006F0F94"/>
    <w:rsid w:val="006F1055"/>
    <w:rsid w:val="006F110F"/>
    <w:rsid w:val="006F125C"/>
    <w:rsid w:val="006F1273"/>
    <w:rsid w:val="006F1336"/>
    <w:rsid w:val="006F153F"/>
    <w:rsid w:val="006F1612"/>
    <w:rsid w:val="006F1710"/>
    <w:rsid w:val="006F17A5"/>
    <w:rsid w:val="006F1A26"/>
    <w:rsid w:val="006F1A9A"/>
    <w:rsid w:val="006F1B3E"/>
    <w:rsid w:val="006F1B40"/>
    <w:rsid w:val="006F1C88"/>
    <w:rsid w:val="006F1C8E"/>
    <w:rsid w:val="006F1D4A"/>
    <w:rsid w:val="006F1EF2"/>
    <w:rsid w:val="006F1F11"/>
    <w:rsid w:val="006F1F20"/>
    <w:rsid w:val="006F20DF"/>
    <w:rsid w:val="006F20F2"/>
    <w:rsid w:val="006F24B1"/>
    <w:rsid w:val="006F24CD"/>
    <w:rsid w:val="006F2706"/>
    <w:rsid w:val="006F276F"/>
    <w:rsid w:val="006F297E"/>
    <w:rsid w:val="006F2ADA"/>
    <w:rsid w:val="006F2ADE"/>
    <w:rsid w:val="006F2B40"/>
    <w:rsid w:val="006F2C18"/>
    <w:rsid w:val="006F2E9F"/>
    <w:rsid w:val="006F2F89"/>
    <w:rsid w:val="006F3023"/>
    <w:rsid w:val="006F320E"/>
    <w:rsid w:val="006F342F"/>
    <w:rsid w:val="006F345A"/>
    <w:rsid w:val="006F34B0"/>
    <w:rsid w:val="006F3532"/>
    <w:rsid w:val="006F36CC"/>
    <w:rsid w:val="006F3996"/>
    <w:rsid w:val="006F3AE3"/>
    <w:rsid w:val="006F3BFD"/>
    <w:rsid w:val="006F3CE4"/>
    <w:rsid w:val="006F3DAC"/>
    <w:rsid w:val="006F3E33"/>
    <w:rsid w:val="006F3ED1"/>
    <w:rsid w:val="006F3F90"/>
    <w:rsid w:val="006F4009"/>
    <w:rsid w:val="006F4164"/>
    <w:rsid w:val="006F440B"/>
    <w:rsid w:val="006F475D"/>
    <w:rsid w:val="006F48CA"/>
    <w:rsid w:val="006F495B"/>
    <w:rsid w:val="006F49B3"/>
    <w:rsid w:val="006F4A54"/>
    <w:rsid w:val="006F4AAE"/>
    <w:rsid w:val="006F4BF1"/>
    <w:rsid w:val="006F4CCF"/>
    <w:rsid w:val="006F4E09"/>
    <w:rsid w:val="006F4E1E"/>
    <w:rsid w:val="006F4E7C"/>
    <w:rsid w:val="006F4F5A"/>
    <w:rsid w:val="006F4FBB"/>
    <w:rsid w:val="006F506A"/>
    <w:rsid w:val="006F5129"/>
    <w:rsid w:val="006F529A"/>
    <w:rsid w:val="006F5472"/>
    <w:rsid w:val="006F566F"/>
    <w:rsid w:val="006F56BC"/>
    <w:rsid w:val="006F5872"/>
    <w:rsid w:val="006F587B"/>
    <w:rsid w:val="006F58E8"/>
    <w:rsid w:val="006F5A1A"/>
    <w:rsid w:val="006F5B6F"/>
    <w:rsid w:val="006F5C52"/>
    <w:rsid w:val="006F66EA"/>
    <w:rsid w:val="006F6BA9"/>
    <w:rsid w:val="006F6CF9"/>
    <w:rsid w:val="006F6E01"/>
    <w:rsid w:val="006F73F8"/>
    <w:rsid w:val="006F7543"/>
    <w:rsid w:val="006F776A"/>
    <w:rsid w:val="006F7779"/>
    <w:rsid w:val="006F78A8"/>
    <w:rsid w:val="006F7B5B"/>
    <w:rsid w:val="006F7EA6"/>
    <w:rsid w:val="006F7F02"/>
    <w:rsid w:val="006F7F1C"/>
    <w:rsid w:val="00700104"/>
    <w:rsid w:val="007003C1"/>
    <w:rsid w:val="007003EE"/>
    <w:rsid w:val="007003F0"/>
    <w:rsid w:val="0070056A"/>
    <w:rsid w:val="0070073F"/>
    <w:rsid w:val="00700753"/>
    <w:rsid w:val="0070079D"/>
    <w:rsid w:val="00700865"/>
    <w:rsid w:val="007008C7"/>
    <w:rsid w:val="00700A48"/>
    <w:rsid w:val="00700AC6"/>
    <w:rsid w:val="00700C18"/>
    <w:rsid w:val="00700DD7"/>
    <w:rsid w:val="00700ECD"/>
    <w:rsid w:val="007011A4"/>
    <w:rsid w:val="0070150A"/>
    <w:rsid w:val="00701553"/>
    <w:rsid w:val="00701691"/>
    <w:rsid w:val="007016A1"/>
    <w:rsid w:val="00701A5C"/>
    <w:rsid w:val="00701AFA"/>
    <w:rsid w:val="00701C44"/>
    <w:rsid w:val="00701C66"/>
    <w:rsid w:val="00701DAA"/>
    <w:rsid w:val="00702579"/>
    <w:rsid w:val="0070262E"/>
    <w:rsid w:val="00702789"/>
    <w:rsid w:val="0070280E"/>
    <w:rsid w:val="00702894"/>
    <w:rsid w:val="007029EE"/>
    <w:rsid w:val="00702BA8"/>
    <w:rsid w:val="00702C53"/>
    <w:rsid w:val="00702D0D"/>
    <w:rsid w:val="00702D13"/>
    <w:rsid w:val="00702DDB"/>
    <w:rsid w:val="007034B3"/>
    <w:rsid w:val="007034C9"/>
    <w:rsid w:val="00703503"/>
    <w:rsid w:val="00703544"/>
    <w:rsid w:val="007035E9"/>
    <w:rsid w:val="007038CA"/>
    <w:rsid w:val="00703B8B"/>
    <w:rsid w:val="00703C2F"/>
    <w:rsid w:val="00703C57"/>
    <w:rsid w:val="00703C8C"/>
    <w:rsid w:val="00704044"/>
    <w:rsid w:val="0070425B"/>
    <w:rsid w:val="007044F7"/>
    <w:rsid w:val="00704754"/>
    <w:rsid w:val="007047BF"/>
    <w:rsid w:val="007047C1"/>
    <w:rsid w:val="0070485E"/>
    <w:rsid w:val="00704924"/>
    <w:rsid w:val="00704E55"/>
    <w:rsid w:val="0070502B"/>
    <w:rsid w:val="0070542F"/>
    <w:rsid w:val="00705503"/>
    <w:rsid w:val="007055AA"/>
    <w:rsid w:val="007056E2"/>
    <w:rsid w:val="007057CB"/>
    <w:rsid w:val="007057DD"/>
    <w:rsid w:val="007057E2"/>
    <w:rsid w:val="00705963"/>
    <w:rsid w:val="00705B52"/>
    <w:rsid w:val="00705BFC"/>
    <w:rsid w:val="00705C05"/>
    <w:rsid w:val="00705DAB"/>
    <w:rsid w:val="00705F40"/>
    <w:rsid w:val="007061D2"/>
    <w:rsid w:val="007061DE"/>
    <w:rsid w:val="00706212"/>
    <w:rsid w:val="007063A9"/>
    <w:rsid w:val="0070651F"/>
    <w:rsid w:val="007065C1"/>
    <w:rsid w:val="007066E9"/>
    <w:rsid w:val="00706719"/>
    <w:rsid w:val="007067CF"/>
    <w:rsid w:val="00706BC3"/>
    <w:rsid w:val="00706EFD"/>
    <w:rsid w:val="00707100"/>
    <w:rsid w:val="00707230"/>
    <w:rsid w:val="007072A3"/>
    <w:rsid w:val="007074F4"/>
    <w:rsid w:val="007075F8"/>
    <w:rsid w:val="0070769D"/>
    <w:rsid w:val="007076F1"/>
    <w:rsid w:val="007078F8"/>
    <w:rsid w:val="0070790B"/>
    <w:rsid w:val="00707926"/>
    <w:rsid w:val="00707A3F"/>
    <w:rsid w:val="00707ADC"/>
    <w:rsid w:val="00707C0A"/>
    <w:rsid w:val="00707C85"/>
    <w:rsid w:val="00707FEB"/>
    <w:rsid w:val="00710268"/>
    <w:rsid w:val="0071065C"/>
    <w:rsid w:val="007106E0"/>
    <w:rsid w:val="007106F6"/>
    <w:rsid w:val="0071081B"/>
    <w:rsid w:val="00710938"/>
    <w:rsid w:val="00710975"/>
    <w:rsid w:val="00710984"/>
    <w:rsid w:val="00710FFA"/>
    <w:rsid w:val="007111B0"/>
    <w:rsid w:val="00711477"/>
    <w:rsid w:val="00711504"/>
    <w:rsid w:val="007115A7"/>
    <w:rsid w:val="00711711"/>
    <w:rsid w:val="00711718"/>
    <w:rsid w:val="0071172C"/>
    <w:rsid w:val="0071173C"/>
    <w:rsid w:val="00711915"/>
    <w:rsid w:val="00711A1A"/>
    <w:rsid w:val="00711A63"/>
    <w:rsid w:val="00711C57"/>
    <w:rsid w:val="00711C73"/>
    <w:rsid w:val="00711C93"/>
    <w:rsid w:val="00711CB7"/>
    <w:rsid w:val="00711E3D"/>
    <w:rsid w:val="00711E8A"/>
    <w:rsid w:val="0071201F"/>
    <w:rsid w:val="0071247C"/>
    <w:rsid w:val="007125A6"/>
    <w:rsid w:val="007125D4"/>
    <w:rsid w:val="00712950"/>
    <w:rsid w:val="007129BF"/>
    <w:rsid w:val="00712BA1"/>
    <w:rsid w:val="00712BB2"/>
    <w:rsid w:val="00712C72"/>
    <w:rsid w:val="00713482"/>
    <w:rsid w:val="00713806"/>
    <w:rsid w:val="00713831"/>
    <w:rsid w:val="00713B15"/>
    <w:rsid w:val="00713BF3"/>
    <w:rsid w:val="00713E6D"/>
    <w:rsid w:val="00714050"/>
    <w:rsid w:val="0071405A"/>
    <w:rsid w:val="007141A5"/>
    <w:rsid w:val="007143E7"/>
    <w:rsid w:val="007145E4"/>
    <w:rsid w:val="0071478F"/>
    <w:rsid w:val="00714A31"/>
    <w:rsid w:val="00714A46"/>
    <w:rsid w:val="00714ADD"/>
    <w:rsid w:val="00714E0F"/>
    <w:rsid w:val="00714F3B"/>
    <w:rsid w:val="00714F80"/>
    <w:rsid w:val="00715066"/>
    <w:rsid w:val="00715350"/>
    <w:rsid w:val="0071535A"/>
    <w:rsid w:val="007153AB"/>
    <w:rsid w:val="007153C2"/>
    <w:rsid w:val="007154C7"/>
    <w:rsid w:val="007155B5"/>
    <w:rsid w:val="007155FA"/>
    <w:rsid w:val="00715601"/>
    <w:rsid w:val="00715646"/>
    <w:rsid w:val="007156E9"/>
    <w:rsid w:val="0071573A"/>
    <w:rsid w:val="0071596E"/>
    <w:rsid w:val="00715A36"/>
    <w:rsid w:val="00715A44"/>
    <w:rsid w:val="00715B28"/>
    <w:rsid w:val="00715B88"/>
    <w:rsid w:val="00715C0E"/>
    <w:rsid w:val="00715DEE"/>
    <w:rsid w:val="00715E3C"/>
    <w:rsid w:val="00715E54"/>
    <w:rsid w:val="00715FEB"/>
    <w:rsid w:val="007162C4"/>
    <w:rsid w:val="00716313"/>
    <w:rsid w:val="00716721"/>
    <w:rsid w:val="00716732"/>
    <w:rsid w:val="0071681A"/>
    <w:rsid w:val="00716B52"/>
    <w:rsid w:val="00716E17"/>
    <w:rsid w:val="00716EA2"/>
    <w:rsid w:val="007170E5"/>
    <w:rsid w:val="007171F8"/>
    <w:rsid w:val="007173EC"/>
    <w:rsid w:val="00717D40"/>
    <w:rsid w:val="00717E1A"/>
    <w:rsid w:val="00717EA9"/>
    <w:rsid w:val="00720226"/>
    <w:rsid w:val="0072026F"/>
    <w:rsid w:val="00720280"/>
    <w:rsid w:val="007202EA"/>
    <w:rsid w:val="00720443"/>
    <w:rsid w:val="00720611"/>
    <w:rsid w:val="0072077C"/>
    <w:rsid w:val="00720B34"/>
    <w:rsid w:val="00720B7E"/>
    <w:rsid w:val="00720CD9"/>
    <w:rsid w:val="00720DB0"/>
    <w:rsid w:val="00721171"/>
    <w:rsid w:val="00721192"/>
    <w:rsid w:val="007212C6"/>
    <w:rsid w:val="00721325"/>
    <w:rsid w:val="0072150F"/>
    <w:rsid w:val="007215BC"/>
    <w:rsid w:val="00721BA9"/>
    <w:rsid w:val="00721BFD"/>
    <w:rsid w:val="00721CE3"/>
    <w:rsid w:val="00721DDD"/>
    <w:rsid w:val="00721DE4"/>
    <w:rsid w:val="00721F61"/>
    <w:rsid w:val="00721F74"/>
    <w:rsid w:val="00721FE6"/>
    <w:rsid w:val="0072205B"/>
    <w:rsid w:val="00722190"/>
    <w:rsid w:val="0072258D"/>
    <w:rsid w:val="007225C5"/>
    <w:rsid w:val="007226FE"/>
    <w:rsid w:val="00722724"/>
    <w:rsid w:val="0072288A"/>
    <w:rsid w:val="0072299D"/>
    <w:rsid w:val="00722B37"/>
    <w:rsid w:val="00722C25"/>
    <w:rsid w:val="00722C9C"/>
    <w:rsid w:val="00722CD4"/>
    <w:rsid w:val="00722D57"/>
    <w:rsid w:val="00722E23"/>
    <w:rsid w:val="00722FB7"/>
    <w:rsid w:val="00723125"/>
    <w:rsid w:val="0072316D"/>
    <w:rsid w:val="0072333D"/>
    <w:rsid w:val="00723358"/>
    <w:rsid w:val="007233DA"/>
    <w:rsid w:val="00723419"/>
    <w:rsid w:val="00723652"/>
    <w:rsid w:val="00723676"/>
    <w:rsid w:val="007239BA"/>
    <w:rsid w:val="00723A3B"/>
    <w:rsid w:val="00723B34"/>
    <w:rsid w:val="00723BB7"/>
    <w:rsid w:val="00723FE0"/>
    <w:rsid w:val="007240F4"/>
    <w:rsid w:val="00724477"/>
    <w:rsid w:val="007245B1"/>
    <w:rsid w:val="007245BC"/>
    <w:rsid w:val="007245D1"/>
    <w:rsid w:val="00724637"/>
    <w:rsid w:val="00724858"/>
    <w:rsid w:val="00724909"/>
    <w:rsid w:val="00724CD4"/>
    <w:rsid w:val="00724F43"/>
    <w:rsid w:val="00724F44"/>
    <w:rsid w:val="00724FA6"/>
    <w:rsid w:val="0072504E"/>
    <w:rsid w:val="00725275"/>
    <w:rsid w:val="007255CC"/>
    <w:rsid w:val="00725828"/>
    <w:rsid w:val="007258D8"/>
    <w:rsid w:val="00725C6C"/>
    <w:rsid w:val="00725D04"/>
    <w:rsid w:val="00725D73"/>
    <w:rsid w:val="00725DB0"/>
    <w:rsid w:val="00725EC6"/>
    <w:rsid w:val="007261B6"/>
    <w:rsid w:val="0072625B"/>
    <w:rsid w:val="007264E9"/>
    <w:rsid w:val="00726672"/>
    <w:rsid w:val="007267E1"/>
    <w:rsid w:val="00726A5F"/>
    <w:rsid w:val="00726CE7"/>
    <w:rsid w:val="00726D78"/>
    <w:rsid w:val="00726F0F"/>
    <w:rsid w:val="00726F34"/>
    <w:rsid w:val="00726F43"/>
    <w:rsid w:val="007270AB"/>
    <w:rsid w:val="007271C3"/>
    <w:rsid w:val="00727258"/>
    <w:rsid w:val="007275F4"/>
    <w:rsid w:val="007276A1"/>
    <w:rsid w:val="00727795"/>
    <w:rsid w:val="007277A0"/>
    <w:rsid w:val="007277B4"/>
    <w:rsid w:val="0072797B"/>
    <w:rsid w:val="00727A00"/>
    <w:rsid w:val="00727C76"/>
    <w:rsid w:val="00727CF0"/>
    <w:rsid w:val="00727DF7"/>
    <w:rsid w:val="00727E11"/>
    <w:rsid w:val="00727E28"/>
    <w:rsid w:val="00727E93"/>
    <w:rsid w:val="007302EA"/>
    <w:rsid w:val="007304BB"/>
    <w:rsid w:val="00730525"/>
    <w:rsid w:val="007307DE"/>
    <w:rsid w:val="0073088F"/>
    <w:rsid w:val="00730961"/>
    <w:rsid w:val="0073098C"/>
    <w:rsid w:val="00730AA5"/>
    <w:rsid w:val="00730ACB"/>
    <w:rsid w:val="00730BBF"/>
    <w:rsid w:val="00730DF6"/>
    <w:rsid w:val="00730E7D"/>
    <w:rsid w:val="007312BB"/>
    <w:rsid w:val="00731537"/>
    <w:rsid w:val="00731619"/>
    <w:rsid w:val="00731709"/>
    <w:rsid w:val="007317EC"/>
    <w:rsid w:val="007319CD"/>
    <w:rsid w:val="00731AB2"/>
    <w:rsid w:val="00731D61"/>
    <w:rsid w:val="00731FB7"/>
    <w:rsid w:val="007320F7"/>
    <w:rsid w:val="00732428"/>
    <w:rsid w:val="0073243C"/>
    <w:rsid w:val="00732517"/>
    <w:rsid w:val="00732870"/>
    <w:rsid w:val="00732BE4"/>
    <w:rsid w:val="00732BEA"/>
    <w:rsid w:val="00732E0E"/>
    <w:rsid w:val="00732E73"/>
    <w:rsid w:val="007331A9"/>
    <w:rsid w:val="0073338C"/>
    <w:rsid w:val="007333D2"/>
    <w:rsid w:val="0073348F"/>
    <w:rsid w:val="0073364C"/>
    <w:rsid w:val="0073387C"/>
    <w:rsid w:val="00733CDD"/>
    <w:rsid w:val="00733D14"/>
    <w:rsid w:val="0073405C"/>
    <w:rsid w:val="00734138"/>
    <w:rsid w:val="0073418C"/>
    <w:rsid w:val="00734353"/>
    <w:rsid w:val="007345C1"/>
    <w:rsid w:val="007347AD"/>
    <w:rsid w:val="00734A6C"/>
    <w:rsid w:val="00734B64"/>
    <w:rsid w:val="00734CDD"/>
    <w:rsid w:val="00734D29"/>
    <w:rsid w:val="00734EB2"/>
    <w:rsid w:val="00734F6F"/>
    <w:rsid w:val="007350F2"/>
    <w:rsid w:val="00735149"/>
    <w:rsid w:val="00735304"/>
    <w:rsid w:val="007357C7"/>
    <w:rsid w:val="00735985"/>
    <w:rsid w:val="00735AA3"/>
    <w:rsid w:val="00735AEB"/>
    <w:rsid w:val="00735B1F"/>
    <w:rsid w:val="00735C41"/>
    <w:rsid w:val="00735CFC"/>
    <w:rsid w:val="00735D6E"/>
    <w:rsid w:val="00735D85"/>
    <w:rsid w:val="00735DD9"/>
    <w:rsid w:val="00735FB6"/>
    <w:rsid w:val="00736156"/>
    <w:rsid w:val="007361B8"/>
    <w:rsid w:val="00736427"/>
    <w:rsid w:val="0073665E"/>
    <w:rsid w:val="00736768"/>
    <w:rsid w:val="007368A0"/>
    <w:rsid w:val="00736B18"/>
    <w:rsid w:val="00736B56"/>
    <w:rsid w:val="00736D5A"/>
    <w:rsid w:val="00737022"/>
    <w:rsid w:val="00737433"/>
    <w:rsid w:val="007378A8"/>
    <w:rsid w:val="00737A41"/>
    <w:rsid w:val="00737BB7"/>
    <w:rsid w:val="00737E07"/>
    <w:rsid w:val="00737F40"/>
    <w:rsid w:val="00737F42"/>
    <w:rsid w:val="00737FC4"/>
    <w:rsid w:val="007400AF"/>
    <w:rsid w:val="007402D3"/>
    <w:rsid w:val="0074032F"/>
    <w:rsid w:val="0074033D"/>
    <w:rsid w:val="007403F4"/>
    <w:rsid w:val="0074057B"/>
    <w:rsid w:val="00740760"/>
    <w:rsid w:val="00740875"/>
    <w:rsid w:val="0074096B"/>
    <w:rsid w:val="00740A06"/>
    <w:rsid w:val="00740A26"/>
    <w:rsid w:val="00740A87"/>
    <w:rsid w:val="00740AE4"/>
    <w:rsid w:val="00740C18"/>
    <w:rsid w:val="00740DDF"/>
    <w:rsid w:val="00740E5D"/>
    <w:rsid w:val="00741265"/>
    <w:rsid w:val="00741271"/>
    <w:rsid w:val="0074136A"/>
    <w:rsid w:val="007413D9"/>
    <w:rsid w:val="00741569"/>
    <w:rsid w:val="00741604"/>
    <w:rsid w:val="007416F9"/>
    <w:rsid w:val="00741C09"/>
    <w:rsid w:val="00741D1D"/>
    <w:rsid w:val="00741E95"/>
    <w:rsid w:val="00741EC2"/>
    <w:rsid w:val="00741EE5"/>
    <w:rsid w:val="00741F12"/>
    <w:rsid w:val="007422E6"/>
    <w:rsid w:val="00742330"/>
    <w:rsid w:val="007423A2"/>
    <w:rsid w:val="007425C7"/>
    <w:rsid w:val="00742663"/>
    <w:rsid w:val="007428D8"/>
    <w:rsid w:val="00742907"/>
    <w:rsid w:val="00742C85"/>
    <w:rsid w:val="00742CA8"/>
    <w:rsid w:val="00742D45"/>
    <w:rsid w:val="00742DF1"/>
    <w:rsid w:val="00742E00"/>
    <w:rsid w:val="00742E48"/>
    <w:rsid w:val="00743360"/>
    <w:rsid w:val="00743551"/>
    <w:rsid w:val="00743728"/>
    <w:rsid w:val="007437FA"/>
    <w:rsid w:val="00743A87"/>
    <w:rsid w:val="00743B7A"/>
    <w:rsid w:val="00743CFB"/>
    <w:rsid w:val="00743FC8"/>
    <w:rsid w:val="00744053"/>
    <w:rsid w:val="007440A0"/>
    <w:rsid w:val="007440BB"/>
    <w:rsid w:val="00744409"/>
    <w:rsid w:val="007444AB"/>
    <w:rsid w:val="007444ED"/>
    <w:rsid w:val="00744567"/>
    <w:rsid w:val="007445B3"/>
    <w:rsid w:val="00744820"/>
    <w:rsid w:val="00744833"/>
    <w:rsid w:val="007448E5"/>
    <w:rsid w:val="00744D88"/>
    <w:rsid w:val="00744E01"/>
    <w:rsid w:val="00744E09"/>
    <w:rsid w:val="0074504C"/>
    <w:rsid w:val="0074519F"/>
    <w:rsid w:val="00745270"/>
    <w:rsid w:val="007452D5"/>
    <w:rsid w:val="0074541C"/>
    <w:rsid w:val="00745A1A"/>
    <w:rsid w:val="00745AB9"/>
    <w:rsid w:val="00745C32"/>
    <w:rsid w:val="00745E62"/>
    <w:rsid w:val="00745EFF"/>
    <w:rsid w:val="00745F01"/>
    <w:rsid w:val="00746029"/>
    <w:rsid w:val="00746064"/>
    <w:rsid w:val="00746094"/>
    <w:rsid w:val="007461A5"/>
    <w:rsid w:val="007461C9"/>
    <w:rsid w:val="007461CD"/>
    <w:rsid w:val="007462EA"/>
    <w:rsid w:val="0074636B"/>
    <w:rsid w:val="007464F6"/>
    <w:rsid w:val="007466E4"/>
    <w:rsid w:val="00746715"/>
    <w:rsid w:val="007467CE"/>
    <w:rsid w:val="0074686B"/>
    <w:rsid w:val="007469AB"/>
    <w:rsid w:val="00746F5D"/>
    <w:rsid w:val="00746FF4"/>
    <w:rsid w:val="007471D0"/>
    <w:rsid w:val="007472DA"/>
    <w:rsid w:val="0074739B"/>
    <w:rsid w:val="00747576"/>
    <w:rsid w:val="0074776C"/>
    <w:rsid w:val="007477DD"/>
    <w:rsid w:val="007477E5"/>
    <w:rsid w:val="00747947"/>
    <w:rsid w:val="00747B4F"/>
    <w:rsid w:val="00747C0C"/>
    <w:rsid w:val="00747CC2"/>
    <w:rsid w:val="00747D2E"/>
    <w:rsid w:val="00747E27"/>
    <w:rsid w:val="00747FF5"/>
    <w:rsid w:val="00750007"/>
    <w:rsid w:val="0075002A"/>
    <w:rsid w:val="007502DC"/>
    <w:rsid w:val="007502E1"/>
    <w:rsid w:val="007502F9"/>
    <w:rsid w:val="007504FA"/>
    <w:rsid w:val="00750594"/>
    <w:rsid w:val="007506B6"/>
    <w:rsid w:val="007507F0"/>
    <w:rsid w:val="007509EC"/>
    <w:rsid w:val="00750BF4"/>
    <w:rsid w:val="00750EBE"/>
    <w:rsid w:val="00750FF6"/>
    <w:rsid w:val="007510F0"/>
    <w:rsid w:val="00751124"/>
    <w:rsid w:val="007511B9"/>
    <w:rsid w:val="007511C7"/>
    <w:rsid w:val="0075127D"/>
    <w:rsid w:val="007513B5"/>
    <w:rsid w:val="007513C9"/>
    <w:rsid w:val="00751518"/>
    <w:rsid w:val="00751595"/>
    <w:rsid w:val="0075170A"/>
    <w:rsid w:val="007518A1"/>
    <w:rsid w:val="00751967"/>
    <w:rsid w:val="00751978"/>
    <w:rsid w:val="00751C53"/>
    <w:rsid w:val="007522F9"/>
    <w:rsid w:val="0075235D"/>
    <w:rsid w:val="0075262A"/>
    <w:rsid w:val="007527E6"/>
    <w:rsid w:val="00752A76"/>
    <w:rsid w:val="00752B51"/>
    <w:rsid w:val="00752D61"/>
    <w:rsid w:val="00752F69"/>
    <w:rsid w:val="00752F7E"/>
    <w:rsid w:val="00753028"/>
    <w:rsid w:val="00753351"/>
    <w:rsid w:val="00753698"/>
    <w:rsid w:val="007536AC"/>
    <w:rsid w:val="007536DE"/>
    <w:rsid w:val="0075372C"/>
    <w:rsid w:val="0075380A"/>
    <w:rsid w:val="00753A82"/>
    <w:rsid w:val="00753BBC"/>
    <w:rsid w:val="00753EF2"/>
    <w:rsid w:val="00753FD2"/>
    <w:rsid w:val="007542D8"/>
    <w:rsid w:val="0075433A"/>
    <w:rsid w:val="007543CF"/>
    <w:rsid w:val="00754515"/>
    <w:rsid w:val="0075493D"/>
    <w:rsid w:val="00754AE5"/>
    <w:rsid w:val="00754E13"/>
    <w:rsid w:val="00754EFD"/>
    <w:rsid w:val="00754F1C"/>
    <w:rsid w:val="00754FAE"/>
    <w:rsid w:val="0075509B"/>
    <w:rsid w:val="007551EA"/>
    <w:rsid w:val="0075539B"/>
    <w:rsid w:val="0075554D"/>
    <w:rsid w:val="00755747"/>
    <w:rsid w:val="007558FC"/>
    <w:rsid w:val="00755973"/>
    <w:rsid w:val="007559C2"/>
    <w:rsid w:val="00755B94"/>
    <w:rsid w:val="00755BE1"/>
    <w:rsid w:val="00755C98"/>
    <w:rsid w:val="00755CB4"/>
    <w:rsid w:val="00755EFE"/>
    <w:rsid w:val="007560FB"/>
    <w:rsid w:val="007563B7"/>
    <w:rsid w:val="007567A1"/>
    <w:rsid w:val="00756828"/>
    <w:rsid w:val="00756A64"/>
    <w:rsid w:val="00756D50"/>
    <w:rsid w:val="0075703A"/>
    <w:rsid w:val="00757092"/>
    <w:rsid w:val="007570E9"/>
    <w:rsid w:val="00757176"/>
    <w:rsid w:val="0075725D"/>
    <w:rsid w:val="007578BA"/>
    <w:rsid w:val="00757BB6"/>
    <w:rsid w:val="00757D12"/>
    <w:rsid w:val="00757FA7"/>
    <w:rsid w:val="00757FF7"/>
    <w:rsid w:val="00760009"/>
    <w:rsid w:val="0076010C"/>
    <w:rsid w:val="0076015D"/>
    <w:rsid w:val="007601C4"/>
    <w:rsid w:val="007607FF"/>
    <w:rsid w:val="007609AB"/>
    <w:rsid w:val="00760A31"/>
    <w:rsid w:val="00760DC6"/>
    <w:rsid w:val="00760E15"/>
    <w:rsid w:val="007613F9"/>
    <w:rsid w:val="007615FA"/>
    <w:rsid w:val="007617C4"/>
    <w:rsid w:val="00761992"/>
    <w:rsid w:val="00761ACF"/>
    <w:rsid w:val="00761D1B"/>
    <w:rsid w:val="00761FB6"/>
    <w:rsid w:val="00762013"/>
    <w:rsid w:val="007621C7"/>
    <w:rsid w:val="007623BB"/>
    <w:rsid w:val="00762565"/>
    <w:rsid w:val="00762617"/>
    <w:rsid w:val="0076265E"/>
    <w:rsid w:val="00762926"/>
    <w:rsid w:val="007629E5"/>
    <w:rsid w:val="00762A79"/>
    <w:rsid w:val="00762F2B"/>
    <w:rsid w:val="007630C8"/>
    <w:rsid w:val="007633DF"/>
    <w:rsid w:val="007635CB"/>
    <w:rsid w:val="0076362F"/>
    <w:rsid w:val="00763B58"/>
    <w:rsid w:val="00763B84"/>
    <w:rsid w:val="00763DF0"/>
    <w:rsid w:val="00764104"/>
    <w:rsid w:val="0076420E"/>
    <w:rsid w:val="007643C3"/>
    <w:rsid w:val="00764555"/>
    <w:rsid w:val="007645A6"/>
    <w:rsid w:val="007645E0"/>
    <w:rsid w:val="00764614"/>
    <w:rsid w:val="007647BC"/>
    <w:rsid w:val="007647C4"/>
    <w:rsid w:val="007647D0"/>
    <w:rsid w:val="007649A2"/>
    <w:rsid w:val="00764EA1"/>
    <w:rsid w:val="007652A8"/>
    <w:rsid w:val="007654D7"/>
    <w:rsid w:val="007654D9"/>
    <w:rsid w:val="00765764"/>
    <w:rsid w:val="00765881"/>
    <w:rsid w:val="007658BA"/>
    <w:rsid w:val="007658E5"/>
    <w:rsid w:val="0076599E"/>
    <w:rsid w:val="00765B6F"/>
    <w:rsid w:val="00765CC6"/>
    <w:rsid w:val="00765F41"/>
    <w:rsid w:val="007660B5"/>
    <w:rsid w:val="007660D3"/>
    <w:rsid w:val="007661BC"/>
    <w:rsid w:val="00766296"/>
    <w:rsid w:val="0076629C"/>
    <w:rsid w:val="0076632C"/>
    <w:rsid w:val="00766487"/>
    <w:rsid w:val="007667D1"/>
    <w:rsid w:val="007668FA"/>
    <w:rsid w:val="00766AC9"/>
    <w:rsid w:val="00766BBC"/>
    <w:rsid w:val="00766C61"/>
    <w:rsid w:val="00766E81"/>
    <w:rsid w:val="00766FDC"/>
    <w:rsid w:val="00767058"/>
    <w:rsid w:val="00767095"/>
    <w:rsid w:val="007670F5"/>
    <w:rsid w:val="00767254"/>
    <w:rsid w:val="007672ED"/>
    <w:rsid w:val="00767510"/>
    <w:rsid w:val="00767805"/>
    <w:rsid w:val="007678C9"/>
    <w:rsid w:val="00767CE0"/>
    <w:rsid w:val="00767CF0"/>
    <w:rsid w:val="00767D4B"/>
    <w:rsid w:val="00767DF9"/>
    <w:rsid w:val="00767ED2"/>
    <w:rsid w:val="007704C0"/>
    <w:rsid w:val="00770558"/>
    <w:rsid w:val="007705E6"/>
    <w:rsid w:val="007707F6"/>
    <w:rsid w:val="0077081E"/>
    <w:rsid w:val="0077083E"/>
    <w:rsid w:val="0077089C"/>
    <w:rsid w:val="00770A99"/>
    <w:rsid w:val="00770CFC"/>
    <w:rsid w:val="00770DE3"/>
    <w:rsid w:val="00770F4D"/>
    <w:rsid w:val="0077102E"/>
    <w:rsid w:val="00771137"/>
    <w:rsid w:val="007711BD"/>
    <w:rsid w:val="007712DE"/>
    <w:rsid w:val="0077137D"/>
    <w:rsid w:val="007714D8"/>
    <w:rsid w:val="0077155E"/>
    <w:rsid w:val="0077165A"/>
    <w:rsid w:val="0077173C"/>
    <w:rsid w:val="00771BA5"/>
    <w:rsid w:val="00771BBA"/>
    <w:rsid w:val="00771C32"/>
    <w:rsid w:val="00771E3D"/>
    <w:rsid w:val="00772133"/>
    <w:rsid w:val="00772159"/>
    <w:rsid w:val="007722F3"/>
    <w:rsid w:val="007727E8"/>
    <w:rsid w:val="007728C4"/>
    <w:rsid w:val="00772968"/>
    <w:rsid w:val="00772A93"/>
    <w:rsid w:val="00772E84"/>
    <w:rsid w:val="00773465"/>
    <w:rsid w:val="0077356A"/>
    <w:rsid w:val="0077368C"/>
    <w:rsid w:val="007737D4"/>
    <w:rsid w:val="00773B57"/>
    <w:rsid w:val="00773D8F"/>
    <w:rsid w:val="00773DC3"/>
    <w:rsid w:val="00773E1D"/>
    <w:rsid w:val="00773E40"/>
    <w:rsid w:val="00773F65"/>
    <w:rsid w:val="00773F81"/>
    <w:rsid w:val="00773FAC"/>
    <w:rsid w:val="00773FD1"/>
    <w:rsid w:val="00774047"/>
    <w:rsid w:val="007741BC"/>
    <w:rsid w:val="007743E5"/>
    <w:rsid w:val="0077458B"/>
    <w:rsid w:val="007745EC"/>
    <w:rsid w:val="00774706"/>
    <w:rsid w:val="007747EC"/>
    <w:rsid w:val="00774F45"/>
    <w:rsid w:val="00774F47"/>
    <w:rsid w:val="007751DC"/>
    <w:rsid w:val="007754AE"/>
    <w:rsid w:val="007755A0"/>
    <w:rsid w:val="007756B7"/>
    <w:rsid w:val="0077589B"/>
    <w:rsid w:val="007758AD"/>
    <w:rsid w:val="0077598E"/>
    <w:rsid w:val="00775998"/>
    <w:rsid w:val="00775D7E"/>
    <w:rsid w:val="00775DCD"/>
    <w:rsid w:val="00775FBE"/>
    <w:rsid w:val="00776214"/>
    <w:rsid w:val="0077626E"/>
    <w:rsid w:val="007762A4"/>
    <w:rsid w:val="0077636B"/>
    <w:rsid w:val="0077651B"/>
    <w:rsid w:val="007767A1"/>
    <w:rsid w:val="00776812"/>
    <w:rsid w:val="00776906"/>
    <w:rsid w:val="00776A7A"/>
    <w:rsid w:val="00776B73"/>
    <w:rsid w:val="00776BE2"/>
    <w:rsid w:val="00776C4C"/>
    <w:rsid w:val="00776E43"/>
    <w:rsid w:val="00776F7B"/>
    <w:rsid w:val="00776FFC"/>
    <w:rsid w:val="0077751D"/>
    <w:rsid w:val="007776B4"/>
    <w:rsid w:val="007777DD"/>
    <w:rsid w:val="00777814"/>
    <w:rsid w:val="00777BAB"/>
    <w:rsid w:val="00777CCC"/>
    <w:rsid w:val="00777CF2"/>
    <w:rsid w:val="00777F1E"/>
    <w:rsid w:val="00780013"/>
    <w:rsid w:val="007802F3"/>
    <w:rsid w:val="00780964"/>
    <w:rsid w:val="007809CE"/>
    <w:rsid w:val="00780C13"/>
    <w:rsid w:val="00780C24"/>
    <w:rsid w:val="00780F4A"/>
    <w:rsid w:val="0078114B"/>
    <w:rsid w:val="00781426"/>
    <w:rsid w:val="0078173B"/>
    <w:rsid w:val="00781744"/>
    <w:rsid w:val="007817D9"/>
    <w:rsid w:val="007819FF"/>
    <w:rsid w:val="00781B54"/>
    <w:rsid w:val="00781CD5"/>
    <w:rsid w:val="00781E23"/>
    <w:rsid w:val="00781EE1"/>
    <w:rsid w:val="00781F07"/>
    <w:rsid w:val="0078206F"/>
    <w:rsid w:val="00782179"/>
    <w:rsid w:val="00782190"/>
    <w:rsid w:val="007822C4"/>
    <w:rsid w:val="00782358"/>
    <w:rsid w:val="00782575"/>
    <w:rsid w:val="007826BB"/>
    <w:rsid w:val="0078279F"/>
    <w:rsid w:val="007827EB"/>
    <w:rsid w:val="0078294D"/>
    <w:rsid w:val="00782AB2"/>
    <w:rsid w:val="00782B2F"/>
    <w:rsid w:val="00782C10"/>
    <w:rsid w:val="00782C37"/>
    <w:rsid w:val="00782F34"/>
    <w:rsid w:val="00783354"/>
    <w:rsid w:val="0078355F"/>
    <w:rsid w:val="007837D3"/>
    <w:rsid w:val="0078383D"/>
    <w:rsid w:val="007838AD"/>
    <w:rsid w:val="00783A41"/>
    <w:rsid w:val="00783AF9"/>
    <w:rsid w:val="00783B53"/>
    <w:rsid w:val="00783E4A"/>
    <w:rsid w:val="00783F0A"/>
    <w:rsid w:val="00783FC4"/>
    <w:rsid w:val="00784117"/>
    <w:rsid w:val="00784371"/>
    <w:rsid w:val="007845B3"/>
    <w:rsid w:val="0078478A"/>
    <w:rsid w:val="007848F0"/>
    <w:rsid w:val="007849EE"/>
    <w:rsid w:val="00784A6F"/>
    <w:rsid w:val="00784D3A"/>
    <w:rsid w:val="00784E9A"/>
    <w:rsid w:val="00784FF4"/>
    <w:rsid w:val="00785044"/>
    <w:rsid w:val="007851B9"/>
    <w:rsid w:val="00785310"/>
    <w:rsid w:val="0078545E"/>
    <w:rsid w:val="007856AC"/>
    <w:rsid w:val="00785929"/>
    <w:rsid w:val="0078596A"/>
    <w:rsid w:val="00785ACC"/>
    <w:rsid w:val="00785ACF"/>
    <w:rsid w:val="00785D58"/>
    <w:rsid w:val="00785DF5"/>
    <w:rsid w:val="00785E2D"/>
    <w:rsid w:val="00785FC9"/>
    <w:rsid w:val="00785FE4"/>
    <w:rsid w:val="0078609E"/>
    <w:rsid w:val="00786543"/>
    <w:rsid w:val="0078669E"/>
    <w:rsid w:val="007866BE"/>
    <w:rsid w:val="0078677A"/>
    <w:rsid w:val="00786A97"/>
    <w:rsid w:val="00786BB7"/>
    <w:rsid w:val="00786CB4"/>
    <w:rsid w:val="00786E74"/>
    <w:rsid w:val="00786FD4"/>
    <w:rsid w:val="00787311"/>
    <w:rsid w:val="007873D7"/>
    <w:rsid w:val="00787438"/>
    <w:rsid w:val="00787546"/>
    <w:rsid w:val="00787609"/>
    <w:rsid w:val="00787885"/>
    <w:rsid w:val="00787A88"/>
    <w:rsid w:val="00787ABF"/>
    <w:rsid w:val="00787AEE"/>
    <w:rsid w:val="00787B16"/>
    <w:rsid w:val="00787D3A"/>
    <w:rsid w:val="00787D5A"/>
    <w:rsid w:val="00787DD6"/>
    <w:rsid w:val="00787E2F"/>
    <w:rsid w:val="00787F1B"/>
    <w:rsid w:val="00787F93"/>
    <w:rsid w:val="0079021C"/>
    <w:rsid w:val="00790284"/>
    <w:rsid w:val="007902A8"/>
    <w:rsid w:val="007902D9"/>
    <w:rsid w:val="00790304"/>
    <w:rsid w:val="00790350"/>
    <w:rsid w:val="00790393"/>
    <w:rsid w:val="00790651"/>
    <w:rsid w:val="0079071C"/>
    <w:rsid w:val="00790947"/>
    <w:rsid w:val="007909F5"/>
    <w:rsid w:val="00790A5F"/>
    <w:rsid w:val="00790AD7"/>
    <w:rsid w:val="00790B99"/>
    <w:rsid w:val="00790BE4"/>
    <w:rsid w:val="00790C4E"/>
    <w:rsid w:val="00790C89"/>
    <w:rsid w:val="00790DAD"/>
    <w:rsid w:val="00790E98"/>
    <w:rsid w:val="00790F58"/>
    <w:rsid w:val="00790F77"/>
    <w:rsid w:val="00790FFD"/>
    <w:rsid w:val="0079114F"/>
    <w:rsid w:val="0079123B"/>
    <w:rsid w:val="00791356"/>
    <w:rsid w:val="00791497"/>
    <w:rsid w:val="00791646"/>
    <w:rsid w:val="00791761"/>
    <w:rsid w:val="007917D8"/>
    <w:rsid w:val="0079188A"/>
    <w:rsid w:val="00791B51"/>
    <w:rsid w:val="00791B88"/>
    <w:rsid w:val="00791D13"/>
    <w:rsid w:val="00791D8B"/>
    <w:rsid w:val="00791DD3"/>
    <w:rsid w:val="00791E1B"/>
    <w:rsid w:val="00791E9C"/>
    <w:rsid w:val="007920CE"/>
    <w:rsid w:val="007920FF"/>
    <w:rsid w:val="007923CD"/>
    <w:rsid w:val="0079252C"/>
    <w:rsid w:val="00792625"/>
    <w:rsid w:val="00792671"/>
    <w:rsid w:val="007929A1"/>
    <w:rsid w:val="00792B51"/>
    <w:rsid w:val="00792C72"/>
    <w:rsid w:val="00792E05"/>
    <w:rsid w:val="0079301A"/>
    <w:rsid w:val="00793048"/>
    <w:rsid w:val="0079336F"/>
    <w:rsid w:val="00793432"/>
    <w:rsid w:val="007936A7"/>
    <w:rsid w:val="0079394D"/>
    <w:rsid w:val="00793A0F"/>
    <w:rsid w:val="00793A50"/>
    <w:rsid w:val="00793B53"/>
    <w:rsid w:val="00793BA2"/>
    <w:rsid w:val="00793E56"/>
    <w:rsid w:val="0079419C"/>
    <w:rsid w:val="007942CA"/>
    <w:rsid w:val="0079448E"/>
    <w:rsid w:val="007946A6"/>
    <w:rsid w:val="00794742"/>
    <w:rsid w:val="00794775"/>
    <w:rsid w:val="00794DFE"/>
    <w:rsid w:val="00795034"/>
    <w:rsid w:val="007952DD"/>
    <w:rsid w:val="00795336"/>
    <w:rsid w:val="0079550C"/>
    <w:rsid w:val="00795835"/>
    <w:rsid w:val="00795839"/>
    <w:rsid w:val="00795B63"/>
    <w:rsid w:val="00795BBE"/>
    <w:rsid w:val="00795DC8"/>
    <w:rsid w:val="00795F74"/>
    <w:rsid w:val="00796075"/>
    <w:rsid w:val="00796209"/>
    <w:rsid w:val="007962B0"/>
    <w:rsid w:val="0079689D"/>
    <w:rsid w:val="00796AB0"/>
    <w:rsid w:val="0079704F"/>
    <w:rsid w:val="0079729E"/>
    <w:rsid w:val="007972B2"/>
    <w:rsid w:val="0079737A"/>
    <w:rsid w:val="007973FA"/>
    <w:rsid w:val="007977CE"/>
    <w:rsid w:val="007978AD"/>
    <w:rsid w:val="00797D13"/>
    <w:rsid w:val="007A0172"/>
    <w:rsid w:val="007A017F"/>
    <w:rsid w:val="007A04EB"/>
    <w:rsid w:val="007A0A0F"/>
    <w:rsid w:val="007A0ACD"/>
    <w:rsid w:val="007A0B1A"/>
    <w:rsid w:val="007A0BFE"/>
    <w:rsid w:val="007A0CE1"/>
    <w:rsid w:val="007A0EBC"/>
    <w:rsid w:val="007A0EE4"/>
    <w:rsid w:val="007A0F28"/>
    <w:rsid w:val="007A0F63"/>
    <w:rsid w:val="007A0FE7"/>
    <w:rsid w:val="007A13F2"/>
    <w:rsid w:val="007A1460"/>
    <w:rsid w:val="007A16FF"/>
    <w:rsid w:val="007A1749"/>
    <w:rsid w:val="007A18DF"/>
    <w:rsid w:val="007A1917"/>
    <w:rsid w:val="007A1B84"/>
    <w:rsid w:val="007A1BA2"/>
    <w:rsid w:val="007A1C30"/>
    <w:rsid w:val="007A1D13"/>
    <w:rsid w:val="007A1DE7"/>
    <w:rsid w:val="007A1E79"/>
    <w:rsid w:val="007A1EE8"/>
    <w:rsid w:val="007A1F84"/>
    <w:rsid w:val="007A2043"/>
    <w:rsid w:val="007A20ED"/>
    <w:rsid w:val="007A2247"/>
    <w:rsid w:val="007A2288"/>
    <w:rsid w:val="007A24FE"/>
    <w:rsid w:val="007A2608"/>
    <w:rsid w:val="007A269A"/>
    <w:rsid w:val="007A2882"/>
    <w:rsid w:val="007A29E0"/>
    <w:rsid w:val="007A2A58"/>
    <w:rsid w:val="007A2D2A"/>
    <w:rsid w:val="007A31A2"/>
    <w:rsid w:val="007A31F2"/>
    <w:rsid w:val="007A339E"/>
    <w:rsid w:val="007A36CA"/>
    <w:rsid w:val="007A38F5"/>
    <w:rsid w:val="007A3A8C"/>
    <w:rsid w:val="007A3DB7"/>
    <w:rsid w:val="007A3E88"/>
    <w:rsid w:val="007A4160"/>
    <w:rsid w:val="007A41F5"/>
    <w:rsid w:val="007A43A2"/>
    <w:rsid w:val="007A449F"/>
    <w:rsid w:val="007A4673"/>
    <w:rsid w:val="007A47AB"/>
    <w:rsid w:val="007A4CF6"/>
    <w:rsid w:val="007A4EC3"/>
    <w:rsid w:val="007A524F"/>
    <w:rsid w:val="007A52AC"/>
    <w:rsid w:val="007A59C1"/>
    <w:rsid w:val="007A5A3C"/>
    <w:rsid w:val="007A5CB5"/>
    <w:rsid w:val="007A5CF4"/>
    <w:rsid w:val="007A6282"/>
    <w:rsid w:val="007A6383"/>
    <w:rsid w:val="007A63F3"/>
    <w:rsid w:val="007A66F6"/>
    <w:rsid w:val="007A6D0F"/>
    <w:rsid w:val="007A6DD4"/>
    <w:rsid w:val="007A6F1A"/>
    <w:rsid w:val="007A7016"/>
    <w:rsid w:val="007A7154"/>
    <w:rsid w:val="007A75A8"/>
    <w:rsid w:val="007A7619"/>
    <w:rsid w:val="007A7A79"/>
    <w:rsid w:val="007A7B94"/>
    <w:rsid w:val="007A7BD1"/>
    <w:rsid w:val="007B01A9"/>
    <w:rsid w:val="007B02AB"/>
    <w:rsid w:val="007B0514"/>
    <w:rsid w:val="007B073F"/>
    <w:rsid w:val="007B09DF"/>
    <w:rsid w:val="007B09EF"/>
    <w:rsid w:val="007B0A01"/>
    <w:rsid w:val="007B0B8A"/>
    <w:rsid w:val="007B0C4A"/>
    <w:rsid w:val="007B0C70"/>
    <w:rsid w:val="007B113E"/>
    <w:rsid w:val="007B130E"/>
    <w:rsid w:val="007B1314"/>
    <w:rsid w:val="007B136A"/>
    <w:rsid w:val="007B1370"/>
    <w:rsid w:val="007B1717"/>
    <w:rsid w:val="007B1920"/>
    <w:rsid w:val="007B1B2A"/>
    <w:rsid w:val="007B1C23"/>
    <w:rsid w:val="007B1D67"/>
    <w:rsid w:val="007B1F40"/>
    <w:rsid w:val="007B2111"/>
    <w:rsid w:val="007B235C"/>
    <w:rsid w:val="007B23D0"/>
    <w:rsid w:val="007B23D5"/>
    <w:rsid w:val="007B2436"/>
    <w:rsid w:val="007B24E0"/>
    <w:rsid w:val="007B24EA"/>
    <w:rsid w:val="007B257C"/>
    <w:rsid w:val="007B25CF"/>
    <w:rsid w:val="007B25D3"/>
    <w:rsid w:val="007B2688"/>
    <w:rsid w:val="007B26BF"/>
    <w:rsid w:val="007B2774"/>
    <w:rsid w:val="007B288E"/>
    <w:rsid w:val="007B291F"/>
    <w:rsid w:val="007B299E"/>
    <w:rsid w:val="007B2BA1"/>
    <w:rsid w:val="007B2BFF"/>
    <w:rsid w:val="007B2CA5"/>
    <w:rsid w:val="007B2CCD"/>
    <w:rsid w:val="007B2D8B"/>
    <w:rsid w:val="007B2FF1"/>
    <w:rsid w:val="007B332C"/>
    <w:rsid w:val="007B348D"/>
    <w:rsid w:val="007B3577"/>
    <w:rsid w:val="007B359C"/>
    <w:rsid w:val="007B37BA"/>
    <w:rsid w:val="007B3845"/>
    <w:rsid w:val="007B38CA"/>
    <w:rsid w:val="007B391A"/>
    <w:rsid w:val="007B3D23"/>
    <w:rsid w:val="007B3F02"/>
    <w:rsid w:val="007B4135"/>
    <w:rsid w:val="007B41AC"/>
    <w:rsid w:val="007B424D"/>
    <w:rsid w:val="007B42B5"/>
    <w:rsid w:val="007B437E"/>
    <w:rsid w:val="007B43E1"/>
    <w:rsid w:val="007B43E3"/>
    <w:rsid w:val="007B46EA"/>
    <w:rsid w:val="007B4886"/>
    <w:rsid w:val="007B4899"/>
    <w:rsid w:val="007B49D0"/>
    <w:rsid w:val="007B4DBF"/>
    <w:rsid w:val="007B4E37"/>
    <w:rsid w:val="007B4F02"/>
    <w:rsid w:val="007B526F"/>
    <w:rsid w:val="007B54AE"/>
    <w:rsid w:val="007B5532"/>
    <w:rsid w:val="007B5675"/>
    <w:rsid w:val="007B5678"/>
    <w:rsid w:val="007B57DB"/>
    <w:rsid w:val="007B58E2"/>
    <w:rsid w:val="007B597F"/>
    <w:rsid w:val="007B5AA0"/>
    <w:rsid w:val="007B5E07"/>
    <w:rsid w:val="007B5FFF"/>
    <w:rsid w:val="007B6007"/>
    <w:rsid w:val="007B601E"/>
    <w:rsid w:val="007B6029"/>
    <w:rsid w:val="007B61AA"/>
    <w:rsid w:val="007B6233"/>
    <w:rsid w:val="007B630C"/>
    <w:rsid w:val="007B678A"/>
    <w:rsid w:val="007B682B"/>
    <w:rsid w:val="007B6927"/>
    <w:rsid w:val="007B6A4A"/>
    <w:rsid w:val="007B6A95"/>
    <w:rsid w:val="007B6BEF"/>
    <w:rsid w:val="007B6E9E"/>
    <w:rsid w:val="007B731F"/>
    <w:rsid w:val="007B73AF"/>
    <w:rsid w:val="007B7468"/>
    <w:rsid w:val="007B74B3"/>
    <w:rsid w:val="007B761E"/>
    <w:rsid w:val="007B787D"/>
    <w:rsid w:val="007B7E25"/>
    <w:rsid w:val="007B7F1B"/>
    <w:rsid w:val="007B7FC8"/>
    <w:rsid w:val="007B7FFD"/>
    <w:rsid w:val="007C0090"/>
    <w:rsid w:val="007C01D5"/>
    <w:rsid w:val="007C0514"/>
    <w:rsid w:val="007C054A"/>
    <w:rsid w:val="007C062D"/>
    <w:rsid w:val="007C07A5"/>
    <w:rsid w:val="007C0940"/>
    <w:rsid w:val="007C0B7B"/>
    <w:rsid w:val="007C0BDA"/>
    <w:rsid w:val="007C0F42"/>
    <w:rsid w:val="007C0F80"/>
    <w:rsid w:val="007C107B"/>
    <w:rsid w:val="007C111A"/>
    <w:rsid w:val="007C1209"/>
    <w:rsid w:val="007C15E1"/>
    <w:rsid w:val="007C1809"/>
    <w:rsid w:val="007C186B"/>
    <w:rsid w:val="007C1A1E"/>
    <w:rsid w:val="007C1C22"/>
    <w:rsid w:val="007C1C62"/>
    <w:rsid w:val="007C1F9B"/>
    <w:rsid w:val="007C2093"/>
    <w:rsid w:val="007C22B0"/>
    <w:rsid w:val="007C2799"/>
    <w:rsid w:val="007C2E0A"/>
    <w:rsid w:val="007C2E3C"/>
    <w:rsid w:val="007C2F08"/>
    <w:rsid w:val="007C2F33"/>
    <w:rsid w:val="007C30EB"/>
    <w:rsid w:val="007C318E"/>
    <w:rsid w:val="007C3398"/>
    <w:rsid w:val="007C33F6"/>
    <w:rsid w:val="007C34E6"/>
    <w:rsid w:val="007C3564"/>
    <w:rsid w:val="007C396F"/>
    <w:rsid w:val="007C3979"/>
    <w:rsid w:val="007C3B89"/>
    <w:rsid w:val="007C3C31"/>
    <w:rsid w:val="007C3E44"/>
    <w:rsid w:val="007C3E56"/>
    <w:rsid w:val="007C3FA4"/>
    <w:rsid w:val="007C4145"/>
    <w:rsid w:val="007C41B7"/>
    <w:rsid w:val="007C41FF"/>
    <w:rsid w:val="007C4203"/>
    <w:rsid w:val="007C4510"/>
    <w:rsid w:val="007C45F8"/>
    <w:rsid w:val="007C471B"/>
    <w:rsid w:val="007C4840"/>
    <w:rsid w:val="007C4919"/>
    <w:rsid w:val="007C4AFD"/>
    <w:rsid w:val="007C4B93"/>
    <w:rsid w:val="007C4C48"/>
    <w:rsid w:val="007C503A"/>
    <w:rsid w:val="007C5197"/>
    <w:rsid w:val="007C520C"/>
    <w:rsid w:val="007C5232"/>
    <w:rsid w:val="007C536E"/>
    <w:rsid w:val="007C54E2"/>
    <w:rsid w:val="007C5579"/>
    <w:rsid w:val="007C55A7"/>
    <w:rsid w:val="007C5779"/>
    <w:rsid w:val="007C5810"/>
    <w:rsid w:val="007C581D"/>
    <w:rsid w:val="007C58C1"/>
    <w:rsid w:val="007C5A6A"/>
    <w:rsid w:val="007C5C3D"/>
    <w:rsid w:val="007C5F99"/>
    <w:rsid w:val="007C614E"/>
    <w:rsid w:val="007C6190"/>
    <w:rsid w:val="007C620D"/>
    <w:rsid w:val="007C626D"/>
    <w:rsid w:val="007C649C"/>
    <w:rsid w:val="007C685C"/>
    <w:rsid w:val="007C6BD7"/>
    <w:rsid w:val="007C7078"/>
    <w:rsid w:val="007C7217"/>
    <w:rsid w:val="007C7290"/>
    <w:rsid w:val="007C7387"/>
    <w:rsid w:val="007C74D5"/>
    <w:rsid w:val="007C7878"/>
    <w:rsid w:val="007C79AC"/>
    <w:rsid w:val="007C7A73"/>
    <w:rsid w:val="007C7DE7"/>
    <w:rsid w:val="007C7E02"/>
    <w:rsid w:val="007C7E15"/>
    <w:rsid w:val="007D006B"/>
    <w:rsid w:val="007D00B1"/>
    <w:rsid w:val="007D0246"/>
    <w:rsid w:val="007D05CC"/>
    <w:rsid w:val="007D0690"/>
    <w:rsid w:val="007D0878"/>
    <w:rsid w:val="007D090F"/>
    <w:rsid w:val="007D0994"/>
    <w:rsid w:val="007D09A5"/>
    <w:rsid w:val="007D0A03"/>
    <w:rsid w:val="007D0AB8"/>
    <w:rsid w:val="007D0AF5"/>
    <w:rsid w:val="007D0C39"/>
    <w:rsid w:val="007D0DFF"/>
    <w:rsid w:val="007D0EA2"/>
    <w:rsid w:val="007D0FD9"/>
    <w:rsid w:val="007D1174"/>
    <w:rsid w:val="007D147E"/>
    <w:rsid w:val="007D1485"/>
    <w:rsid w:val="007D16DA"/>
    <w:rsid w:val="007D1859"/>
    <w:rsid w:val="007D191A"/>
    <w:rsid w:val="007D19EC"/>
    <w:rsid w:val="007D1B95"/>
    <w:rsid w:val="007D2397"/>
    <w:rsid w:val="007D23C2"/>
    <w:rsid w:val="007D24DD"/>
    <w:rsid w:val="007D2570"/>
    <w:rsid w:val="007D26A5"/>
    <w:rsid w:val="007D27A0"/>
    <w:rsid w:val="007D2811"/>
    <w:rsid w:val="007D2825"/>
    <w:rsid w:val="007D2889"/>
    <w:rsid w:val="007D2986"/>
    <w:rsid w:val="007D29B0"/>
    <w:rsid w:val="007D2A02"/>
    <w:rsid w:val="007D2A9C"/>
    <w:rsid w:val="007D2AE0"/>
    <w:rsid w:val="007D2AE2"/>
    <w:rsid w:val="007D2BDA"/>
    <w:rsid w:val="007D2C4C"/>
    <w:rsid w:val="007D2DAA"/>
    <w:rsid w:val="007D30C5"/>
    <w:rsid w:val="007D3144"/>
    <w:rsid w:val="007D3208"/>
    <w:rsid w:val="007D3313"/>
    <w:rsid w:val="007D343B"/>
    <w:rsid w:val="007D353E"/>
    <w:rsid w:val="007D356D"/>
    <w:rsid w:val="007D3742"/>
    <w:rsid w:val="007D37AD"/>
    <w:rsid w:val="007D3AC9"/>
    <w:rsid w:val="007D4323"/>
    <w:rsid w:val="007D432D"/>
    <w:rsid w:val="007D435A"/>
    <w:rsid w:val="007D456D"/>
    <w:rsid w:val="007D4696"/>
    <w:rsid w:val="007D4AB6"/>
    <w:rsid w:val="007D4B13"/>
    <w:rsid w:val="007D4CC6"/>
    <w:rsid w:val="007D4DAE"/>
    <w:rsid w:val="007D4E06"/>
    <w:rsid w:val="007D4FF8"/>
    <w:rsid w:val="007D5535"/>
    <w:rsid w:val="007D55D0"/>
    <w:rsid w:val="007D56DF"/>
    <w:rsid w:val="007D593F"/>
    <w:rsid w:val="007D5B07"/>
    <w:rsid w:val="007D5FED"/>
    <w:rsid w:val="007D6008"/>
    <w:rsid w:val="007D6099"/>
    <w:rsid w:val="007D609E"/>
    <w:rsid w:val="007D60FC"/>
    <w:rsid w:val="007D62D2"/>
    <w:rsid w:val="007D64EB"/>
    <w:rsid w:val="007D6A88"/>
    <w:rsid w:val="007D6A95"/>
    <w:rsid w:val="007D6B55"/>
    <w:rsid w:val="007D6C50"/>
    <w:rsid w:val="007D6D68"/>
    <w:rsid w:val="007D6FD2"/>
    <w:rsid w:val="007D725B"/>
    <w:rsid w:val="007D72D8"/>
    <w:rsid w:val="007D78B1"/>
    <w:rsid w:val="007D7A6E"/>
    <w:rsid w:val="007D7F9F"/>
    <w:rsid w:val="007E0403"/>
    <w:rsid w:val="007E0489"/>
    <w:rsid w:val="007E04A8"/>
    <w:rsid w:val="007E0528"/>
    <w:rsid w:val="007E0897"/>
    <w:rsid w:val="007E0B60"/>
    <w:rsid w:val="007E0D2A"/>
    <w:rsid w:val="007E0DDA"/>
    <w:rsid w:val="007E0ED4"/>
    <w:rsid w:val="007E10A2"/>
    <w:rsid w:val="007E1183"/>
    <w:rsid w:val="007E1221"/>
    <w:rsid w:val="007E1319"/>
    <w:rsid w:val="007E14EE"/>
    <w:rsid w:val="007E188A"/>
    <w:rsid w:val="007E18F2"/>
    <w:rsid w:val="007E193F"/>
    <w:rsid w:val="007E1B2A"/>
    <w:rsid w:val="007E2101"/>
    <w:rsid w:val="007E2127"/>
    <w:rsid w:val="007E21E2"/>
    <w:rsid w:val="007E2240"/>
    <w:rsid w:val="007E23C5"/>
    <w:rsid w:val="007E23D7"/>
    <w:rsid w:val="007E2566"/>
    <w:rsid w:val="007E26AF"/>
    <w:rsid w:val="007E2AE8"/>
    <w:rsid w:val="007E2D9E"/>
    <w:rsid w:val="007E2F21"/>
    <w:rsid w:val="007E2F53"/>
    <w:rsid w:val="007E30CF"/>
    <w:rsid w:val="007E3149"/>
    <w:rsid w:val="007E3441"/>
    <w:rsid w:val="007E3452"/>
    <w:rsid w:val="007E3492"/>
    <w:rsid w:val="007E36BB"/>
    <w:rsid w:val="007E37BC"/>
    <w:rsid w:val="007E38E4"/>
    <w:rsid w:val="007E3A75"/>
    <w:rsid w:val="007E3C3E"/>
    <w:rsid w:val="007E3C49"/>
    <w:rsid w:val="007E3C7F"/>
    <w:rsid w:val="007E3E64"/>
    <w:rsid w:val="007E3FBA"/>
    <w:rsid w:val="007E41F8"/>
    <w:rsid w:val="007E42D1"/>
    <w:rsid w:val="007E470F"/>
    <w:rsid w:val="007E4809"/>
    <w:rsid w:val="007E4902"/>
    <w:rsid w:val="007E490E"/>
    <w:rsid w:val="007E497E"/>
    <w:rsid w:val="007E49AE"/>
    <w:rsid w:val="007E49E2"/>
    <w:rsid w:val="007E4C22"/>
    <w:rsid w:val="007E4C79"/>
    <w:rsid w:val="007E4E56"/>
    <w:rsid w:val="007E52EF"/>
    <w:rsid w:val="007E530A"/>
    <w:rsid w:val="007E5451"/>
    <w:rsid w:val="007E54F8"/>
    <w:rsid w:val="007E5606"/>
    <w:rsid w:val="007E560D"/>
    <w:rsid w:val="007E5A6C"/>
    <w:rsid w:val="007E5B84"/>
    <w:rsid w:val="007E5BC9"/>
    <w:rsid w:val="007E5BFE"/>
    <w:rsid w:val="007E5E51"/>
    <w:rsid w:val="007E5E5A"/>
    <w:rsid w:val="007E5E60"/>
    <w:rsid w:val="007E5E89"/>
    <w:rsid w:val="007E5F4D"/>
    <w:rsid w:val="007E5F95"/>
    <w:rsid w:val="007E618E"/>
    <w:rsid w:val="007E6196"/>
    <w:rsid w:val="007E660B"/>
    <w:rsid w:val="007E671B"/>
    <w:rsid w:val="007E6809"/>
    <w:rsid w:val="007E6854"/>
    <w:rsid w:val="007E68F6"/>
    <w:rsid w:val="007E69F6"/>
    <w:rsid w:val="007E6A53"/>
    <w:rsid w:val="007E6C96"/>
    <w:rsid w:val="007E6CB0"/>
    <w:rsid w:val="007E7018"/>
    <w:rsid w:val="007E706A"/>
    <w:rsid w:val="007E7237"/>
    <w:rsid w:val="007E7288"/>
    <w:rsid w:val="007E761D"/>
    <w:rsid w:val="007E77BB"/>
    <w:rsid w:val="007E7885"/>
    <w:rsid w:val="007E78F7"/>
    <w:rsid w:val="007E7DD3"/>
    <w:rsid w:val="007E7E02"/>
    <w:rsid w:val="007E7F67"/>
    <w:rsid w:val="007E7F7B"/>
    <w:rsid w:val="007F006B"/>
    <w:rsid w:val="007F008F"/>
    <w:rsid w:val="007F00BF"/>
    <w:rsid w:val="007F03D8"/>
    <w:rsid w:val="007F04E6"/>
    <w:rsid w:val="007F0561"/>
    <w:rsid w:val="007F06DC"/>
    <w:rsid w:val="007F0750"/>
    <w:rsid w:val="007F079C"/>
    <w:rsid w:val="007F0832"/>
    <w:rsid w:val="007F0945"/>
    <w:rsid w:val="007F09EE"/>
    <w:rsid w:val="007F0A4B"/>
    <w:rsid w:val="007F0AE9"/>
    <w:rsid w:val="007F0AEE"/>
    <w:rsid w:val="007F0D2B"/>
    <w:rsid w:val="007F0EBA"/>
    <w:rsid w:val="007F0FB2"/>
    <w:rsid w:val="007F0FE5"/>
    <w:rsid w:val="007F1020"/>
    <w:rsid w:val="007F10D5"/>
    <w:rsid w:val="007F1183"/>
    <w:rsid w:val="007F11FB"/>
    <w:rsid w:val="007F13C0"/>
    <w:rsid w:val="007F1458"/>
    <w:rsid w:val="007F160C"/>
    <w:rsid w:val="007F189F"/>
    <w:rsid w:val="007F18E7"/>
    <w:rsid w:val="007F1A2A"/>
    <w:rsid w:val="007F1A8C"/>
    <w:rsid w:val="007F1BFB"/>
    <w:rsid w:val="007F1DC5"/>
    <w:rsid w:val="007F1E9C"/>
    <w:rsid w:val="007F2006"/>
    <w:rsid w:val="007F201F"/>
    <w:rsid w:val="007F2157"/>
    <w:rsid w:val="007F21E6"/>
    <w:rsid w:val="007F22C9"/>
    <w:rsid w:val="007F2345"/>
    <w:rsid w:val="007F248F"/>
    <w:rsid w:val="007F25EA"/>
    <w:rsid w:val="007F2620"/>
    <w:rsid w:val="007F2E61"/>
    <w:rsid w:val="007F2E6A"/>
    <w:rsid w:val="007F2EF1"/>
    <w:rsid w:val="007F2FCC"/>
    <w:rsid w:val="007F317E"/>
    <w:rsid w:val="007F34EA"/>
    <w:rsid w:val="007F358B"/>
    <w:rsid w:val="007F36C8"/>
    <w:rsid w:val="007F36CD"/>
    <w:rsid w:val="007F3915"/>
    <w:rsid w:val="007F3916"/>
    <w:rsid w:val="007F3AD8"/>
    <w:rsid w:val="007F3C8B"/>
    <w:rsid w:val="007F3D45"/>
    <w:rsid w:val="007F4050"/>
    <w:rsid w:val="007F4080"/>
    <w:rsid w:val="007F41A4"/>
    <w:rsid w:val="007F4486"/>
    <w:rsid w:val="007F4624"/>
    <w:rsid w:val="007F49C5"/>
    <w:rsid w:val="007F4A15"/>
    <w:rsid w:val="007F4BC4"/>
    <w:rsid w:val="007F4C4E"/>
    <w:rsid w:val="007F4D14"/>
    <w:rsid w:val="007F4F3D"/>
    <w:rsid w:val="007F5023"/>
    <w:rsid w:val="007F516C"/>
    <w:rsid w:val="007F51C7"/>
    <w:rsid w:val="007F53BC"/>
    <w:rsid w:val="007F5442"/>
    <w:rsid w:val="007F54B1"/>
    <w:rsid w:val="007F554C"/>
    <w:rsid w:val="007F55BD"/>
    <w:rsid w:val="007F5780"/>
    <w:rsid w:val="007F5900"/>
    <w:rsid w:val="007F5FF6"/>
    <w:rsid w:val="007F60C6"/>
    <w:rsid w:val="007F632A"/>
    <w:rsid w:val="007F648A"/>
    <w:rsid w:val="007F66E5"/>
    <w:rsid w:val="007F677F"/>
    <w:rsid w:val="007F68E9"/>
    <w:rsid w:val="007F6B6D"/>
    <w:rsid w:val="007F6C8E"/>
    <w:rsid w:val="007F6CD9"/>
    <w:rsid w:val="007F6D02"/>
    <w:rsid w:val="007F6DA2"/>
    <w:rsid w:val="007F6DB8"/>
    <w:rsid w:val="007F6E7C"/>
    <w:rsid w:val="007F7249"/>
    <w:rsid w:val="007F74F2"/>
    <w:rsid w:val="007F755E"/>
    <w:rsid w:val="007F76C1"/>
    <w:rsid w:val="007F76EF"/>
    <w:rsid w:val="007F77A2"/>
    <w:rsid w:val="007F77B7"/>
    <w:rsid w:val="007F77CD"/>
    <w:rsid w:val="007F780F"/>
    <w:rsid w:val="007F7AAB"/>
    <w:rsid w:val="007F7E3F"/>
    <w:rsid w:val="008001D4"/>
    <w:rsid w:val="0080035B"/>
    <w:rsid w:val="00800384"/>
    <w:rsid w:val="00800494"/>
    <w:rsid w:val="008004DC"/>
    <w:rsid w:val="0080055A"/>
    <w:rsid w:val="0080057E"/>
    <w:rsid w:val="00800709"/>
    <w:rsid w:val="0080074D"/>
    <w:rsid w:val="008007C2"/>
    <w:rsid w:val="00800829"/>
    <w:rsid w:val="0080088F"/>
    <w:rsid w:val="00800965"/>
    <w:rsid w:val="00800993"/>
    <w:rsid w:val="00800B74"/>
    <w:rsid w:val="00800E70"/>
    <w:rsid w:val="00801007"/>
    <w:rsid w:val="00801435"/>
    <w:rsid w:val="00801616"/>
    <w:rsid w:val="00801756"/>
    <w:rsid w:val="008019BC"/>
    <w:rsid w:val="00801A38"/>
    <w:rsid w:val="00801B17"/>
    <w:rsid w:val="00801DBD"/>
    <w:rsid w:val="0080211F"/>
    <w:rsid w:val="00802191"/>
    <w:rsid w:val="008023BD"/>
    <w:rsid w:val="00802593"/>
    <w:rsid w:val="008025CF"/>
    <w:rsid w:val="008026B5"/>
    <w:rsid w:val="00802755"/>
    <w:rsid w:val="00802777"/>
    <w:rsid w:val="008029FD"/>
    <w:rsid w:val="00802A24"/>
    <w:rsid w:val="00802CF8"/>
    <w:rsid w:val="00802D22"/>
    <w:rsid w:val="00802D9F"/>
    <w:rsid w:val="0080356A"/>
    <w:rsid w:val="008036A6"/>
    <w:rsid w:val="008037F2"/>
    <w:rsid w:val="00803948"/>
    <w:rsid w:val="00803992"/>
    <w:rsid w:val="00803A5C"/>
    <w:rsid w:val="00803BF3"/>
    <w:rsid w:val="00803C0E"/>
    <w:rsid w:val="00803CA0"/>
    <w:rsid w:val="00803CC3"/>
    <w:rsid w:val="00803E9E"/>
    <w:rsid w:val="00803EB4"/>
    <w:rsid w:val="00804245"/>
    <w:rsid w:val="00804460"/>
    <w:rsid w:val="0080452C"/>
    <w:rsid w:val="008045CA"/>
    <w:rsid w:val="008046D7"/>
    <w:rsid w:val="008047B2"/>
    <w:rsid w:val="00804853"/>
    <w:rsid w:val="008048C2"/>
    <w:rsid w:val="00804954"/>
    <w:rsid w:val="00804994"/>
    <w:rsid w:val="0080499E"/>
    <w:rsid w:val="00804BDC"/>
    <w:rsid w:val="00804BDE"/>
    <w:rsid w:val="00804D7A"/>
    <w:rsid w:val="00804E57"/>
    <w:rsid w:val="00804F59"/>
    <w:rsid w:val="00804F87"/>
    <w:rsid w:val="008050A2"/>
    <w:rsid w:val="00805534"/>
    <w:rsid w:val="00805562"/>
    <w:rsid w:val="00805618"/>
    <w:rsid w:val="0080566B"/>
    <w:rsid w:val="008056E0"/>
    <w:rsid w:val="00805713"/>
    <w:rsid w:val="00805772"/>
    <w:rsid w:val="00805780"/>
    <w:rsid w:val="00805BD6"/>
    <w:rsid w:val="00805DF0"/>
    <w:rsid w:val="008060AC"/>
    <w:rsid w:val="00806261"/>
    <w:rsid w:val="00806394"/>
    <w:rsid w:val="008063AA"/>
    <w:rsid w:val="00806585"/>
    <w:rsid w:val="0080665E"/>
    <w:rsid w:val="00806691"/>
    <w:rsid w:val="00806763"/>
    <w:rsid w:val="008069D1"/>
    <w:rsid w:val="008069E0"/>
    <w:rsid w:val="00806B5E"/>
    <w:rsid w:val="00806BC8"/>
    <w:rsid w:val="00806C8D"/>
    <w:rsid w:val="00806F74"/>
    <w:rsid w:val="0080742F"/>
    <w:rsid w:val="00807485"/>
    <w:rsid w:val="0080755B"/>
    <w:rsid w:val="00807610"/>
    <w:rsid w:val="00807698"/>
    <w:rsid w:val="008077F1"/>
    <w:rsid w:val="008078FB"/>
    <w:rsid w:val="00807945"/>
    <w:rsid w:val="008079A8"/>
    <w:rsid w:val="00807AD2"/>
    <w:rsid w:val="00807AFF"/>
    <w:rsid w:val="00807B88"/>
    <w:rsid w:val="00807B98"/>
    <w:rsid w:val="00807CAE"/>
    <w:rsid w:val="00807E74"/>
    <w:rsid w:val="00807FB3"/>
    <w:rsid w:val="008101AF"/>
    <w:rsid w:val="00810438"/>
    <w:rsid w:val="00810496"/>
    <w:rsid w:val="00810672"/>
    <w:rsid w:val="008107AC"/>
    <w:rsid w:val="008109B1"/>
    <w:rsid w:val="00810A9C"/>
    <w:rsid w:val="00810B12"/>
    <w:rsid w:val="00810D68"/>
    <w:rsid w:val="00810FD2"/>
    <w:rsid w:val="00810FDA"/>
    <w:rsid w:val="00810FFD"/>
    <w:rsid w:val="0081130A"/>
    <w:rsid w:val="00811473"/>
    <w:rsid w:val="00811743"/>
    <w:rsid w:val="008117C5"/>
    <w:rsid w:val="008118C3"/>
    <w:rsid w:val="00811A4E"/>
    <w:rsid w:val="00811B4A"/>
    <w:rsid w:val="00811CCD"/>
    <w:rsid w:val="00811CD7"/>
    <w:rsid w:val="00811EEA"/>
    <w:rsid w:val="00812207"/>
    <w:rsid w:val="008123FE"/>
    <w:rsid w:val="008127AF"/>
    <w:rsid w:val="00812A4E"/>
    <w:rsid w:val="0081313B"/>
    <w:rsid w:val="00813425"/>
    <w:rsid w:val="0081353E"/>
    <w:rsid w:val="00813559"/>
    <w:rsid w:val="008135BB"/>
    <w:rsid w:val="0081368A"/>
    <w:rsid w:val="0081371F"/>
    <w:rsid w:val="008137BB"/>
    <w:rsid w:val="0081393F"/>
    <w:rsid w:val="00813C8F"/>
    <w:rsid w:val="00813D9C"/>
    <w:rsid w:val="00813E64"/>
    <w:rsid w:val="00813FE3"/>
    <w:rsid w:val="00814000"/>
    <w:rsid w:val="008140DD"/>
    <w:rsid w:val="00814270"/>
    <w:rsid w:val="008145F1"/>
    <w:rsid w:val="0081473B"/>
    <w:rsid w:val="00814795"/>
    <w:rsid w:val="0081495E"/>
    <w:rsid w:val="00814AF8"/>
    <w:rsid w:val="00814CE0"/>
    <w:rsid w:val="00814CEE"/>
    <w:rsid w:val="00814DAD"/>
    <w:rsid w:val="00814EDB"/>
    <w:rsid w:val="00814EF4"/>
    <w:rsid w:val="0081502F"/>
    <w:rsid w:val="008151BD"/>
    <w:rsid w:val="008151DF"/>
    <w:rsid w:val="00815376"/>
    <w:rsid w:val="00815807"/>
    <w:rsid w:val="008158AF"/>
    <w:rsid w:val="0081597F"/>
    <w:rsid w:val="00815A4A"/>
    <w:rsid w:val="00815B76"/>
    <w:rsid w:val="00815C24"/>
    <w:rsid w:val="00815C4D"/>
    <w:rsid w:val="0081602C"/>
    <w:rsid w:val="0081632F"/>
    <w:rsid w:val="00816657"/>
    <w:rsid w:val="00816747"/>
    <w:rsid w:val="0081677E"/>
    <w:rsid w:val="00816826"/>
    <w:rsid w:val="00816A14"/>
    <w:rsid w:val="00816A17"/>
    <w:rsid w:val="00816A1E"/>
    <w:rsid w:val="00816AEC"/>
    <w:rsid w:val="00816B24"/>
    <w:rsid w:val="00816FF1"/>
    <w:rsid w:val="00817045"/>
    <w:rsid w:val="0081726E"/>
    <w:rsid w:val="00817566"/>
    <w:rsid w:val="008175E5"/>
    <w:rsid w:val="00817627"/>
    <w:rsid w:val="00817713"/>
    <w:rsid w:val="0081772B"/>
    <w:rsid w:val="00817733"/>
    <w:rsid w:val="00817A05"/>
    <w:rsid w:val="00817ADE"/>
    <w:rsid w:val="00817B0E"/>
    <w:rsid w:val="00817C9F"/>
    <w:rsid w:val="00817DA4"/>
    <w:rsid w:val="00817E24"/>
    <w:rsid w:val="00820077"/>
    <w:rsid w:val="00820274"/>
    <w:rsid w:val="0082028D"/>
    <w:rsid w:val="00820463"/>
    <w:rsid w:val="00820776"/>
    <w:rsid w:val="00820856"/>
    <w:rsid w:val="00820875"/>
    <w:rsid w:val="0082096D"/>
    <w:rsid w:val="008209B7"/>
    <w:rsid w:val="008209CC"/>
    <w:rsid w:val="00820AE8"/>
    <w:rsid w:val="00820BC7"/>
    <w:rsid w:val="008210E7"/>
    <w:rsid w:val="00821199"/>
    <w:rsid w:val="008211C0"/>
    <w:rsid w:val="00821288"/>
    <w:rsid w:val="00821297"/>
    <w:rsid w:val="008212A8"/>
    <w:rsid w:val="008213FB"/>
    <w:rsid w:val="00821661"/>
    <w:rsid w:val="00821808"/>
    <w:rsid w:val="008218AD"/>
    <w:rsid w:val="00821951"/>
    <w:rsid w:val="00821B6A"/>
    <w:rsid w:val="00821C3B"/>
    <w:rsid w:val="00822165"/>
    <w:rsid w:val="008223CE"/>
    <w:rsid w:val="0082249B"/>
    <w:rsid w:val="0082264E"/>
    <w:rsid w:val="00822AE6"/>
    <w:rsid w:val="00822B47"/>
    <w:rsid w:val="00822B66"/>
    <w:rsid w:val="00822F24"/>
    <w:rsid w:val="00822FF0"/>
    <w:rsid w:val="0082329A"/>
    <w:rsid w:val="00823458"/>
    <w:rsid w:val="00823710"/>
    <w:rsid w:val="00823814"/>
    <w:rsid w:val="008239CD"/>
    <w:rsid w:val="008239F9"/>
    <w:rsid w:val="00823C52"/>
    <w:rsid w:val="00823C62"/>
    <w:rsid w:val="00823C6B"/>
    <w:rsid w:val="00823E45"/>
    <w:rsid w:val="00823FC5"/>
    <w:rsid w:val="00824561"/>
    <w:rsid w:val="0082469C"/>
    <w:rsid w:val="0082486B"/>
    <w:rsid w:val="00824989"/>
    <w:rsid w:val="00824A40"/>
    <w:rsid w:val="00824ABA"/>
    <w:rsid w:val="00824E67"/>
    <w:rsid w:val="0082525E"/>
    <w:rsid w:val="00825345"/>
    <w:rsid w:val="008253E5"/>
    <w:rsid w:val="00825528"/>
    <w:rsid w:val="0082555E"/>
    <w:rsid w:val="00825D48"/>
    <w:rsid w:val="00825EBA"/>
    <w:rsid w:val="00825F09"/>
    <w:rsid w:val="00826007"/>
    <w:rsid w:val="0082614D"/>
    <w:rsid w:val="00826297"/>
    <w:rsid w:val="008263E4"/>
    <w:rsid w:val="008264B4"/>
    <w:rsid w:val="008264FA"/>
    <w:rsid w:val="008265D4"/>
    <w:rsid w:val="00826629"/>
    <w:rsid w:val="0082662A"/>
    <w:rsid w:val="008267A6"/>
    <w:rsid w:val="008268BD"/>
    <w:rsid w:val="008269E2"/>
    <w:rsid w:val="00826CEB"/>
    <w:rsid w:val="00826E4E"/>
    <w:rsid w:val="00826E6F"/>
    <w:rsid w:val="008272C9"/>
    <w:rsid w:val="008274A8"/>
    <w:rsid w:val="00827905"/>
    <w:rsid w:val="00830059"/>
    <w:rsid w:val="00830065"/>
    <w:rsid w:val="00830162"/>
    <w:rsid w:val="0083024C"/>
    <w:rsid w:val="008302EF"/>
    <w:rsid w:val="00830506"/>
    <w:rsid w:val="008306F0"/>
    <w:rsid w:val="00830928"/>
    <w:rsid w:val="0083096C"/>
    <w:rsid w:val="00830A76"/>
    <w:rsid w:val="00830ABD"/>
    <w:rsid w:val="00830C3C"/>
    <w:rsid w:val="00830D21"/>
    <w:rsid w:val="00830EB6"/>
    <w:rsid w:val="0083100E"/>
    <w:rsid w:val="008311D4"/>
    <w:rsid w:val="00831510"/>
    <w:rsid w:val="0083159C"/>
    <w:rsid w:val="00831607"/>
    <w:rsid w:val="008316C2"/>
    <w:rsid w:val="0083187F"/>
    <w:rsid w:val="00831BC2"/>
    <w:rsid w:val="00831F1F"/>
    <w:rsid w:val="00831FCB"/>
    <w:rsid w:val="00832090"/>
    <w:rsid w:val="008320D5"/>
    <w:rsid w:val="008320F8"/>
    <w:rsid w:val="008321A4"/>
    <w:rsid w:val="00832220"/>
    <w:rsid w:val="0083244D"/>
    <w:rsid w:val="0083249D"/>
    <w:rsid w:val="008324C5"/>
    <w:rsid w:val="00832735"/>
    <w:rsid w:val="008327B5"/>
    <w:rsid w:val="00832A65"/>
    <w:rsid w:val="00832C0F"/>
    <w:rsid w:val="00832C42"/>
    <w:rsid w:val="00832D86"/>
    <w:rsid w:val="00832E47"/>
    <w:rsid w:val="00832EB9"/>
    <w:rsid w:val="00833144"/>
    <w:rsid w:val="0083314B"/>
    <w:rsid w:val="00833471"/>
    <w:rsid w:val="008334ED"/>
    <w:rsid w:val="00833802"/>
    <w:rsid w:val="00833A48"/>
    <w:rsid w:val="00833CC4"/>
    <w:rsid w:val="00833D3B"/>
    <w:rsid w:val="00833DA2"/>
    <w:rsid w:val="00833EDF"/>
    <w:rsid w:val="00834494"/>
    <w:rsid w:val="00834582"/>
    <w:rsid w:val="00834599"/>
    <w:rsid w:val="00834701"/>
    <w:rsid w:val="00834763"/>
    <w:rsid w:val="00834857"/>
    <w:rsid w:val="00834B68"/>
    <w:rsid w:val="00834B95"/>
    <w:rsid w:val="00834C7B"/>
    <w:rsid w:val="00834CB7"/>
    <w:rsid w:val="00834CEB"/>
    <w:rsid w:val="00834E12"/>
    <w:rsid w:val="00834E1A"/>
    <w:rsid w:val="00834FC9"/>
    <w:rsid w:val="0083507C"/>
    <w:rsid w:val="0083523B"/>
    <w:rsid w:val="008353CA"/>
    <w:rsid w:val="00835A98"/>
    <w:rsid w:val="00835B14"/>
    <w:rsid w:val="00835CAA"/>
    <w:rsid w:val="00835E50"/>
    <w:rsid w:val="00835F2A"/>
    <w:rsid w:val="00836322"/>
    <w:rsid w:val="00836476"/>
    <w:rsid w:val="00836478"/>
    <w:rsid w:val="0083660A"/>
    <w:rsid w:val="00836685"/>
    <w:rsid w:val="00836A7A"/>
    <w:rsid w:val="00836B36"/>
    <w:rsid w:val="00836BB1"/>
    <w:rsid w:val="00836CB1"/>
    <w:rsid w:val="00836CF7"/>
    <w:rsid w:val="00836D23"/>
    <w:rsid w:val="00836DB6"/>
    <w:rsid w:val="00836DE8"/>
    <w:rsid w:val="00836E0B"/>
    <w:rsid w:val="00836FF7"/>
    <w:rsid w:val="008373FC"/>
    <w:rsid w:val="008378F1"/>
    <w:rsid w:val="00837A42"/>
    <w:rsid w:val="00837B21"/>
    <w:rsid w:val="00837B34"/>
    <w:rsid w:val="00837DDB"/>
    <w:rsid w:val="00840059"/>
    <w:rsid w:val="008405F0"/>
    <w:rsid w:val="00840657"/>
    <w:rsid w:val="0084075D"/>
    <w:rsid w:val="00840772"/>
    <w:rsid w:val="008407C0"/>
    <w:rsid w:val="008407D9"/>
    <w:rsid w:val="008407E2"/>
    <w:rsid w:val="00840AC3"/>
    <w:rsid w:val="00840BC9"/>
    <w:rsid w:val="00840CAE"/>
    <w:rsid w:val="00841131"/>
    <w:rsid w:val="00841213"/>
    <w:rsid w:val="008413FF"/>
    <w:rsid w:val="008414A2"/>
    <w:rsid w:val="00841848"/>
    <w:rsid w:val="00841850"/>
    <w:rsid w:val="00841BA9"/>
    <w:rsid w:val="00841D90"/>
    <w:rsid w:val="00841DBC"/>
    <w:rsid w:val="00841DD6"/>
    <w:rsid w:val="00841F78"/>
    <w:rsid w:val="00841FEC"/>
    <w:rsid w:val="008420E1"/>
    <w:rsid w:val="00842107"/>
    <w:rsid w:val="00842156"/>
    <w:rsid w:val="0084225B"/>
    <w:rsid w:val="008422CF"/>
    <w:rsid w:val="0084240E"/>
    <w:rsid w:val="0084246D"/>
    <w:rsid w:val="0084272E"/>
    <w:rsid w:val="0084283F"/>
    <w:rsid w:val="00842B20"/>
    <w:rsid w:val="00842B3F"/>
    <w:rsid w:val="00842DD2"/>
    <w:rsid w:val="00842EA6"/>
    <w:rsid w:val="008431CF"/>
    <w:rsid w:val="008433BF"/>
    <w:rsid w:val="0084342E"/>
    <w:rsid w:val="00843492"/>
    <w:rsid w:val="008436B3"/>
    <w:rsid w:val="00843736"/>
    <w:rsid w:val="00843791"/>
    <w:rsid w:val="00843846"/>
    <w:rsid w:val="00843915"/>
    <w:rsid w:val="008439E9"/>
    <w:rsid w:val="00843BE1"/>
    <w:rsid w:val="00843C90"/>
    <w:rsid w:val="00843CEC"/>
    <w:rsid w:val="00843D94"/>
    <w:rsid w:val="00843E1D"/>
    <w:rsid w:val="00843ED8"/>
    <w:rsid w:val="00843F57"/>
    <w:rsid w:val="00843FD3"/>
    <w:rsid w:val="0084409E"/>
    <w:rsid w:val="00844155"/>
    <w:rsid w:val="008441B0"/>
    <w:rsid w:val="00844239"/>
    <w:rsid w:val="00844444"/>
    <w:rsid w:val="00844638"/>
    <w:rsid w:val="0084479A"/>
    <w:rsid w:val="00844BA4"/>
    <w:rsid w:val="00844D52"/>
    <w:rsid w:val="00844D68"/>
    <w:rsid w:val="00844E84"/>
    <w:rsid w:val="00844F34"/>
    <w:rsid w:val="00844F86"/>
    <w:rsid w:val="00845502"/>
    <w:rsid w:val="00845582"/>
    <w:rsid w:val="00845590"/>
    <w:rsid w:val="00845631"/>
    <w:rsid w:val="008456F7"/>
    <w:rsid w:val="0084592A"/>
    <w:rsid w:val="00845981"/>
    <w:rsid w:val="00845B19"/>
    <w:rsid w:val="00845B7D"/>
    <w:rsid w:val="00845C79"/>
    <w:rsid w:val="00845CD2"/>
    <w:rsid w:val="00845D04"/>
    <w:rsid w:val="00845F22"/>
    <w:rsid w:val="00845FC3"/>
    <w:rsid w:val="008461C2"/>
    <w:rsid w:val="00846211"/>
    <w:rsid w:val="00846256"/>
    <w:rsid w:val="00846534"/>
    <w:rsid w:val="00846555"/>
    <w:rsid w:val="00846776"/>
    <w:rsid w:val="0084687C"/>
    <w:rsid w:val="00846998"/>
    <w:rsid w:val="00846A37"/>
    <w:rsid w:val="00846B0F"/>
    <w:rsid w:val="00846C3F"/>
    <w:rsid w:val="00846CE3"/>
    <w:rsid w:val="00846F1E"/>
    <w:rsid w:val="00846F33"/>
    <w:rsid w:val="00847220"/>
    <w:rsid w:val="00847426"/>
    <w:rsid w:val="00847442"/>
    <w:rsid w:val="00847496"/>
    <w:rsid w:val="008475C0"/>
    <w:rsid w:val="0084768B"/>
    <w:rsid w:val="0084768D"/>
    <w:rsid w:val="008476FF"/>
    <w:rsid w:val="00847700"/>
    <w:rsid w:val="00847CCA"/>
    <w:rsid w:val="00847CE2"/>
    <w:rsid w:val="00847D20"/>
    <w:rsid w:val="00847E56"/>
    <w:rsid w:val="008500C1"/>
    <w:rsid w:val="00850276"/>
    <w:rsid w:val="008503A4"/>
    <w:rsid w:val="008504C3"/>
    <w:rsid w:val="00850682"/>
    <w:rsid w:val="008506A1"/>
    <w:rsid w:val="00850A89"/>
    <w:rsid w:val="00850BB1"/>
    <w:rsid w:val="00850DA1"/>
    <w:rsid w:val="00850E85"/>
    <w:rsid w:val="00850E90"/>
    <w:rsid w:val="0085107E"/>
    <w:rsid w:val="0085109A"/>
    <w:rsid w:val="00851152"/>
    <w:rsid w:val="008514FB"/>
    <w:rsid w:val="008515A3"/>
    <w:rsid w:val="008516BF"/>
    <w:rsid w:val="00851907"/>
    <w:rsid w:val="00851944"/>
    <w:rsid w:val="00851B9C"/>
    <w:rsid w:val="00851BD2"/>
    <w:rsid w:val="00851C40"/>
    <w:rsid w:val="00851CC7"/>
    <w:rsid w:val="00851D57"/>
    <w:rsid w:val="00851DB3"/>
    <w:rsid w:val="00851E10"/>
    <w:rsid w:val="00851E87"/>
    <w:rsid w:val="00851FEB"/>
    <w:rsid w:val="0085204B"/>
    <w:rsid w:val="0085208D"/>
    <w:rsid w:val="0085231E"/>
    <w:rsid w:val="00852366"/>
    <w:rsid w:val="00852400"/>
    <w:rsid w:val="00852668"/>
    <w:rsid w:val="0085297B"/>
    <w:rsid w:val="00852AD1"/>
    <w:rsid w:val="00852B0B"/>
    <w:rsid w:val="00852BEB"/>
    <w:rsid w:val="00852DA2"/>
    <w:rsid w:val="00852EE5"/>
    <w:rsid w:val="00853104"/>
    <w:rsid w:val="00853356"/>
    <w:rsid w:val="008535FA"/>
    <w:rsid w:val="008536A9"/>
    <w:rsid w:val="00853773"/>
    <w:rsid w:val="00853AE5"/>
    <w:rsid w:val="00853E59"/>
    <w:rsid w:val="00853FBE"/>
    <w:rsid w:val="00854048"/>
    <w:rsid w:val="008540AF"/>
    <w:rsid w:val="00854333"/>
    <w:rsid w:val="00854424"/>
    <w:rsid w:val="00854641"/>
    <w:rsid w:val="0085466D"/>
    <w:rsid w:val="008546D1"/>
    <w:rsid w:val="008546F2"/>
    <w:rsid w:val="0085486A"/>
    <w:rsid w:val="0085489C"/>
    <w:rsid w:val="00854900"/>
    <w:rsid w:val="00854A76"/>
    <w:rsid w:val="00854DAC"/>
    <w:rsid w:val="00854F78"/>
    <w:rsid w:val="00855151"/>
    <w:rsid w:val="008551DA"/>
    <w:rsid w:val="008552A7"/>
    <w:rsid w:val="00855336"/>
    <w:rsid w:val="008554F0"/>
    <w:rsid w:val="00855776"/>
    <w:rsid w:val="00855802"/>
    <w:rsid w:val="0085584F"/>
    <w:rsid w:val="008558C7"/>
    <w:rsid w:val="00855A10"/>
    <w:rsid w:val="00855AC3"/>
    <w:rsid w:val="00855B8D"/>
    <w:rsid w:val="00855C14"/>
    <w:rsid w:val="00855D5C"/>
    <w:rsid w:val="00855DA4"/>
    <w:rsid w:val="00855E0A"/>
    <w:rsid w:val="00855F2A"/>
    <w:rsid w:val="00855F7B"/>
    <w:rsid w:val="00855FCC"/>
    <w:rsid w:val="008560CE"/>
    <w:rsid w:val="00856325"/>
    <w:rsid w:val="00856335"/>
    <w:rsid w:val="008563B4"/>
    <w:rsid w:val="008564AD"/>
    <w:rsid w:val="00856585"/>
    <w:rsid w:val="00856597"/>
    <w:rsid w:val="0085659D"/>
    <w:rsid w:val="008565DC"/>
    <w:rsid w:val="00856622"/>
    <w:rsid w:val="0085679C"/>
    <w:rsid w:val="00856A02"/>
    <w:rsid w:val="00856DB7"/>
    <w:rsid w:val="00856ED9"/>
    <w:rsid w:val="00856F2A"/>
    <w:rsid w:val="00856F66"/>
    <w:rsid w:val="00856F8D"/>
    <w:rsid w:val="008570B5"/>
    <w:rsid w:val="008575C2"/>
    <w:rsid w:val="00857766"/>
    <w:rsid w:val="00857B73"/>
    <w:rsid w:val="00857BC5"/>
    <w:rsid w:val="00857C51"/>
    <w:rsid w:val="00857CAA"/>
    <w:rsid w:val="00857D23"/>
    <w:rsid w:val="00857D58"/>
    <w:rsid w:val="00860421"/>
    <w:rsid w:val="008607A2"/>
    <w:rsid w:val="008607A7"/>
    <w:rsid w:val="00860AE8"/>
    <w:rsid w:val="00860B29"/>
    <w:rsid w:val="00860CEF"/>
    <w:rsid w:val="00860F20"/>
    <w:rsid w:val="00860FA5"/>
    <w:rsid w:val="008611F0"/>
    <w:rsid w:val="008612F3"/>
    <w:rsid w:val="0086187D"/>
    <w:rsid w:val="00861885"/>
    <w:rsid w:val="008619FD"/>
    <w:rsid w:val="00861EA8"/>
    <w:rsid w:val="00861EBC"/>
    <w:rsid w:val="00861F1A"/>
    <w:rsid w:val="00861FAE"/>
    <w:rsid w:val="0086210E"/>
    <w:rsid w:val="008621DE"/>
    <w:rsid w:val="008625A7"/>
    <w:rsid w:val="008626C4"/>
    <w:rsid w:val="00862845"/>
    <w:rsid w:val="008628AE"/>
    <w:rsid w:val="00862BE1"/>
    <w:rsid w:val="00862D1D"/>
    <w:rsid w:val="00862DAB"/>
    <w:rsid w:val="00862E52"/>
    <w:rsid w:val="00862E71"/>
    <w:rsid w:val="00862F5E"/>
    <w:rsid w:val="008630B2"/>
    <w:rsid w:val="0086322A"/>
    <w:rsid w:val="0086354C"/>
    <w:rsid w:val="008635B7"/>
    <w:rsid w:val="0086372C"/>
    <w:rsid w:val="0086374B"/>
    <w:rsid w:val="00863948"/>
    <w:rsid w:val="00863A1B"/>
    <w:rsid w:val="00863FD3"/>
    <w:rsid w:val="008640C5"/>
    <w:rsid w:val="008641F4"/>
    <w:rsid w:val="008641F9"/>
    <w:rsid w:val="00864214"/>
    <w:rsid w:val="00864283"/>
    <w:rsid w:val="008642D7"/>
    <w:rsid w:val="008649F6"/>
    <w:rsid w:val="00864A93"/>
    <w:rsid w:val="00864B60"/>
    <w:rsid w:val="00864D96"/>
    <w:rsid w:val="00864E1C"/>
    <w:rsid w:val="00864E44"/>
    <w:rsid w:val="00864F7A"/>
    <w:rsid w:val="00865091"/>
    <w:rsid w:val="008651CD"/>
    <w:rsid w:val="00865298"/>
    <w:rsid w:val="00865311"/>
    <w:rsid w:val="0086533F"/>
    <w:rsid w:val="008653C2"/>
    <w:rsid w:val="00865716"/>
    <w:rsid w:val="00865862"/>
    <w:rsid w:val="008658FE"/>
    <w:rsid w:val="00865E58"/>
    <w:rsid w:val="00865E82"/>
    <w:rsid w:val="00865EAE"/>
    <w:rsid w:val="00866049"/>
    <w:rsid w:val="008662C9"/>
    <w:rsid w:val="008665A4"/>
    <w:rsid w:val="0086670E"/>
    <w:rsid w:val="0086681F"/>
    <w:rsid w:val="00866A9E"/>
    <w:rsid w:val="00866B11"/>
    <w:rsid w:val="00866CE2"/>
    <w:rsid w:val="00866FBD"/>
    <w:rsid w:val="00867212"/>
    <w:rsid w:val="0086731E"/>
    <w:rsid w:val="008678A8"/>
    <w:rsid w:val="00867A8D"/>
    <w:rsid w:val="00867A9C"/>
    <w:rsid w:val="00867B4E"/>
    <w:rsid w:val="00867DC5"/>
    <w:rsid w:val="00867DE1"/>
    <w:rsid w:val="00867E4D"/>
    <w:rsid w:val="008700C6"/>
    <w:rsid w:val="008702E5"/>
    <w:rsid w:val="00870529"/>
    <w:rsid w:val="00870660"/>
    <w:rsid w:val="008707D1"/>
    <w:rsid w:val="00870815"/>
    <w:rsid w:val="008708B1"/>
    <w:rsid w:val="00870980"/>
    <w:rsid w:val="00870A26"/>
    <w:rsid w:val="00870A5B"/>
    <w:rsid w:val="00870A69"/>
    <w:rsid w:val="00870B43"/>
    <w:rsid w:val="00871255"/>
    <w:rsid w:val="00871286"/>
    <w:rsid w:val="00871564"/>
    <w:rsid w:val="00871A3E"/>
    <w:rsid w:val="00871BAA"/>
    <w:rsid w:val="00871C17"/>
    <w:rsid w:val="00871D11"/>
    <w:rsid w:val="00871D53"/>
    <w:rsid w:val="00872180"/>
    <w:rsid w:val="008721D0"/>
    <w:rsid w:val="00872604"/>
    <w:rsid w:val="008728B6"/>
    <w:rsid w:val="008728B7"/>
    <w:rsid w:val="00872B1B"/>
    <w:rsid w:val="00872F39"/>
    <w:rsid w:val="0087306B"/>
    <w:rsid w:val="00873263"/>
    <w:rsid w:val="00873309"/>
    <w:rsid w:val="00873329"/>
    <w:rsid w:val="008734E7"/>
    <w:rsid w:val="00873665"/>
    <w:rsid w:val="008737AC"/>
    <w:rsid w:val="008737D9"/>
    <w:rsid w:val="008737F6"/>
    <w:rsid w:val="00873AA2"/>
    <w:rsid w:val="00873C5D"/>
    <w:rsid w:val="00873C92"/>
    <w:rsid w:val="00873DD3"/>
    <w:rsid w:val="00873E39"/>
    <w:rsid w:val="008740EA"/>
    <w:rsid w:val="00874107"/>
    <w:rsid w:val="0087414F"/>
    <w:rsid w:val="008741AC"/>
    <w:rsid w:val="008741AD"/>
    <w:rsid w:val="00874305"/>
    <w:rsid w:val="00874426"/>
    <w:rsid w:val="008745B0"/>
    <w:rsid w:val="0087465F"/>
    <w:rsid w:val="008748B2"/>
    <w:rsid w:val="0087490D"/>
    <w:rsid w:val="0087498E"/>
    <w:rsid w:val="00874A9F"/>
    <w:rsid w:val="00874B8F"/>
    <w:rsid w:val="00874F0F"/>
    <w:rsid w:val="0087516C"/>
    <w:rsid w:val="0087533F"/>
    <w:rsid w:val="00875398"/>
    <w:rsid w:val="00875493"/>
    <w:rsid w:val="0087554A"/>
    <w:rsid w:val="0087563A"/>
    <w:rsid w:val="00875659"/>
    <w:rsid w:val="0087583E"/>
    <w:rsid w:val="00875866"/>
    <w:rsid w:val="00875CE6"/>
    <w:rsid w:val="00875D76"/>
    <w:rsid w:val="00875E49"/>
    <w:rsid w:val="0087602F"/>
    <w:rsid w:val="008762D0"/>
    <w:rsid w:val="008762D3"/>
    <w:rsid w:val="008765B1"/>
    <w:rsid w:val="00876CDC"/>
    <w:rsid w:val="00876F52"/>
    <w:rsid w:val="00876F6D"/>
    <w:rsid w:val="00876F89"/>
    <w:rsid w:val="008772C2"/>
    <w:rsid w:val="00877346"/>
    <w:rsid w:val="00877509"/>
    <w:rsid w:val="00877FBC"/>
    <w:rsid w:val="008800AD"/>
    <w:rsid w:val="0088016B"/>
    <w:rsid w:val="00880486"/>
    <w:rsid w:val="008804C5"/>
    <w:rsid w:val="0088060C"/>
    <w:rsid w:val="0088077D"/>
    <w:rsid w:val="00880AA2"/>
    <w:rsid w:val="00880C9C"/>
    <w:rsid w:val="00880D64"/>
    <w:rsid w:val="00880E55"/>
    <w:rsid w:val="00881066"/>
    <w:rsid w:val="008812B1"/>
    <w:rsid w:val="0088138B"/>
    <w:rsid w:val="00881572"/>
    <w:rsid w:val="008815FE"/>
    <w:rsid w:val="0088160C"/>
    <w:rsid w:val="00881972"/>
    <w:rsid w:val="00881A88"/>
    <w:rsid w:val="00881C30"/>
    <w:rsid w:val="00881F12"/>
    <w:rsid w:val="00881F3E"/>
    <w:rsid w:val="0088214B"/>
    <w:rsid w:val="0088236E"/>
    <w:rsid w:val="008824CA"/>
    <w:rsid w:val="008828B3"/>
    <w:rsid w:val="00882A22"/>
    <w:rsid w:val="00882C61"/>
    <w:rsid w:val="00882C70"/>
    <w:rsid w:val="00882C7D"/>
    <w:rsid w:val="00882E94"/>
    <w:rsid w:val="00883094"/>
    <w:rsid w:val="00883283"/>
    <w:rsid w:val="0088333A"/>
    <w:rsid w:val="00883397"/>
    <w:rsid w:val="008835C1"/>
    <w:rsid w:val="008836D4"/>
    <w:rsid w:val="0088377F"/>
    <w:rsid w:val="00883918"/>
    <w:rsid w:val="008839E0"/>
    <w:rsid w:val="00883AD8"/>
    <w:rsid w:val="00883AE6"/>
    <w:rsid w:val="00883BCA"/>
    <w:rsid w:val="00883F55"/>
    <w:rsid w:val="00883FC9"/>
    <w:rsid w:val="0088419B"/>
    <w:rsid w:val="008845E8"/>
    <w:rsid w:val="0088488C"/>
    <w:rsid w:val="00884B0A"/>
    <w:rsid w:val="00884CF2"/>
    <w:rsid w:val="00884F39"/>
    <w:rsid w:val="008850FA"/>
    <w:rsid w:val="00885109"/>
    <w:rsid w:val="008853C1"/>
    <w:rsid w:val="0088548B"/>
    <w:rsid w:val="0088548E"/>
    <w:rsid w:val="0088557C"/>
    <w:rsid w:val="00885593"/>
    <w:rsid w:val="00885B70"/>
    <w:rsid w:val="00885BBD"/>
    <w:rsid w:val="00885C0B"/>
    <w:rsid w:val="00885C2F"/>
    <w:rsid w:val="00885C4F"/>
    <w:rsid w:val="00885CC5"/>
    <w:rsid w:val="00885FBF"/>
    <w:rsid w:val="0088603F"/>
    <w:rsid w:val="00886046"/>
    <w:rsid w:val="008861C5"/>
    <w:rsid w:val="0088643D"/>
    <w:rsid w:val="00886473"/>
    <w:rsid w:val="00886526"/>
    <w:rsid w:val="008865CE"/>
    <w:rsid w:val="008865D4"/>
    <w:rsid w:val="00886635"/>
    <w:rsid w:val="00886675"/>
    <w:rsid w:val="00886791"/>
    <w:rsid w:val="0088684F"/>
    <w:rsid w:val="008869E6"/>
    <w:rsid w:val="00886A2D"/>
    <w:rsid w:val="00886AAF"/>
    <w:rsid w:val="00886AD0"/>
    <w:rsid w:val="00886AEE"/>
    <w:rsid w:val="00886B5A"/>
    <w:rsid w:val="00886BCD"/>
    <w:rsid w:val="00886CD7"/>
    <w:rsid w:val="00886EAC"/>
    <w:rsid w:val="008872AA"/>
    <w:rsid w:val="00887537"/>
    <w:rsid w:val="00887931"/>
    <w:rsid w:val="00887ABA"/>
    <w:rsid w:val="00887AD1"/>
    <w:rsid w:val="00887B45"/>
    <w:rsid w:val="00887DDC"/>
    <w:rsid w:val="00887F60"/>
    <w:rsid w:val="00887FA5"/>
    <w:rsid w:val="00890003"/>
    <w:rsid w:val="0089005E"/>
    <w:rsid w:val="00890067"/>
    <w:rsid w:val="0089058A"/>
    <w:rsid w:val="008906FA"/>
    <w:rsid w:val="008906FE"/>
    <w:rsid w:val="00890727"/>
    <w:rsid w:val="00890755"/>
    <w:rsid w:val="00890A82"/>
    <w:rsid w:val="00890D67"/>
    <w:rsid w:val="0089105C"/>
    <w:rsid w:val="0089119B"/>
    <w:rsid w:val="0089124F"/>
    <w:rsid w:val="008913B7"/>
    <w:rsid w:val="00891585"/>
    <w:rsid w:val="00891638"/>
    <w:rsid w:val="0089187C"/>
    <w:rsid w:val="00891A58"/>
    <w:rsid w:val="00891B55"/>
    <w:rsid w:val="00891BD1"/>
    <w:rsid w:val="00891BD8"/>
    <w:rsid w:val="00891D58"/>
    <w:rsid w:val="00892098"/>
    <w:rsid w:val="00892209"/>
    <w:rsid w:val="0089287D"/>
    <w:rsid w:val="00892904"/>
    <w:rsid w:val="008929B7"/>
    <w:rsid w:val="008929C2"/>
    <w:rsid w:val="00892A33"/>
    <w:rsid w:val="00892AC9"/>
    <w:rsid w:val="00892CFD"/>
    <w:rsid w:val="00892D8B"/>
    <w:rsid w:val="008931AC"/>
    <w:rsid w:val="00893217"/>
    <w:rsid w:val="0089327D"/>
    <w:rsid w:val="008932D5"/>
    <w:rsid w:val="00893317"/>
    <w:rsid w:val="0089346F"/>
    <w:rsid w:val="00893636"/>
    <w:rsid w:val="00893770"/>
    <w:rsid w:val="008937F4"/>
    <w:rsid w:val="00893A03"/>
    <w:rsid w:val="00893A3A"/>
    <w:rsid w:val="00893AAD"/>
    <w:rsid w:val="00893BBD"/>
    <w:rsid w:val="00893CFC"/>
    <w:rsid w:val="00893D51"/>
    <w:rsid w:val="00893EBD"/>
    <w:rsid w:val="00894226"/>
    <w:rsid w:val="00894B0C"/>
    <w:rsid w:val="00894B94"/>
    <w:rsid w:val="00894C39"/>
    <w:rsid w:val="00894CBF"/>
    <w:rsid w:val="00894D0F"/>
    <w:rsid w:val="00894D32"/>
    <w:rsid w:val="00894E49"/>
    <w:rsid w:val="00894ED9"/>
    <w:rsid w:val="008950A9"/>
    <w:rsid w:val="008952A9"/>
    <w:rsid w:val="008952F1"/>
    <w:rsid w:val="0089555C"/>
    <w:rsid w:val="00895614"/>
    <w:rsid w:val="00895889"/>
    <w:rsid w:val="008958BF"/>
    <w:rsid w:val="00895EB6"/>
    <w:rsid w:val="0089600F"/>
    <w:rsid w:val="008960B6"/>
    <w:rsid w:val="00896287"/>
    <w:rsid w:val="008964B2"/>
    <w:rsid w:val="00896579"/>
    <w:rsid w:val="008965AF"/>
    <w:rsid w:val="008967C8"/>
    <w:rsid w:val="008967F4"/>
    <w:rsid w:val="008967FB"/>
    <w:rsid w:val="00896826"/>
    <w:rsid w:val="0089683B"/>
    <w:rsid w:val="00896910"/>
    <w:rsid w:val="00896A1F"/>
    <w:rsid w:val="00896A23"/>
    <w:rsid w:val="00896A68"/>
    <w:rsid w:val="00896AB4"/>
    <w:rsid w:val="00896B1C"/>
    <w:rsid w:val="00896D5F"/>
    <w:rsid w:val="00896E51"/>
    <w:rsid w:val="00896EE9"/>
    <w:rsid w:val="00897038"/>
    <w:rsid w:val="008974AC"/>
    <w:rsid w:val="008974CD"/>
    <w:rsid w:val="0089754A"/>
    <w:rsid w:val="008976A7"/>
    <w:rsid w:val="008976FF"/>
    <w:rsid w:val="00897920"/>
    <w:rsid w:val="008979C8"/>
    <w:rsid w:val="00897B91"/>
    <w:rsid w:val="00897BA0"/>
    <w:rsid w:val="00897C52"/>
    <w:rsid w:val="00897C9D"/>
    <w:rsid w:val="008A0088"/>
    <w:rsid w:val="008A03BE"/>
    <w:rsid w:val="008A04C3"/>
    <w:rsid w:val="008A08AF"/>
    <w:rsid w:val="008A0AA5"/>
    <w:rsid w:val="008A0B1F"/>
    <w:rsid w:val="008A0C49"/>
    <w:rsid w:val="008A0FC4"/>
    <w:rsid w:val="008A10B6"/>
    <w:rsid w:val="008A11FF"/>
    <w:rsid w:val="008A1239"/>
    <w:rsid w:val="008A14B2"/>
    <w:rsid w:val="008A1858"/>
    <w:rsid w:val="008A1958"/>
    <w:rsid w:val="008A1A42"/>
    <w:rsid w:val="008A1C50"/>
    <w:rsid w:val="008A1F04"/>
    <w:rsid w:val="008A2158"/>
    <w:rsid w:val="008A23C0"/>
    <w:rsid w:val="008A2480"/>
    <w:rsid w:val="008A260D"/>
    <w:rsid w:val="008A2648"/>
    <w:rsid w:val="008A26D6"/>
    <w:rsid w:val="008A2AB2"/>
    <w:rsid w:val="008A2DC7"/>
    <w:rsid w:val="008A2F74"/>
    <w:rsid w:val="008A2F81"/>
    <w:rsid w:val="008A3352"/>
    <w:rsid w:val="008A381F"/>
    <w:rsid w:val="008A3A8B"/>
    <w:rsid w:val="008A3C28"/>
    <w:rsid w:val="008A3E12"/>
    <w:rsid w:val="008A3FB3"/>
    <w:rsid w:val="008A406C"/>
    <w:rsid w:val="008A41F2"/>
    <w:rsid w:val="008A4244"/>
    <w:rsid w:val="008A4471"/>
    <w:rsid w:val="008A447B"/>
    <w:rsid w:val="008A4562"/>
    <w:rsid w:val="008A45F0"/>
    <w:rsid w:val="008A4AE5"/>
    <w:rsid w:val="008A4B52"/>
    <w:rsid w:val="008A4B71"/>
    <w:rsid w:val="008A503E"/>
    <w:rsid w:val="008A50A1"/>
    <w:rsid w:val="008A50FF"/>
    <w:rsid w:val="008A51E4"/>
    <w:rsid w:val="008A550F"/>
    <w:rsid w:val="008A5678"/>
    <w:rsid w:val="008A56A4"/>
    <w:rsid w:val="008A56F0"/>
    <w:rsid w:val="008A572F"/>
    <w:rsid w:val="008A5871"/>
    <w:rsid w:val="008A59A2"/>
    <w:rsid w:val="008A5A90"/>
    <w:rsid w:val="008A5E99"/>
    <w:rsid w:val="008A5ED0"/>
    <w:rsid w:val="008A6125"/>
    <w:rsid w:val="008A627B"/>
    <w:rsid w:val="008A63DD"/>
    <w:rsid w:val="008A6530"/>
    <w:rsid w:val="008A65F7"/>
    <w:rsid w:val="008A65FC"/>
    <w:rsid w:val="008A6779"/>
    <w:rsid w:val="008A67C3"/>
    <w:rsid w:val="008A6866"/>
    <w:rsid w:val="008A6892"/>
    <w:rsid w:val="008A6951"/>
    <w:rsid w:val="008A6B6A"/>
    <w:rsid w:val="008A6D6B"/>
    <w:rsid w:val="008A6DD5"/>
    <w:rsid w:val="008A6E38"/>
    <w:rsid w:val="008A72BE"/>
    <w:rsid w:val="008A72DF"/>
    <w:rsid w:val="008A76F2"/>
    <w:rsid w:val="008A7811"/>
    <w:rsid w:val="008A78BD"/>
    <w:rsid w:val="008A7C93"/>
    <w:rsid w:val="008B0182"/>
    <w:rsid w:val="008B01EA"/>
    <w:rsid w:val="008B047E"/>
    <w:rsid w:val="008B059E"/>
    <w:rsid w:val="008B05FD"/>
    <w:rsid w:val="008B0608"/>
    <w:rsid w:val="008B0651"/>
    <w:rsid w:val="008B08F8"/>
    <w:rsid w:val="008B0C7E"/>
    <w:rsid w:val="008B0C9D"/>
    <w:rsid w:val="008B0D30"/>
    <w:rsid w:val="008B0D40"/>
    <w:rsid w:val="008B0E1F"/>
    <w:rsid w:val="008B0E7E"/>
    <w:rsid w:val="008B0E98"/>
    <w:rsid w:val="008B1338"/>
    <w:rsid w:val="008B13AD"/>
    <w:rsid w:val="008B151D"/>
    <w:rsid w:val="008B1571"/>
    <w:rsid w:val="008B160A"/>
    <w:rsid w:val="008B1B3E"/>
    <w:rsid w:val="008B1C3E"/>
    <w:rsid w:val="008B1C8E"/>
    <w:rsid w:val="008B1CE5"/>
    <w:rsid w:val="008B1DAF"/>
    <w:rsid w:val="008B1E22"/>
    <w:rsid w:val="008B1EF8"/>
    <w:rsid w:val="008B1FE1"/>
    <w:rsid w:val="008B1FE9"/>
    <w:rsid w:val="008B204F"/>
    <w:rsid w:val="008B2059"/>
    <w:rsid w:val="008B224B"/>
    <w:rsid w:val="008B22B4"/>
    <w:rsid w:val="008B22DA"/>
    <w:rsid w:val="008B25A7"/>
    <w:rsid w:val="008B2686"/>
    <w:rsid w:val="008B2874"/>
    <w:rsid w:val="008B2938"/>
    <w:rsid w:val="008B2A6D"/>
    <w:rsid w:val="008B2AAC"/>
    <w:rsid w:val="008B2DE1"/>
    <w:rsid w:val="008B2F98"/>
    <w:rsid w:val="008B31EB"/>
    <w:rsid w:val="008B320C"/>
    <w:rsid w:val="008B3288"/>
    <w:rsid w:val="008B34FF"/>
    <w:rsid w:val="008B3751"/>
    <w:rsid w:val="008B3B37"/>
    <w:rsid w:val="008B3BD3"/>
    <w:rsid w:val="008B3BDB"/>
    <w:rsid w:val="008B3BE2"/>
    <w:rsid w:val="008B3C75"/>
    <w:rsid w:val="008B3DCC"/>
    <w:rsid w:val="008B3DD0"/>
    <w:rsid w:val="008B3E86"/>
    <w:rsid w:val="008B4038"/>
    <w:rsid w:val="008B4A0E"/>
    <w:rsid w:val="008B4A87"/>
    <w:rsid w:val="008B4BA3"/>
    <w:rsid w:val="008B4C52"/>
    <w:rsid w:val="008B4C56"/>
    <w:rsid w:val="008B4D61"/>
    <w:rsid w:val="008B4FE6"/>
    <w:rsid w:val="008B5330"/>
    <w:rsid w:val="008B53E8"/>
    <w:rsid w:val="008B5603"/>
    <w:rsid w:val="008B5D54"/>
    <w:rsid w:val="008B5D5C"/>
    <w:rsid w:val="008B5D7F"/>
    <w:rsid w:val="008B5ECE"/>
    <w:rsid w:val="008B6122"/>
    <w:rsid w:val="008B66A7"/>
    <w:rsid w:val="008B6845"/>
    <w:rsid w:val="008B6887"/>
    <w:rsid w:val="008B6911"/>
    <w:rsid w:val="008B6B90"/>
    <w:rsid w:val="008B6C1D"/>
    <w:rsid w:val="008B6DA2"/>
    <w:rsid w:val="008B6F0A"/>
    <w:rsid w:val="008B71D1"/>
    <w:rsid w:val="008B71D9"/>
    <w:rsid w:val="008B7377"/>
    <w:rsid w:val="008B74C7"/>
    <w:rsid w:val="008B766E"/>
    <w:rsid w:val="008B788A"/>
    <w:rsid w:val="008B7900"/>
    <w:rsid w:val="008B7B5F"/>
    <w:rsid w:val="008B7B7F"/>
    <w:rsid w:val="008B7D2A"/>
    <w:rsid w:val="008B7FA6"/>
    <w:rsid w:val="008C0167"/>
    <w:rsid w:val="008C02DB"/>
    <w:rsid w:val="008C0420"/>
    <w:rsid w:val="008C069F"/>
    <w:rsid w:val="008C06BB"/>
    <w:rsid w:val="008C07A2"/>
    <w:rsid w:val="008C0921"/>
    <w:rsid w:val="008C0A35"/>
    <w:rsid w:val="008C0ADE"/>
    <w:rsid w:val="008C0C16"/>
    <w:rsid w:val="008C0DFF"/>
    <w:rsid w:val="008C0E0E"/>
    <w:rsid w:val="008C106F"/>
    <w:rsid w:val="008C10D9"/>
    <w:rsid w:val="008C14DD"/>
    <w:rsid w:val="008C160D"/>
    <w:rsid w:val="008C180B"/>
    <w:rsid w:val="008C1B6F"/>
    <w:rsid w:val="008C1C3E"/>
    <w:rsid w:val="008C245E"/>
    <w:rsid w:val="008C282A"/>
    <w:rsid w:val="008C2B55"/>
    <w:rsid w:val="008C2C3C"/>
    <w:rsid w:val="008C2C81"/>
    <w:rsid w:val="008C2D9E"/>
    <w:rsid w:val="008C2EF2"/>
    <w:rsid w:val="008C2F30"/>
    <w:rsid w:val="008C2F8F"/>
    <w:rsid w:val="008C30C3"/>
    <w:rsid w:val="008C3111"/>
    <w:rsid w:val="008C313C"/>
    <w:rsid w:val="008C3219"/>
    <w:rsid w:val="008C324F"/>
    <w:rsid w:val="008C3653"/>
    <w:rsid w:val="008C37E7"/>
    <w:rsid w:val="008C3A76"/>
    <w:rsid w:val="008C3B84"/>
    <w:rsid w:val="008C3E86"/>
    <w:rsid w:val="008C434E"/>
    <w:rsid w:val="008C45D1"/>
    <w:rsid w:val="008C45EB"/>
    <w:rsid w:val="008C4836"/>
    <w:rsid w:val="008C4902"/>
    <w:rsid w:val="008C4910"/>
    <w:rsid w:val="008C499F"/>
    <w:rsid w:val="008C4B1D"/>
    <w:rsid w:val="008C4C14"/>
    <w:rsid w:val="008C4C6A"/>
    <w:rsid w:val="008C4EB9"/>
    <w:rsid w:val="008C5065"/>
    <w:rsid w:val="008C5164"/>
    <w:rsid w:val="008C517E"/>
    <w:rsid w:val="008C5254"/>
    <w:rsid w:val="008C52C9"/>
    <w:rsid w:val="008C533F"/>
    <w:rsid w:val="008C53DE"/>
    <w:rsid w:val="008C53EF"/>
    <w:rsid w:val="008C59E4"/>
    <w:rsid w:val="008C5BC8"/>
    <w:rsid w:val="008C5D7D"/>
    <w:rsid w:val="008C5DB3"/>
    <w:rsid w:val="008C5EE7"/>
    <w:rsid w:val="008C5F40"/>
    <w:rsid w:val="008C6220"/>
    <w:rsid w:val="008C6381"/>
    <w:rsid w:val="008C6394"/>
    <w:rsid w:val="008C643D"/>
    <w:rsid w:val="008C6B47"/>
    <w:rsid w:val="008C6C77"/>
    <w:rsid w:val="008C6DC7"/>
    <w:rsid w:val="008C6FB1"/>
    <w:rsid w:val="008C71D9"/>
    <w:rsid w:val="008C76BF"/>
    <w:rsid w:val="008C77CC"/>
    <w:rsid w:val="008C7ABB"/>
    <w:rsid w:val="008C7BC6"/>
    <w:rsid w:val="008C7D0F"/>
    <w:rsid w:val="008C7D1E"/>
    <w:rsid w:val="008C7D41"/>
    <w:rsid w:val="008C7D77"/>
    <w:rsid w:val="008D00D4"/>
    <w:rsid w:val="008D01F0"/>
    <w:rsid w:val="008D021F"/>
    <w:rsid w:val="008D02A8"/>
    <w:rsid w:val="008D02D3"/>
    <w:rsid w:val="008D032B"/>
    <w:rsid w:val="008D0487"/>
    <w:rsid w:val="008D052F"/>
    <w:rsid w:val="008D05D5"/>
    <w:rsid w:val="008D08B1"/>
    <w:rsid w:val="008D09AF"/>
    <w:rsid w:val="008D0CFD"/>
    <w:rsid w:val="008D0E54"/>
    <w:rsid w:val="008D0EDD"/>
    <w:rsid w:val="008D0F30"/>
    <w:rsid w:val="008D0F75"/>
    <w:rsid w:val="008D0F82"/>
    <w:rsid w:val="008D10E0"/>
    <w:rsid w:val="008D17D1"/>
    <w:rsid w:val="008D198A"/>
    <w:rsid w:val="008D1AD6"/>
    <w:rsid w:val="008D1B04"/>
    <w:rsid w:val="008D1CD3"/>
    <w:rsid w:val="008D1D5D"/>
    <w:rsid w:val="008D1EA4"/>
    <w:rsid w:val="008D1FB3"/>
    <w:rsid w:val="008D2010"/>
    <w:rsid w:val="008D209E"/>
    <w:rsid w:val="008D2247"/>
    <w:rsid w:val="008D228F"/>
    <w:rsid w:val="008D2357"/>
    <w:rsid w:val="008D23F1"/>
    <w:rsid w:val="008D24BE"/>
    <w:rsid w:val="008D2959"/>
    <w:rsid w:val="008D2D5C"/>
    <w:rsid w:val="008D2D8F"/>
    <w:rsid w:val="008D2E8C"/>
    <w:rsid w:val="008D2EE1"/>
    <w:rsid w:val="008D2FBE"/>
    <w:rsid w:val="008D2FE6"/>
    <w:rsid w:val="008D3122"/>
    <w:rsid w:val="008D33BA"/>
    <w:rsid w:val="008D34E6"/>
    <w:rsid w:val="008D3576"/>
    <w:rsid w:val="008D37FF"/>
    <w:rsid w:val="008D3894"/>
    <w:rsid w:val="008D3B5F"/>
    <w:rsid w:val="008D3B79"/>
    <w:rsid w:val="008D3C4A"/>
    <w:rsid w:val="008D3C4B"/>
    <w:rsid w:val="008D3CF4"/>
    <w:rsid w:val="008D3DA0"/>
    <w:rsid w:val="008D3DA3"/>
    <w:rsid w:val="008D3EB7"/>
    <w:rsid w:val="008D4098"/>
    <w:rsid w:val="008D4165"/>
    <w:rsid w:val="008D4352"/>
    <w:rsid w:val="008D43AD"/>
    <w:rsid w:val="008D4573"/>
    <w:rsid w:val="008D4642"/>
    <w:rsid w:val="008D465B"/>
    <w:rsid w:val="008D46A7"/>
    <w:rsid w:val="008D47E5"/>
    <w:rsid w:val="008D486A"/>
    <w:rsid w:val="008D48AB"/>
    <w:rsid w:val="008D4969"/>
    <w:rsid w:val="008D4C0E"/>
    <w:rsid w:val="008D4D0A"/>
    <w:rsid w:val="008D4FD3"/>
    <w:rsid w:val="008D50D1"/>
    <w:rsid w:val="008D5154"/>
    <w:rsid w:val="008D526E"/>
    <w:rsid w:val="008D55A6"/>
    <w:rsid w:val="008D561E"/>
    <w:rsid w:val="008D5679"/>
    <w:rsid w:val="008D57A5"/>
    <w:rsid w:val="008D59B7"/>
    <w:rsid w:val="008D5A7B"/>
    <w:rsid w:val="008D5AC6"/>
    <w:rsid w:val="008D5B25"/>
    <w:rsid w:val="008D5C02"/>
    <w:rsid w:val="008D5C07"/>
    <w:rsid w:val="008D5CB9"/>
    <w:rsid w:val="008D5D15"/>
    <w:rsid w:val="008D5D25"/>
    <w:rsid w:val="008D5D27"/>
    <w:rsid w:val="008D5F25"/>
    <w:rsid w:val="008D5F64"/>
    <w:rsid w:val="008D601F"/>
    <w:rsid w:val="008D60B5"/>
    <w:rsid w:val="008D6110"/>
    <w:rsid w:val="008D61F2"/>
    <w:rsid w:val="008D6238"/>
    <w:rsid w:val="008D62A2"/>
    <w:rsid w:val="008D638F"/>
    <w:rsid w:val="008D63EF"/>
    <w:rsid w:val="008D6557"/>
    <w:rsid w:val="008D66EF"/>
    <w:rsid w:val="008D6721"/>
    <w:rsid w:val="008D67CF"/>
    <w:rsid w:val="008D68EC"/>
    <w:rsid w:val="008D6B27"/>
    <w:rsid w:val="008D6CA3"/>
    <w:rsid w:val="008D6D85"/>
    <w:rsid w:val="008D6E76"/>
    <w:rsid w:val="008D6EF8"/>
    <w:rsid w:val="008D7045"/>
    <w:rsid w:val="008D71EE"/>
    <w:rsid w:val="008D7248"/>
    <w:rsid w:val="008D74FF"/>
    <w:rsid w:val="008D78FA"/>
    <w:rsid w:val="008D7A66"/>
    <w:rsid w:val="008D7A75"/>
    <w:rsid w:val="008D7B16"/>
    <w:rsid w:val="008D7E5D"/>
    <w:rsid w:val="008E007E"/>
    <w:rsid w:val="008E0183"/>
    <w:rsid w:val="008E01CD"/>
    <w:rsid w:val="008E0279"/>
    <w:rsid w:val="008E06EF"/>
    <w:rsid w:val="008E073D"/>
    <w:rsid w:val="008E0943"/>
    <w:rsid w:val="008E098C"/>
    <w:rsid w:val="008E0AE3"/>
    <w:rsid w:val="008E0C6D"/>
    <w:rsid w:val="008E0E91"/>
    <w:rsid w:val="008E0F3E"/>
    <w:rsid w:val="008E0F7B"/>
    <w:rsid w:val="008E11BD"/>
    <w:rsid w:val="008E164F"/>
    <w:rsid w:val="008E1795"/>
    <w:rsid w:val="008E18C1"/>
    <w:rsid w:val="008E191A"/>
    <w:rsid w:val="008E1A15"/>
    <w:rsid w:val="008E1BBB"/>
    <w:rsid w:val="008E1C05"/>
    <w:rsid w:val="008E1E63"/>
    <w:rsid w:val="008E1F9D"/>
    <w:rsid w:val="008E20AA"/>
    <w:rsid w:val="008E2108"/>
    <w:rsid w:val="008E2166"/>
    <w:rsid w:val="008E26B3"/>
    <w:rsid w:val="008E26B7"/>
    <w:rsid w:val="008E28A3"/>
    <w:rsid w:val="008E29B1"/>
    <w:rsid w:val="008E3055"/>
    <w:rsid w:val="008E3236"/>
    <w:rsid w:val="008E32DC"/>
    <w:rsid w:val="008E35B0"/>
    <w:rsid w:val="008E3640"/>
    <w:rsid w:val="008E37CA"/>
    <w:rsid w:val="008E37F7"/>
    <w:rsid w:val="008E3821"/>
    <w:rsid w:val="008E3981"/>
    <w:rsid w:val="008E39A5"/>
    <w:rsid w:val="008E39F0"/>
    <w:rsid w:val="008E3B23"/>
    <w:rsid w:val="008E3DDD"/>
    <w:rsid w:val="008E3E40"/>
    <w:rsid w:val="008E41A5"/>
    <w:rsid w:val="008E42ED"/>
    <w:rsid w:val="008E44A5"/>
    <w:rsid w:val="008E46A7"/>
    <w:rsid w:val="008E46A9"/>
    <w:rsid w:val="008E47C1"/>
    <w:rsid w:val="008E47DA"/>
    <w:rsid w:val="008E483E"/>
    <w:rsid w:val="008E49E0"/>
    <w:rsid w:val="008E4B03"/>
    <w:rsid w:val="008E4C29"/>
    <w:rsid w:val="008E4E04"/>
    <w:rsid w:val="008E50B2"/>
    <w:rsid w:val="008E5471"/>
    <w:rsid w:val="008E5485"/>
    <w:rsid w:val="008E54D9"/>
    <w:rsid w:val="008E5520"/>
    <w:rsid w:val="008E55DC"/>
    <w:rsid w:val="008E5778"/>
    <w:rsid w:val="008E5984"/>
    <w:rsid w:val="008E5A7A"/>
    <w:rsid w:val="008E5D59"/>
    <w:rsid w:val="008E5ECF"/>
    <w:rsid w:val="008E6157"/>
    <w:rsid w:val="008E66AE"/>
    <w:rsid w:val="008E67B4"/>
    <w:rsid w:val="008E67C5"/>
    <w:rsid w:val="008E68CA"/>
    <w:rsid w:val="008E6935"/>
    <w:rsid w:val="008E6A61"/>
    <w:rsid w:val="008E6DDE"/>
    <w:rsid w:val="008E6F00"/>
    <w:rsid w:val="008E6F98"/>
    <w:rsid w:val="008E6FB9"/>
    <w:rsid w:val="008E7099"/>
    <w:rsid w:val="008E7441"/>
    <w:rsid w:val="008E7601"/>
    <w:rsid w:val="008E764B"/>
    <w:rsid w:val="008E766B"/>
    <w:rsid w:val="008E7721"/>
    <w:rsid w:val="008E7A3A"/>
    <w:rsid w:val="008E7C26"/>
    <w:rsid w:val="008E7E2F"/>
    <w:rsid w:val="008F00F0"/>
    <w:rsid w:val="008F0282"/>
    <w:rsid w:val="008F0522"/>
    <w:rsid w:val="008F0DD7"/>
    <w:rsid w:val="008F0E1A"/>
    <w:rsid w:val="008F0E8E"/>
    <w:rsid w:val="008F0F3D"/>
    <w:rsid w:val="008F0FEA"/>
    <w:rsid w:val="008F1089"/>
    <w:rsid w:val="008F11BF"/>
    <w:rsid w:val="008F136C"/>
    <w:rsid w:val="008F14DA"/>
    <w:rsid w:val="008F178B"/>
    <w:rsid w:val="008F1792"/>
    <w:rsid w:val="008F1EBE"/>
    <w:rsid w:val="008F1FE1"/>
    <w:rsid w:val="008F2111"/>
    <w:rsid w:val="008F21FC"/>
    <w:rsid w:val="008F2350"/>
    <w:rsid w:val="008F2580"/>
    <w:rsid w:val="008F2638"/>
    <w:rsid w:val="008F2656"/>
    <w:rsid w:val="008F2A8B"/>
    <w:rsid w:val="008F2AEF"/>
    <w:rsid w:val="008F2B18"/>
    <w:rsid w:val="008F2C18"/>
    <w:rsid w:val="008F2C6B"/>
    <w:rsid w:val="008F2CA0"/>
    <w:rsid w:val="008F2E10"/>
    <w:rsid w:val="008F2E25"/>
    <w:rsid w:val="008F3009"/>
    <w:rsid w:val="008F303F"/>
    <w:rsid w:val="008F30EB"/>
    <w:rsid w:val="008F33E7"/>
    <w:rsid w:val="008F34B7"/>
    <w:rsid w:val="008F3A19"/>
    <w:rsid w:val="008F3B1B"/>
    <w:rsid w:val="008F3EE4"/>
    <w:rsid w:val="008F405A"/>
    <w:rsid w:val="008F40B2"/>
    <w:rsid w:val="008F41E2"/>
    <w:rsid w:val="008F42DB"/>
    <w:rsid w:val="008F42EC"/>
    <w:rsid w:val="008F44E7"/>
    <w:rsid w:val="008F45A2"/>
    <w:rsid w:val="008F4644"/>
    <w:rsid w:val="008F46D8"/>
    <w:rsid w:val="008F486E"/>
    <w:rsid w:val="008F48E3"/>
    <w:rsid w:val="008F4B93"/>
    <w:rsid w:val="008F4F43"/>
    <w:rsid w:val="008F5267"/>
    <w:rsid w:val="008F5391"/>
    <w:rsid w:val="008F5562"/>
    <w:rsid w:val="008F557A"/>
    <w:rsid w:val="008F55E1"/>
    <w:rsid w:val="008F5854"/>
    <w:rsid w:val="008F59E7"/>
    <w:rsid w:val="008F5C5C"/>
    <w:rsid w:val="008F5EF3"/>
    <w:rsid w:val="008F61D1"/>
    <w:rsid w:val="008F61E1"/>
    <w:rsid w:val="008F6287"/>
    <w:rsid w:val="008F63C6"/>
    <w:rsid w:val="008F63E3"/>
    <w:rsid w:val="008F6715"/>
    <w:rsid w:val="008F67D9"/>
    <w:rsid w:val="008F68F1"/>
    <w:rsid w:val="008F6B2A"/>
    <w:rsid w:val="008F6C21"/>
    <w:rsid w:val="008F6D66"/>
    <w:rsid w:val="008F6E3C"/>
    <w:rsid w:val="008F6ED2"/>
    <w:rsid w:val="008F6F6E"/>
    <w:rsid w:val="008F6FD0"/>
    <w:rsid w:val="008F72EE"/>
    <w:rsid w:val="008F7308"/>
    <w:rsid w:val="008F737F"/>
    <w:rsid w:val="008F74C5"/>
    <w:rsid w:val="008F788B"/>
    <w:rsid w:val="008F79A0"/>
    <w:rsid w:val="008F7AD8"/>
    <w:rsid w:val="008F7C78"/>
    <w:rsid w:val="008F7E8C"/>
    <w:rsid w:val="008F7EB3"/>
    <w:rsid w:val="008F7F8E"/>
    <w:rsid w:val="00900049"/>
    <w:rsid w:val="009000B3"/>
    <w:rsid w:val="009002F6"/>
    <w:rsid w:val="0090034D"/>
    <w:rsid w:val="009004E7"/>
    <w:rsid w:val="00900545"/>
    <w:rsid w:val="009005CA"/>
    <w:rsid w:val="009009BB"/>
    <w:rsid w:val="00900B5F"/>
    <w:rsid w:val="00900C8C"/>
    <w:rsid w:val="00900CF3"/>
    <w:rsid w:val="00900D85"/>
    <w:rsid w:val="00900E45"/>
    <w:rsid w:val="00900F36"/>
    <w:rsid w:val="00901044"/>
    <w:rsid w:val="00901170"/>
    <w:rsid w:val="009011A4"/>
    <w:rsid w:val="009012BE"/>
    <w:rsid w:val="00901360"/>
    <w:rsid w:val="00901460"/>
    <w:rsid w:val="00901637"/>
    <w:rsid w:val="0090196A"/>
    <w:rsid w:val="00901B10"/>
    <w:rsid w:val="00901B99"/>
    <w:rsid w:val="00901C17"/>
    <w:rsid w:val="00901CBB"/>
    <w:rsid w:val="00901CDA"/>
    <w:rsid w:val="00901EE4"/>
    <w:rsid w:val="00901FC0"/>
    <w:rsid w:val="009020BE"/>
    <w:rsid w:val="009024A5"/>
    <w:rsid w:val="00902716"/>
    <w:rsid w:val="00902890"/>
    <w:rsid w:val="009028C0"/>
    <w:rsid w:val="009028C2"/>
    <w:rsid w:val="00902A1F"/>
    <w:rsid w:val="00902C0A"/>
    <w:rsid w:val="00902E86"/>
    <w:rsid w:val="009030D2"/>
    <w:rsid w:val="009031A4"/>
    <w:rsid w:val="00903354"/>
    <w:rsid w:val="009034EA"/>
    <w:rsid w:val="009038AB"/>
    <w:rsid w:val="009039B4"/>
    <w:rsid w:val="00903C02"/>
    <w:rsid w:val="00903CCF"/>
    <w:rsid w:val="00903DB1"/>
    <w:rsid w:val="00903E0C"/>
    <w:rsid w:val="009045F6"/>
    <w:rsid w:val="0090474E"/>
    <w:rsid w:val="00904A2A"/>
    <w:rsid w:val="00904DFE"/>
    <w:rsid w:val="00904EF9"/>
    <w:rsid w:val="009050E9"/>
    <w:rsid w:val="00905147"/>
    <w:rsid w:val="009052A8"/>
    <w:rsid w:val="00905388"/>
    <w:rsid w:val="00905440"/>
    <w:rsid w:val="00905441"/>
    <w:rsid w:val="0090548A"/>
    <w:rsid w:val="009055CB"/>
    <w:rsid w:val="00905663"/>
    <w:rsid w:val="00905D3B"/>
    <w:rsid w:val="00905F7F"/>
    <w:rsid w:val="00906122"/>
    <w:rsid w:val="009063F6"/>
    <w:rsid w:val="00906463"/>
    <w:rsid w:val="009064D5"/>
    <w:rsid w:val="009065FD"/>
    <w:rsid w:val="0090667E"/>
    <w:rsid w:val="009066FB"/>
    <w:rsid w:val="0090677A"/>
    <w:rsid w:val="00906794"/>
    <w:rsid w:val="00906814"/>
    <w:rsid w:val="00906914"/>
    <w:rsid w:val="00906B17"/>
    <w:rsid w:val="00906D40"/>
    <w:rsid w:val="00906E86"/>
    <w:rsid w:val="00906F3B"/>
    <w:rsid w:val="00907038"/>
    <w:rsid w:val="009070EA"/>
    <w:rsid w:val="00907132"/>
    <w:rsid w:val="0090737F"/>
    <w:rsid w:val="00907393"/>
    <w:rsid w:val="0090742D"/>
    <w:rsid w:val="00907B36"/>
    <w:rsid w:val="00907B65"/>
    <w:rsid w:val="00907BB1"/>
    <w:rsid w:val="00907BE6"/>
    <w:rsid w:val="00907F47"/>
    <w:rsid w:val="00907F48"/>
    <w:rsid w:val="00907FA3"/>
    <w:rsid w:val="009101BE"/>
    <w:rsid w:val="0091044A"/>
    <w:rsid w:val="00910647"/>
    <w:rsid w:val="0091088D"/>
    <w:rsid w:val="00910A00"/>
    <w:rsid w:val="00910B38"/>
    <w:rsid w:val="00910DE9"/>
    <w:rsid w:val="00910E7D"/>
    <w:rsid w:val="009111C5"/>
    <w:rsid w:val="0091134F"/>
    <w:rsid w:val="009115A6"/>
    <w:rsid w:val="00911654"/>
    <w:rsid w:val="00911799"/>
    <w:rsid w:val="00911884"/>
    <w:rsid w:val="0091188E"/>
    <w:rsid w:val="00911D7F"/>
    <w:rsid w:val="00911D97"/>
    <w:rsid w:val="00911E6A"/>
    <w:rsid w:val="009120DC"/>
    <w:rsid w:val="00912191"/>
    <w:rsid w:val="00912243"/>
    <w:rsid w:val="00912411"/>
    <w:rsid w:val="00912422"/>
    <w:rsid w:val="009126EC"/>
    <w:rsid w:val="00912A66"/>
    <w:rsid w:val="00912B2E"/>
    <w:rsid w:val="00912CCB"/>
    <w:rsid w:val="00912DDB"/>
    <w:rsid w:val="00912F7C"/>
    <w:rsid w:val="00912FE3"/>
    <w:rsid w:val="009134E4"/>
    <w:rsid w:val="00913595"/>
    <w:rsid w:val="009136B6"/>
    <w:rsid w:val="00913865"/>
    <w:rsid w:val="009138AF"/>
    <w:rsid w:val="00913919"/>
    <w:rsid w:val="00913A81"/>
    <w:rsid w:val="00913BDC"/>
    <w:rsid w:val="00913C61"/>
    <w:rsid w:val="00913C7B"/>
    <w:rsid w:val="00913DD6"/>
    <w:rsid w:val="00913E2E"/>
    <w:rsid w:val="00913E42"/>
    <w:rsid w:val="00914076"/>
    <w:rsid w:val="0091415A"/>
    <w:rsid w:val="009142B7"/>
    <w:rsid w:val="009142FA"/>
    <w:rsid w:val="0091456F"/>
    <w:rsid w:val="00914646"/>
    <w:rsid w:val="00914D7B"/>
    <w:rsid w:val="00914FF4"/>
    <w:rsid w:val="00915288"/>
    <w:rsid w:val="009152D6"/>
    <w:rsid w:val="009153F0"/>
    <w:rsid w:val="009154F6"/>
    <w:rsid w:val="0091556D"/>
    <w:rsid w:val="00915859"/>
    <w:rsid w:val="009158E6"/>
    <w:rsid w:val="00915AB3"/>
    <w:rsid w:val="00915C6A"/>
    <w:rsid w:val="00915CB6"/>
    <w:rsid w:val="00915E9E"/>
    <w:rsid w:val="00916225"/>
    <w:rsid w:val="0091628C"/>
    <w:rsid w:val="0091659C"/>
    <w:rsid w:val="009168E6"/>
    <w:rsid w:val="0091694D"/>
    <w:rsid w:val="00916998"/>
    <w:rsid w:val="00916CEC"/>
    <w:rsid w:val="00916D12"/>
    <w:rsid w:val="009170F5"/>
    <w:rsid w:val="00917275"/>
    <w:rsid w:val="0091744A"/>
    <w:rsid w:val="009174B5"/>
    <w:rsid w:val="009176E5"/>
    <w:rsid w:val="00917807"/>
    <w:rsid w:val="00917835"/>
    <w:rsid w:val="00917904"/>
    <w:rsid w:val="0091797F"/>
    <w:rsid w:val="00917999"/>
    <w:rsid w:val="00917B25"/>
    <w:rsid w:val="00917B44"/>
    <w:rsid w:val="00917B47"/>
    <w:rsid w:val="00917BC2"/>
    <w:rsid w:val="00917C73"/>
    <w:rsid w:val="00917DB2"/>
    <w:rsid w:val="00917F61"/>
    <w:rsid w:val="0092019E"/>
    <w:rsid w:val="009202D5"/>
    <w:rsid w:val="0092039B"/>
    <w:rsid w:val="00920881"/>
    <w:rsid w:val="009208B1"/>
    <w:rsid w:val="0092098B"/>
    <w:rsid w:val="00920A86"/>
    <w:rsid w:val="00920E7B"/>
    <w:rsid w:val="009210BA"/>
    <w:rsid w:val="00921180"/>
    <w:rsid w:val="00921225"/>
    <w:rsid w:val="0092150D"/>
    <w:rsid w:val="009215C9"/>
    <w:rsid w:val="009216E8"/>
    <w:rsid w:val="009216FB"/>
    <w:rsid w:val="00921740"/>
    <w:rsid w:val="00921816"/>
    <w:rsid w:val="009218A0"/>
    <w:rsid w:val="009219D2"/>
    <w:rsid w:val="00921AD1"/>
    <w:rsid w:val="00921AD3"/>
    <w:rsid w:val="00921B36"/>
    <w:rsid w:val="00921B56"/>
    <w:rsid w:val="00921BA6"/>
    <w:rsid w:val="00921D12"/>
    <w:rsid w:val="00922127"/>
    <w:rsid w:val="009222B5"/>
    <w:rsid w:val="00922382"/>
    <w:rsid w:val="00922774"/>
    <w:rsid w:val="009228AD"/>
    <w:rsid w:val="009233B3"/>
    <w:rsid w:val="00923438"/>
    <w:rsid w:val="009235B8"/>
    <w:rsid w:val="009237DE"/>
    <w:rsid w:val="009238C6"/>
    <w:rsid w:val="009239E6"/>
    <w:rsid w:val="00923A5D"/>
    <w:rsid w:val="00923AF0"/>
    <w:rsid w:val="00923B88"/>
    <w:rsid w:val="00923D99"/>
    <w:rsid w:val="00923E1D"/>
    <w:rsid w:val="00923E50"/>
    <w:rsid w:val="00923E8F"/>
    <w:rsid w:val="00923EC5"/>
    <w:rsid w:val="00923FF2"/>
    <w:rsid w:val="00924244"/>
    <w:rsid w:val="0092459E"/>
    <w:rsid w:val="00924872"/>
    <w:rsid w:val="00924B59"/>
    <w:rsid w:val="00924B60"/>
    <w:rsid w:val="00924C66"/>
    <w:rsid w:val="00924D8E"/>
    <w:rsid w:val="00924EB2"/>
    <w:rsid w:val="00924F67"/>
    <w:rsid w:val="00925183"/>
    <w:rsid w:val="009252C9"/>
    <w:rsid w:val="0092563F"/>
    <w:rsid w:val="009256C5"/>
    <w:rsid w:val="0092584A"/>
    <w:rsid w:val="0092590A"/>
    <w:rsid w:val="0092598E"/>
    <w:rsid w:val="00925B4F"/>
    <w:rsid w:val="00925B74"/>
    <w:rsid w:val="00926062"/>
    <w:rsid w:val="009264AE"/>
    <w:rsid w:val="009266BD"/>
    <w:rsid w:val="00926707"/>
    <w:rsid w:val="00926830"/>
    <w:rsid w:val="009268BB"/>
    <w:rsid w:val="00926C82"/>
    <w:rsid w:val="00926DEB"/>
    <w:rsid w:val="00926FF3"/>
    <w:rsid w:val="00927074"/>
    <w:rsid w:val="009270A6"/>
    <w:rsid w:val="00927175"/>
    <w:rsid w:val="00927511"/>
    <w:rsid w:val="0092788E"/>
    <w:rsid w:val="009278C3"/>
    <w:rsid w:val="0092793D"/>
    <w:rsid w:val="00927CF8"/>
    <w:rsid w:val="009300F0"/>
    <w:rsid w:val="009301CB"/>
    <w:rsid w:val="0093026F"/>
    <w:rsid w:val="009302F2"/>
    <w:rsid w:val="0093033B"/>
    <w:rsid w:val="0093036B"/>
    <w:rsid w:val="0093043C"/>
    <w:rsid w:val="00930495"/>
    <w:rsid w:val="00930615"/>
    <w:rsid w:val="0093069C"/>
    <w:rsid w:val="00930A31"/>
    <w:rsid w:val="00930D64"/>
    <w:rsid w:val="00930F66"/>
    <w:rsid w:val="009310F6"/>
    <w:rsid w:val="009311AB"/>
    <w:rsid w:val="009312D1"/>
    <w:rsid w:val="009315D7"/>
    <w:rsid w:val="009317D8"/>
    <w:rsid w:val="0093185A"/>
    <w:rsid w:val="00931874"/>
    <w:rsid w:val="009318E5"/>
    <w:rsid w:val="00931A2B"/>
    <w:rsid w:val="00931BDF"/>
    <w:rsid w:val="00931CBA"/>
    <w:rsid w:val="00931CF1"/>
    <w:rsid w:val="00931D7B"/>
    <w:rsid w:val="00931D7F"/>
    <w:rsid w:val="00931F65"/>
    <w:rsid w:val="00931FD8"/>
    <w:rsid w:val="0093206E"/>
    <w:rsid w:val="009321DE"/>
    <w:rsid w:val="0093287B"/>
    <w:rsid w:val="0093296B"/>
    <w:rsid w:val="00932970"/>
    <w:rsid w:val="009329B4"/>
    <w:rsid w:val="00932BFF"/>
    <w:rsid w:val="00932CDC"/>
    <w:rsid w:val="009330CA"/>
    <w:rsid w:val="0093320C"/>
    <w:rsid w:val="00933738"/>
    <w:rsid w:val="00933799"/>
    <w:rsid w:val="00933876"/>
    <w:rsid w:val="00933A88"/>
    <w:rsid w:val="00933ABC"/>
    <w:rsid w:val="00933AC2"/>
    <w:rsid w:val="00933E24"/>
    <w:rsid w:val="00933F9E"/>
    <w:rsid w:val="00933FC1"/>
    <w:rsid w:val="00934047"/>
    <w:rsid w:val="009340D9"/>
    <w:rsid w:val="0093414B"/>
    <w:rsid w:val="009341B9"/>
    <w:rsid w:val="00934312"/>
    <w:rsid w:val="0093445C"/>
    <w:rsid w:val="0093449F"/>
    <w:rsid w:val="009347DB"/>
    <w:rsid w:val="009347DD"/>
    <w:rsid w:val="00934841"/>
    <w:rsid w:val="009348A0"/>
    <w:rsid w:val="0093491D"/>
    <w:rsid w:val="009349AA"/>
    <w:rsid w:val="00934AC1"/>
    <w:rsid w:val="00934C21"/>
    <w:rsid w:val="00934C7A"/>
    <w:rsid w:val="00934CA6"/>
    <w:rsid w:val="00934CB6"/>
    <w:rsid w:val="00935106"/>
    <w:rsid w:val="00935128"/>
    <w:rsid w:val="009354C9"/>
    <w:rsid w:val="00935555"/>
    <w:rsid w:val="009355C7"/>
    <w:rsid w:val="00935847"/>
    <w:rsid w:val="009359F6"/>
    <w:rsid w:val="00935A19"/>
    <w:rsid w:val="00935AD7"/>
    <w:rsid w:val="00935BCB"/>
    <w:rsid w:val="00935F5D"/>
    <w:rsid w:val="00935FF3"/>
    <w:rsid w:val="00935FFA"/>
    <w:rsid w:val="00936077"/>
    <w:rsid w:val="0093633A"/>
    <w:rsid w:val="0093637D"/>
    <w:rsid w:val="0093670D"/>
    <w:rsid w:val="0093692E"/>
    <w:rsid w:val="00936CB2"/>
    <w:rsid w:val="00936D84"/>
    <w:rsid w:val="00936EFD"/>
    <w:rsid w:val="00936F87"/>
    <w:rsid w:val="0093706D"/>
    <w:rsid w:val="0093746D"/>
    <w:rsid w:val="00937780"/>
    <w:rsid w:val="00937861"/>
    <w:rsid w:val="009378C4"/>
    <w:rsid w:val="009378E6"/>
    <w:rsid w:val="00937905"/>
    <w:rsid w:val="00937BE2"/>
    <w:rsid w:val="00937CA7"/>
    <w:rsid w:val="00937D56"/>
    <w:rsid w:val="00940409"/>
    <w:rsid w:val="00940593"/>
    <w:rsid w:val="009405E3"/>
    <w:rsid w:val="00940855"/>
    <w:rsid w:val="00940ABE"/>
    <w:rsid w:val="00940B34"/>
    <w:rsid w:val="00940C28"/>
    <w:rsid w:val="00940DFC"/>
    <w:rsid w:val="00940EAE"/>
    <w:rsid w:val="00941147"/>
    <w:rsid w:val="00941218"/>
    <w:rsid w:val="009413C5"/>
    <w:rsid w:val="0094190D"/>
    <w:rsid w:val="00941CCE"/>
    <w:rsid w:val="00941DFC"/>
    <w:rsid w:val="00941EDC"/>
    <w:rsid w:val="00941FFD"/>
    <w:rsid w:val="009421B5"/>
    <w:rsid w:val="009421CF"/>
    <w:rsid w:val="009422E0"/>
    <w:rsid w:val="0094247D"/>
    <w:rsid w:val="00942664"/>
    <w:rsid w:val="0094271E"/>
    <w:rsid w:val="00942918"/>
    <w:rsid w:val="009429A8"/>
    <w:rsid w:val="00942EA9"/>
    <w:rsid w:val="0094325D"/>
    <w:rsid w:val="00943385"/>
    <w:rsid w:val="00943508"/>
    <w:rsid w:val="0094356E"/>
    <w:rsid w:val="0094372C"/>
    <w:rsid w:val="00943766"/>
    <w:rsid w:val="0094389F"/>
    <w:rsid w:val="00943957"/>
    <w:rsid w:val="00943A5D"/>
    <w:rsid w:val="00943A62"/>
    <w:rsid w:val="00943B28"/>
    <w:rsid w:val="00943D4B"/>
    <w:rsid w:val="00944370"/>
    <w:rsid w:val="00944406"/>
    <w:rsid w:val="00944915"/>
    <w:rsid w:val="00944957"/>
    <w:rsid w:val="00944BFD"/>
    <w:rsid w:val="00944E08"/>
    <w:rsid w:val="00944EA5"/>
    <w:rsid w:val="00945067"/>
    <w:rsid w:val="0094507F"/>
    <w:rsid w:val="009450F0"/>
    <w:rsid w:val="0094515F"/>
    <w:rsid w:val="00945566"/>
    <w:rsid w:val="0094575F"/>
    <w:rsid w:val="0094583F"/>
    <w:rsid w:val="009459F0"/>
    <w:rsid w:val="00945C41"/>
    <w:rsid w:val="00945CE4"/>
    <w:rsid w:val="0094611F"/>
    <w:rsid w:val="00946288"/>
    <w:rsid w:val="00946433"/>
    <w:rsid w:val="0094643D"/>
    <w:rsid w:val="0094662A"/>
    <w:rsid w:val="0094675C"/>
    <w:rsid w:val="009467F6"/>
    <w:rsid w:val="009468B3"/>
    <w:rsid w:val="00946B18"/>
    <w:rsid w:val="00946CED"/>
    <w:rsid w:val="00946E94"/>
    <w:rsid w:val="00946F2C"/>
    <w:rsid w:val="00946F72"/>
    <w:rsid w:val="00946F83"/>
    <w:rsid w:val="0094709E"/>
    <w:rsid w:val="00947199"/>
    <w:rsid w:val="0094735F"/>
    <w:rsid w:val="00947699"/>
    <w:rsid w:val="00947887"/>
    <w:rsid w:val="00947B92"/>
    <w:rsid w:val="00947DC9"/>
    <w:rsid w:val="00947E7B"/>
    <w:rsid w:val="00947F16"/>
    <w:rsid w:val="00947FCD"/>
    <w:rsid w:val="0095044E"/>
    <w:rsid w:val="00950788"/>
    <w:rsid w:val="00950A51"/>
    <w:rsid w:val="00950B50"/>
    <w:rsid w:val="00950DEA"/>
    <w:rsid w:val="00950E43"/>
    <w:rsid w:val="009510FC"/>
    <w:rsid w:val="0095118D"/>
    <w:rsid w:val="0095124B"/>
    <w:rsid w:val="009515AF"/>
    <w:rsid w:val="009515E5"/>
    <w:rsid w:val="009515F1"/>
    <w:rsid w:val="009517F1"/>
    <w:rsid w:val="00951838"/>
    <w:rsid w:val="00951845"/>
    <w:rsid w:val="00951ADE"/>
    <w:rsid w:val="00951BD0"/>
    <w:rsid w:val="00951C47"/>
    <w:rsid w:val="00951EC7"/>
    <w:rsid w:val="00952001"/>
    <w:rsid w:val="0095210E"/>
    <w:rsid w:val="009522A1"/>
    <w:rsid w:val="009522AA"/>
    <w:rsid w:val="0095231C"/>
    <w:rsid w:val="0095238D"/>
    <w:rsid w:val="009523E9"/>
    <w:rsid w:val="0095241E"/>
    <w:rsid w:val="0095248E"/>
    <w:rsid w:val="0095249D"/>
    <w:rsid w:val="009524C6"/>
    <w:rsid w:val="00952503"/>
    <w:rsid w:val="00952971"/>
    <w:rsid w:val="00952991"/>
    <w:rsid w:val="00952CC3"/>
    <w:rsid w:val="00952CFB"/>
    <w:rsid w:val="00952E55"/>
    <w:rsid w:val="00952F1A"/>
    <w:rsid w:val="00952FD8"/>
    <w:rsid w:val="009531D2"/>
    <w:rsid w:val="009532C0"/>
    <w:rsid w:val="009536C9"/>
    <w:rsid w:val="0095381E"/>
    <w:rsid w:val="0095383B"/>
    <w:rsid w:val="009539C5"/>
    <w:rsid w:val="00953AD3"/>
    <w:rsid w:val="00953BA5"/>
    <w:rsid w:val="00953D4D"/>
    <w:rsid w:val="00953DC4"/>
    <w:rsid w:val="00953FF5"/>
    <w:rsid w:val="0095409C"/>
    <w:rsid w:val="0095427A"/>
    <w:rsid w:val="009543D6"/>
    <w:rsid w:val="00954412"/>
    <w:rsid w:val="009544A3"/>
    <w:rsid w:val="009545AE"/>
    <w:rsid w:val="0095464E"/>
    <w:rsid w:val="00954884"/>
    <w:rsid w:val="0095488F"/>
    <w:rsid w:val="009548B9"/>
    <w:rsid w:val="009549C2"/>
    <w:rsid w:val="00954A33"/>
    <w:rsid w:val="00954A88"/>
    <w:rsid w:val="00954AAC"/>
    <w:rsid w:val="00954AE8"/>
    <w:rsid w:val="00954BC5"/>
    <w:rsid w:val="00954BD6"/>
    <w:rsid w:val="00954BEE"/>
    <w:rsid w:val="00954D29"/>
    <w:rsid w:val="00954DB4"/>
    <w:rsid w:val="00955067"/>
    <w:rsid w:val="00955165"/>
    <w:rsid w:val="0095517A"/>
    <w:rsid w:val="009556BB"/>
    <w:rsid w:val="009558A5"/>
    <w:rsid w:val="009558D7"/>
    <w:rsid w:val="009559B5"/>
    <w:rsid w:val="00955D86"/>
    <w:rsid w:val="00955F5E"/>
    <w:rsid w:val="009561DC"/>
    <w:rsid w:val="00956787"/>
    <w:rsid w:val="00956BF6"/>
    <w:rsid w:val="00956C45"/>
    <w:rsid w:val="00956C48"/>
    <w:rsid w:val="00956F57"/>
    <w:rsid w:val="009570B1"/>
    <w:rsid w:val="009572B3"/>
    <w:rsid w:val="00957338"/>
    <w:rsid w:val="00957395"/>
    <w:rsid w:val="00957426"/>
    <w:rsid w:val="00957536"/>
    <w:rsid w:val="009577A1"/>
    <w:rsid w:val="00957884"/>
    <w:rsid w:val="00957987"/>
    <w:rsid w:val="0095799D"/>
    <w:rsid w:val="00957A10"/>
    <w:rsid w:val="00957E12"/>
    <w:rsid w:val="0096000C"/>
    <w:rsid w:val="009602F6"/>
    <w:rsid w:val="0096030F"/>
    <w:rsid w:val="009603E1"/>
    <w:rsid w:val="009604F8"/>
    <w:rsid w:val="009607A4"/>
    <w:rsid w:val="00960A66"/>
    <w:rsid w:val="0096120C"/>
    <w:rsid w:val="0096127E"/>
    <w:rsid w:val="009612C8"/>
    <w:rsid w:val="00961374"/>
    <w:rsid w:val="00961678"/>
    <w:rsid w:val="0096198B"/>
    <w:rsid w:val="00961C6F"/>
    <w:rsid w:val="00961EA9"/>
    <w:rsid w:val="0096273F"/>
    <w:rsid w:val="009629D4"/>
    <w:rsid w:val="00962AFB"/>
    <w:rsid w:val="00962FA0"/>
    <w:rsid w:val="0096310B"/>
    <w:rsid w:val="009638C7"/>
    <w:rsid w:val="00963A07"/>
    <w:rsid w:val="00963AC9"/>
    <w:rsid w:val="00963CBB"/>
    <w:rsid w:val="00963DEE"/>
    <w:rsid w:val="0096427D"/>
    <w:rsid w:val="00964296"/>
    <w:rsid w:val="009642D1"/>
    <w:rsid w:val="00964501"/>
    <w:rsid w:val="00964595"/>
    <w:rsid w:val="00964687"/>
    <w:rsid w:val="00964704"/>
    <w:rsid w:val="00964A61"/>
    <w:rsid w:val="00964A6B"/>
    <w:rsid w:val="00964AA9"/>
    <w:rsid w:val="00964D51"/>
    <w:rsid w:val="00964E68"/>
    <w:rsid w:val="0096502D"/>
    <w:rsid w:val="00965187"/>
    <w:rsid w:val="009651CE"/>
    <w:rsid w:val="0096522F"/>
    <w:rsid w:val="009652DD"/>
    <w:rsid w:val="0096542C"/>
    <w:rsid w:val="00965537"/>
    <w:rsid w:val="009655BA"/>
    <w:rsid w:val="00965685"/>
    <w:rsid w:val="009659A2"/>
    <w:rsid w:val="00965B11"/>
    <w:rsid w:val="00965D29"/>
    <w:rsid w:val="00965DA5"/>
    <w:rsid w:val="00965F9F"/>
    <w:rsid w:val="00965FB6"/>
    <w:rsid w:val="00966037"/>
    <w:rsid w:val="009660EF"/>
    <w:rsid w:val="009661F2"/>
    <w:rsid w:val="00966415"/>
    <w:rsid w:val="0096654E"/>
    <w:rsid w:val="0096656E"/>
    <w:rsid w:val="009668BD"/>
    <w:rsid w:val="00966B3E"/>
    <w:rsid w:val="00966B94"/>
    <w:rsid w:val="00966CBE"/>
    <w:rsid w:val="00966D95"/>
    <w:rsid w:val="00966DA5"/>
    <w:rsid w:val="00966E5B"/>
    <w:rsid w:val="00966FE3"/>
    <w:rsid w:val="009670F1"/>
    <w:rsid w:val="009670F8"/>
    <w:rsid w:val="009671DF"/>
    <w:rsid w:val="00967369"/>
    <w:rsid w:val="009674C1"/>
    <w:rsid w:val="009677C6"/>
    <w:rsid w:val="00967925"/>
    <w:rsid w:val="009679A1"/>
    <w:rsid w:val="00967A6A"/>
    <w:rsid w:val="00967A71"/>
    <w:rsid w:val="00967B2E"/>
    <w:rsid w:val="00967C75"/>
    <w:rsid w:val="00967D3A"/>
    <w:rsid w:val="00967F04"/>
    <w:rsid w:val="00967FBF"/>
    <w:rsid w:val="00967FF7"/>
    <w:rsid w:val="00970071"/>
    <w:rsid w:val="00970312"/>
    <w:rsid w:val="00970710"/>
    <w:rsid w:val="009708F5"/>
    <w:rsid w:val="00970C69"/>
    <w:rsid w:val="00970EF3"/>
    <w:rsid w:val="00970EFC"/>
    <w:rsid w:val="0097166F"/>
    <w:rsid w:val="009716D1"/>
    <w:rsid w:val="009716E6"/>
    <w:rsid w:val="00971772"/>
    <w:rsid w:val="009718BC"/>
    <w:rsid w:val="00971C6B"/>
    <w:rsid w:val="00971EC6"/>
    <w:rsid w:val="00971F03"/>
    <w:rsid w:val="009720ED"/>
    <w:rsid w:val="0097213C"/>
    <w:rsid w:val="0097248F"/>
    <w:rsid w:val="00972578"/>
    <w:rsid w:val="009726DE"/>
    <w:rsid w:val="00972742"/>
    <w:rsid w:val="009729CA"/>
    <w:rsid w:val="00972BE1"/>
    <w:rsid w:val="00972D56"/>
    <w:rsid w:val="00972DDF"/>
    <w:rsid w:val="009731B0"/>
    <w:rsid w:val="009731C0"/>
    <w:rsid w:val="00973287"/>
    <w:rsid w:val="00973403"/>
    <w:rsid w:val="00973445"/>
    <w:rsid w:val="00973899"/>
    <w:rsid w:val="00973ACA"/>
    <w:rsid w:val="00973B2A"/>
    <w:rsid w:val="00973BD0"/>
    <w:rsid w:val="00973BD8"/>
    <w:rsid w:val="00974093"/>
    <w:rsid w:val="009740BA"/>
    <w:rsid w:val="0097470E"/>
    <w:rsid w:val="009747CF"/>
    <w:rsid w:val="00974883"/>
    <w:rsid w:val="009748C6"/>
    <w:rsid w:val="00974A10"/>
    <w:rsid w:val="00974CEB"/>
    <w:rsid w:val="00974D2B"/>
    <w:rsid w:val="00974DA4"/>
    <w:rsid w:val="00974FDA"/>
    <w:rsid w:val="00974FF0"/>
    <w:rsid w:val="00975037"/>
    <w:rsid w:val="00975048"/>
    <w:rsid w:val="00975126"/>
    <w:rsid w:val="00975164"/>
    <w:rsid w:val="009753CE"/>
    <w:rsid w:val="009755F9"/>
    <w:rsid w:val="009755FC"/>
    <w:rsid w:val="0097569B"/>
    <w:rsid w:val="009756D9"/>
    <w:rsid w:val="00975730"/>
    <w:rsid w:val="00975B5E"/>
    <w:rsid w:val="00975B74"/>
    <w:rsid w:val="00975C03"/>
    <w:rsid w:val="00975C40"/>
    <w:rsid w:val="00975D72"/>
    <w:rsid w:val="00975DBA"/>
    <w:rsid w:val="00975F05"/>
    <w:rsid w:val="00975F33"/>
    <w:rsid w:val="00975F55"/>
    <w:rsid w:val="00975FC7"/>
    <w:rsid w:val="009760A8"/>
    <w:rsid w:val="0097623A"/>
    <w:rsid w:val="009762BF"/>
    <w:rsid w:val="00976491"/>
    <w:rsid w:val="00976528"/>
    <w:rsid w:val="0097653A"/>
    <w:rsid w:val="009766B8"/>
    <w:rsid w:val="00976836"/>
    <w:rsid w:val="00976C72"/>
    <w:rsid w:val="00976DF6"/>
    <w:rsid w:val="00976FFF"/>
    <w:rsid w:val="0097707A"/>
    <w:rsid w:val="00977107"/>
    <w:rsid w:val="00977433"/>
    <w:rsid w:val="00977519"/>
    <w:rsid w:val="0097754B"/>
    <w:rsid w:val="009777E0"/>
    <w:rsid w:val="00977D3F"/>
    <w:rsid w:val="00977F52"/>
    <w:rsid w:val="00977F83"/>
    <w:rsid w:val="00977F9B"/>
    <w:rsid w:val="00977FC3"/>
    <w:rsid w:val="00980339"/>
    <w:rsid w:val="009803DF"/>
    <w:rsid w:val="00980516"/>
    <w:rsid w:val="00980521"/>
    <w:rsid w:val="009806C7"/>
    <w:rsid w:val="0098076C"/>
    <w:rsid w:val="009808AE"/>
    <w:rsid w:val="009808D6"/>
    <w:rsid w:val="00980B36"/>
    <w:rsid w:val="00980B4D"/>
    <w:rsid w:val="00980B9D"/>
    <w:rsid w:val="00980D28"/>
    <w:rsid w:val="00980FCA"/>
    <w:rsid w:val="009810BA"/>
    <w:rsid w:val="009811F7"/>
    <w:rsid w:val="00981295"/>
    <w:rsid w:val="00981320"/>
    <w:rsid w:val="0098147B"/>
    <w:rsid w:val="00981731"/>
    <w:rsid w:val="0098187C"/>
    <w:rsid w:val="00981B8E"/>
    <w:rsid w:val="00981D6C"/>
    <w:rsid w:val="00981E22"/>
    <w:rsid w:val="00981F8E"/>
    <w:rsid w:val="009822FC"/>
    <w:rsid w:val="00982351"/>
    <w:rsid w:val="00982960"/>
    <w:rsid w:val="00982A58"/>
    <w:rsid w:val="00982B9B"/>
    <w:rsid w:val="00982BDE"/>
    <w:rsid w:val="00982F04"/>
    <w:rsid w:val="009831BD"/>
    <w:rsid w:val="009833D9"/>
    <w:rsid w:val="009833E7"/>
    <w:rsid w:val="00983440"/>
    <w:rsid w:val="009835A6"/>
    <w:rsid w:val="009835CF"/>
    <w:rsid w:val="0098365F"/>
    <w:rsid w:val="009838CA"/>
    <w:rsid w:val="00983DAC"/>
    <w:rsid w:val="00983E0E"/>
    <w:rsid w:val="009840DE"/>
    <w:rsid w:val="009841D6"/>
    <w:rsid w:val="009843C0"/>
    <w:rsid w:val="009844D9"/>
    <w:rsid w:val="009846EC"/>
    <w:rsid w:val="009847D4"/>
    <w:rsid w:val="0098485A"/>
    <w:rsid w:val="00984868"/>
    <w:rsid w:val="009849F1"/>
    <w:rsid w:val="00984E4F"/>
    <w:rsid w:val="00984F79"/>
    <w:rsid w:val="0098502B"/>
    <w:rsid w:val="0098566C"/>
    <w:rsid w:val="009856CC"/>
    <w:rsid w:val="009856D1"/>
    <w:rsid w:val="0098586E"/>
    <w:rsid w:val="0098591C"/>
    <w:rsid w:val="00985B53"/>
    <w:rsid w:val="00985E2B"/>
    <w:rsid w:val="00985E5B"/>
    <w:rsid w:val="00986006"/>
    <w:rsid w:val="00986046"/>
    <w:rsid w:val="0098618B"/>
    <w:rsid w:val="0098656E"/>
    <w:rsid w:val="009865BA"/>
    <w:rsid w:val="0098661A"/>
    <w:rsid w:val="00986642"/>
    <w:rsid w:val="00986D45"/>
    <w:rsid w:val="00986F16"/>
    <w:rsid w:val="00987038"/>
    <w:rsid w:val="009871E5"/>
    <w:rsid w:val="009872A0"/>
    <w:rsid w:val="0098736B"/>
    <w:rsid w:val="009873BB"/>
    <w:rsid w:val="009873EB"/>
    <w:rsid w:val="00987513"/>
    <w:rsid w:val="00987553"/>
    <w:rsid w:val="009877AB"/>
    <w:rsid w:val="00987924"/>
    <w:rsid w:val="00987A5B"/>
    <w:rsid w:val="00987A6F"/>
    <w:rsid w:val="00987BBD"/>
    <w:rsid w:val="00987DD7"/>
    <w:rsid w:val="00987ECD"/>
    <w:rsid w:val="00987F52"/>
    <w:rsid w:val="00987F70"/>
    <w:rsid w:val="00987F78"/>
    <w:rsid w:val="009900D7"/>
    <w:rsid w:val="0099038C"/>
    <w:rsid w:val="009903A5"/>
    <w:rsid w:val="00990687"/>
    <w:rsid w:val="00990751"/>
    <w:rsid w:val="009907CA"/>
    <w:rsid w:val="00990820"/>
    <w:rsid w:val="00990C63"/>
    <w:rsid w:val="00990C7F"/>
    <w:rsid w:val="00990D4C"/>
    <w:rsid w:val="00990E51"/>
    <w:rsid w:val="00990F7E"/>
    <w:rsid w:val="00991211"/>
    <w:rsid w:val="0099131B"/>
    <w:rsid w:val="009914E1"/>
    <w:rsid w:val="009914F1"/>
    <w:rsid w:val="00991568"/>
    <w:rsid w:val="00991573"/>
    <w:rsid w:val="0099173D"/>
    <w:rsid w:val="00991782"/>
    <w:rsid w:val="009917F5"/>
    <w:rsid w:val="00991813"/>
    <w:rsid w:val="009919FB"/>
    <w:rsid w:val="009919FD"/>
    <w:rsid w:val="00991A34"/>
    <w:rsid w:val="00991A9A"/>
    <w:rsid w:val="00991AAD"/>
    <w:rsid w:val="00991AB2"/>
    <w:rsid w:val="00991C68"/>
    <w:rsid w:val="00991CF4"/>
    <w:rsid w:val="00991DFE"/>
    <w:rsid w:val="00992349"/>
    <w:rsid w:val="00992584"/>
    <w:rsid w:val="009925E3"/>
    <w:rsid w:val="009927BF"/>
    <w:rsid w:val="0099280A"/>
    <w:rsid w:val="0099288C"/>
    <w:rsid w:val="00992957"/>
    <w:rsid w:val="009929D5"/>
    <w:rsid w:val="00992D3F"/>
    <w:rsid w:val="00992D99"/>
    <w:rsid w:val="00993110"/>
    <w:rsid w:val="0099317E"/>
    <w:rsid w:val="0099327F"/>
    <w:rsid w:val="00993363"/>
    <w:rsid w:val="00993436"/>
    <w:rsid w:val="00993A4B"/>
    <w:rsid w:val="00993A5C"/>
    <w:rsid w:val="00993B83"/>
    <w:rsid w:val="00993C1B"/>
    <w:rsid w:val="00993E24"/>
    <w:rsid w:val="0099401C"/>
    <w:rsid w:val="00994141"/>
    <w:rsid w:val="0099441B"/>
    <w:rsid w:val="009944A8"/>
    <w:rsid w:val="00994615"/>
    <w:rsid w:val="009947CA"/>
    <w:rsid w:val="009948CE"/>
    <w:rsid w:val="00994AFA"/>
    <w:rsid w:val="00994B7B"/>
    <w:rsid w:val="00994CC9"/>
    <w:rsid w:val="00994CDA"/>
    <w:rsid w:val="00994D5D"/>
    <w:rsid w:val="00994EBF"/>
    <w:rsid w:val="00994F15"/>
    <w:rsid w:val="00995209"/>
    <w:rsid w:val="0099528B"/>
    <w:rsid w:val="00995396"/>
    <w:rsid w:val="0099544F"/>
    <w:rsid w:val="009954D3"/>
    <w:rsid w:val="0099564C"/>
    <w:rsid w:val="00995674"/>
    <w:rsid w:val="009956A0"/>
    <w:rsid w:val="00995B8C"/>
    <w:rsid w:val="00995C06"/>
    <w:rsid w:val="00995C78"/>
    <w:rsid w:val="00995C9F"/>
    <w:rsid w:val="00995D0F"/>
    <w:rsid w:val="00995DBD"/>
    <w:rsid w:val="00995E0A"/>
    <w:rsid w:val="00995E38"/>
    <w:rsid w:val="009965ED"/>
    <w:rsid w:val="009969F8"/>
    <w:rsid w:val="00996A03"/>
    <w:rsid w:val="00996C24"/>
    <w:rsid w:val="00996CAC"/>
    <w:rsid w:val="00996CC2"/>
    <w:rsid w:val="00996CDA"/>
    <w:rsid w:val="00996DBE"/>
    <w:rsid w:val="00996DCE"/>
    <w:rsid w:val="00996F31"/>
    <w:rsid w:val="00996FAC"/>
    <w:rsid w:val="0099704B"/>
    <w:rsid w:val="00997149"/>
    <w:rsid w:val="009972BB"/>
    <w:rsid w:val="00997597"/>
    <w:rsid w:val="009975D4"/>
    <w:rsid w:val="0099760D"/>
    <w:rsid w:val="00997650"/>
    <w:rsid w:val="00997681"/>
    <w:rsid w:val="00997B18"/>
    <w:rsid w:val="00997D31"/>
    <w:rsid w:val="009A0047"/>
    <w:rsid w:val="009A03E6"/>
    <w:rsid w:val="009A0A20"/>
    <w:rsid w:val="009A0A64"/>
    <w:rsid w:val="009A0AF3"/>
    <w:rsid w:val="009A0B47"/>
    <w:rsid w:val="009A0C64"/>
    <w:rsid w:val="009A0E2B"/>
    <w:rsid w:val="009A10DE"/>
    <w:rsid w:val="009A1394"/>
    <w:rsid w:val="009A1543"/>
    <w:rsid w:val="009A197C"/>
    <w:rsid w:val="009A1B65"/>
    <w:rsid w:val="009A1D00"/>
    <w:rsid w:val="009A1E76"/>
    <w:rsid w:val="009A1EE5"/>
    <w:rsid w:val="009A2144"/>
    <w:rsid w:val="009A2166"/>
    <w:rsid w:val="009A219E"/>
    <w:rsid w:val="009A21DD"/>
    <w:rsid w:val="009A2410"/>
    <w:rsid w:val="009A245D"/>
    <w:rsid w:val="009A257A"/>
    <w:rsid w:val="009A2596"/>
    <w:rsid w:val="009A25ED"/>
    <w:rsid w:val="009A27AE"/>
    <w:rsid w:val="009A281D"/>
    <w:rsid w:val="009A2838"/>
    <w:rsid w:val="009A283C"/>
    <w:rsid w:val="009A2945"/>
    <w:rsid w:val="009A2AA1"/>
    <w:rsid w:val="009A2CD8"/>
    <w:rsid w:val="009A2CDE"/>
    <w:rsid w:val="009A2DE9"/>
    <w:rsid w:val="009A2E8A"/>
    <w:rsid w:val="009A2E96"/>
    <w:rsid w:val="009A3024"/>
    <w:rsid w:val="009A3117"/>
    <w:rsid w:val="009A327E"/>
    <w:rsid w:val="009A3396"/>
    <w:rsid w:val="009A34DE"/>
    <w:rsid w:val="009A3894"/>
    <w:rsid w:val="009A3B0C"/>
    <w:rsid w:val="009A3B4E"/>
    <w:rsid w:val="009A3DD3"/>
    <w:rsid w:val="009A3E8B"/>
    <w:rsid w:val="009A40DE"/>
    <w:rsid w:val="009A41A1"/>
    <w:rsid w:val="009A42B0"/>
    <w:rsid w:val="009A4417"/>
    <w:rsid w:val="009A4B60"/>
    <w:rsid w:val="009A4E9A"/>
    <w:rsid w:val="009A4F08"/>
    <w:rsid w:val="009A4F2E"/>
    <w:rsid w:val="009A4FE9"/>
    <w:rsid w:val="009A5008"/>
    <w:rsid w:val="009A5167"/>
    <w:rsid w:val="009A52CE"/>
    <w:rsid w:val="009A5474"/>
    <w:rsid w:val="009A5703"/>
    <w:rsid w:val="009A57E2"/>
    <w:rsid w:val="009A5891"/>
    <w:rsid w:val="009A5993"/>
    <w:rsid w:val="009A5ACC"/>
    <w:rsid w:val="009A5DA2"/>
    <w:rsid w:val="009A5F52"/>
    <w:rsid w:val="009A600F"/>
    <w:rsid w:val="009A607E"/>
    <w:rsid w:val="009A6091"/>
    <w:rsid w:val="009A6154"/>
    <w:rsid w:val="009A62E9"/>
    <w:rsid w:val="009A641D"/>
    <w:rsid w:val="009A6481"/>
    <w:rsid w:val="009A6502"/>
    <w:rsid w:val="009A66B3"/>
    <w:rsid w:val="009A685F"/>
    <w:rsid w:val="009A69F6"/>
    <w:rsid w:val="009A6AAB"/>
    <w:rsid w:val="009A6C9A"/>
    <w:rsid w:val="009A6CF6"/>
    <w:rsid w:val="009A6E47"/>
    <w:rsid w:val="009A6EDB"/>
    <w:rsid w:val="009A6F05"/>
    <w:rsid w:val="009A701E"/>
    <w:rsid w:val="009A7689"/>
    <w:rsid w:val="009A76BC"/>
    <w:rsid w:val="009A77BA"/>
    <w:rsid w:val="009A7977"/>
    <w:rsid w:val="009A7BAD"/>
    <w:rsid w:val="009A7C0F"/>
    <w:rsid w:val="009B016B"/>
    <w:rsid w:val="009B02C3"/>
    <w:rsid w:val="009B02F1"/>
    <w:rsid w:val="009B03CF"/>
    <w:rsid w:val="009B056C"/>
    <w:rsid w:val="009B0610"/>
    <w:rsid w:val="009B06CE"/>
    <w:rsid w:val="009B098E"/>
    <w:rsid w:val="009B0A98"/>
    <w:rsid w:val="009B0CC0"/>
    <w:rsid w:val="009B0D73"/>
    <w:rsid w:val="009B0F7F"/>
    <w:rsid w:val="009B154A"/>
    <w:rsid w:val="009B154F"/>
    <w:rsid w:val="009B1662"/>
    <w:rsid w:val="009B16B3"/>
    <w:rsid w:val="009B17CE"/>
    <w:rsid w:val="009B18C1"/>
    <w:rsid w:val="009B196D"/>
    <w:rsid w:val="009B19BF"/>
    <w:rsid w:val="009B1A34"/>
    <w:rsid w:val="009B1D3F"/>
    <w:rsid w:val="009B2039"/>
    <w:rsid w:val="009B21E9"/>
    <w:rsid w:val="009B2224"/>
    <w:rsid w:val="009B2341"/>
    <w:rsid w:val="009B26EA"/>
    <w:rsid w:val="009B2707"/>
    <w:rsid w:val="009B2762"/>
    <w:rsid w:val="009B297E"/>
    <w:rsid w:val="009B2B5F"/>
    <w:rsid w:val="009B2B72"/>
    <w:rsid w:val="009B2BF1"/>
    <w:rsid w:val="009B2C23"/>
    <w:rsid w:val="009B2E4A"/>
    <w:rsid w:val="009B2E61"/>
    <w:rsid w:val="009B2F06"/>
    <w:rsid w:val="009B2FE6"/>
    <w:rsid w:val="009B3572"/>
    <w:rsid w:val="009B3669"/>
    <w:rsid w:val="009B36B0"/>
    <w:rsid w:val="009B37D1"/>
    <w:rsid w:val="009B3940"/>
    <w:rsid w:val="009B3959"/>
    <w:rsid w:val="009B3A92"/>
    <w:rsid w:val="009B3BA7"/>
    <w:rsid w:val="009B3D88"/>
    <w:rsid w:val="009B3DA7"/>
    <w:rsid w:val="009B3EED"/>
    <w:rsid w:val="009B40D0"/>
    <w:rsid w:val="009B421E"/>
    <w:rsid w:val="009B4399"/>
    <w:rsid w:val="009B45E7"/>
    <w:rsid w:val="009B465C"/>
    <w:rsid w:val="009B47E1"/>
    <w:rsid w:val="009B4817"/>
    <w:rsid w:val="009B4833"/>
    <w:rsid w:val="009B4DC4"/>
    <w:rsid w:val="009B52F8"/>
    <w:rsid w:val="009B535A"/>
    <w:rsid w:val="009B54FA"/>
    <w:rsid w:val="009B586A"/>
    <w:rsid w:val="009B5A20"/>
    <w:rsid w:val="009B5BDE"/>
    <w:rsid w:val="009B5C66"/>
    <w:rsid w:val="009B5F66"/>
    <w:rsid w:val="009B5FB0"/>
    <w:rsid w:val="009B61B1"/>
    <w:rsid w:val="009B631D"/>
    <w:rsid w:val="009B63FA"/>
    <w:rsid w:val="009B6448"/>
    <w:rsid w:val="009B64C3"/>
    <w:rsid w:val="009B64C8"/>
    <w:rsid w:val="009B6592"/>
    <w:rsid w:val="009B65AB"/>
    <w:rsid w:val="009B6614"/>
    <w:rsid w:val="009B6662"/>
    <w:rsid w:val="009B6823"/>
    <w:rsid w:val="009B69DB"/>
    <w:rsid w:val="009B6CE8"/>
    <w:rsid w:val="009B6D9A"/>
    <w:rsid w:val="009B6EFA"/>
    <w:rsid w:val="009B70EE"/>
    <w:rsid w:val="009B7180"/>
    <w:rsid w:val="009B73CD"/>
    <w:rsid w:val="009B76AF"/>
    <w:rsid w:val="009B7A1A"/>
    <w:rsid w:val="009B7A5F"/>
    <w:rsid w:val="009B7AEB"/>
    <w:rsid w:val="009B7EF2"/>
    <w:rsid w:val="009B7F54"/>
    <w:rsid w:val="009B7F8C"/>
    <w:rsid w:val="009B7F9F"/>
    <w:rsid w:val="009C0126"/>
    <w:rsid w:val="009C0253"/>
    <w:rsid w:val="009C0303"/>
    <w:rsid w:val="009C03D2"/>
    <w:rsid w:val="009C03DC"/>
    <w:rsid w:val="009C04C7"/>
    <w:rsid w:val="009C0736"/>
    <w:rsid w:val="009C073A"/>
    <w:rsid w:val="009C07E1"/>
    <w:rsid w:val="009C08E4"/>
    <w:rsid w:val="009C0BCF"/>
    <w:rsid w:val="009C133F"/>
    <w:rsid w:val="009C13B0"/>
    <w:rsid w:val="009C145B"/>
    <w:rsid w:val="009C1503"/>
    <w:rsid w:val="009C15DC"/>
    <w:rsid w:val="009C16F5"/>
    <w:rsid w:val="009C172F"/>
    <w:rsid w:val="009C1A2C"/>
    <w:rsid w:val="009C1B92"/>
    <w:rsid w:val="009C1C2C"/>
    <w:rsid w:val="009C1D36"/>
    <w:rsid w:val="009C1E78"/>
    <w:rsid w:val="009C1FA2"/>
    <w:rsid w:val="009C2143"/>
    <w:rsid w:val="009C21C6"/>
    <w:rsid w:val="009C23AF"/>
    <w:rsid w:val="009C24D1"/>
    <w:rsid w:val="009C2B68"/>
    <w:rsid w:val="009C2CB7"/>
    <w:rsid w:val="009C2EAF"/>
    <w:rsid w:val="009C2F9B"/>
    <w:rsid w:val="009C30E0"/>
    <w:rsid w:val="009C30E4"/>
    <w:rsid w:val="009C321E"/>
    <w:rsid w:val="009C3271"/>
    <w:rsid w:val="009C3416"/>
    <w:rsid w:val="009C37DE"/>
    <w:rsid w:val="009C37E5"/>
    <w:rsid w:val="009C3805"/>
    <w:rsid w:val="009C3A10"/>
    <w:rsid w:val="009C3A32"/>
    <w:rsid w:val="009C3EE3"/>
    <w:rsid w:val="009C3F3E"/>
    <w:rsid w:val="009C3FBF"/>
    <w:rsid w:val="009C4032"/>
    <w:rsid w:val="009C40DD"/>
    <w:rsid w:val="009C41D2"/>
    <w:rsid w:val="009C4217"/>
    <w:rsid w:val="009C459E"/>
    <w:rsid w:val="009C4630"/>
    <w:rsid w:val="009C4669"/>
    <w:rsid w:val="009C46BE"/>
    <w:rsid w:val="009C4796"/>
    <w:rsid w:val="009C47C8"/>
    <w:rsid w:val="009C4C86"/>
    <w:rsid w:val="009C4DAB"/>
    <w:rsid w:val="009C4E7D"/>
    <w:rsid w:val="009C5045"/>
    <w:rsid w:val="009C5492"/>
    <w:rsid w:val="009C579A"/>
    <w:rsid w:val="009C5B1E"/>
    <w:rsid w:val="009C5B69"/>
    <w:rsid w:val="009C5C00"/>
    <w:rsid w:val="009C5FEF"/>
    <w:rsid w:val="009C6166"/>
    <w:rsid w:val="009C62FF"/>
    <w:rsid w:val="009C6470"/>
    <w:rsid w:val="009C66AA"/>
    <w:rsid w:val="009C69A7"/>
    <w:rsid w:val="009C6A41"/>
    <w:rsid w:val="009C6C54"/>
    <w:rsid w:val="009C6E50"/>
    <w:rsid w:val="009C6EF4"/>
    <w:rsid w:val="009C7176"/>
    <w:rsid w:val="009C744A"/>
    <w:rsid w:val="009C747C"/>
    <w:rsid w:val="009C7568"/>
    <w:rsid w:val="009C7623"/>
    <w:rsid w:val="009C7907"/>
    <w:rsid w:val="009C7BFA"/>
    <w:rsid w:val="009C7CFC"/>
    <w:rsid w:val="009C7E08"/>
    <w:rsid w:val="009C7F87"/>
    <w:rsid w:val="009D0013"/>
    <w:rsid w:val="009D008D"/>
    <w:rsid w:val="009D01DF"/>
    <w:rsid w:val="009D03C5"/>
    <w:rsid w:val="009D0453"/>
    <w:rsid w:val="009D04D0"/>
    <w:rsid w:val="009D098C"/>
    <w:rsid w:val="009D0A3D"/>
    <w:rsid w:val="009D0AAA"/>
    <w:rsid w:val="009D0C42"/>
    <w:rsid w:val="009D0CAD"/>
    <w:rsid w:val="009D0E04"/>
    <w:rsid w:val="009D0EB8"/>
    <w:rsid w:val="009D0F27"/>
    <w:rsid w:val="009D0F4B"/>
    <w:rsid w:val="009D0F74"/>
    <w:rsid w:val="009D125A"/>
    <w:rsid w:val="009D12BC"/>
    <w:rsid w:val="009D1592"/>
    <w:rsid w:val="009D1611"/>
    <w:rsid w:val="009D1642"/>
    <w:rsid w:val="009D1932"/>
    <w:rsid w:val="009D1AEA"/>
    <w:rsid w:val="009D1B10"/>
    <w:rsid w:val="009D1B68"/>
    <w:rsid w:val="009D1E3C"/>
    <w:rsid w:val="009D1EB4"/>
    <w:rsid w:val="009D22A2"/>
    <w:rsid w:val="009D25BE"/>
    <w:rsid w:val="009D260A"/>
    <w:rsid w:val="009D2659"/>
    <w:rsid w:val="009D270B"/>
    <w:rsid w:val="009D28E0"/>
    <w:rsid w:val="009D290C"/>
    <w:rsid w:val="009D298D"/>
    <w:rsid w:val="009D2B62"/>
    <w:rsid w:val="009D2BEB"/>
    <w:rsid w:val="009D2DED"/>
    <w:rsid w:val="009D2E37"/>
    <w:rsid w:val="009D2EA2"/>
    <w:rsid w:val="009D2F40"/>
    <w:rsid w:val="009D3052"/>
    <w:rsid w:val="009D31D4"/>
    <w:rsid w:val="009D341A"/>
    <w:rsid w:val="009D3448"/>
    <w:rsid w:val="009D3458"/>
    <w:rsid w:val="009D3738"/>
    <w:rsid w:val="009D39E4"/>
    <w:rsid w:val="009D3ABE"/>
    <w:rsid w:val="009D3C92"/>
    <w:rsid w:val="009D4047"/>
    <w:rsid w:val="009D408F"/>
    <w:rsid w:val="009D43AB"/>
    <w:rsid w:val="009D46BC"/>
    <w:rsid w:val="009D488C"/>
    <w:rsid w:val="009D4C48"/>
    <w:rsid w:val="009D4D4C"/>
    <w:rsid w:val="009D509B"/>
    <w:rsid w:val="009D5691"/>
    <w:rsid w:val="009D5B40"/>
    <w:rsid w:val="009D5C9E"/>
    <w:rsid w:val="009D5FB3"/>
    <w:rsid w:val="009D6811"/>
    <w:rsid w:val="009D6A7C"/>
    <w:rsid w:val="009D6B8F"/>
    <w:rsid w:val="009D6E22"/>
    <w:rsid w:val="009D7009"/>
    <w:rsid w:val="009D7040"/>
    <w:rsid w:val="009D707D"/>
    <w:rsid w:val="009D72EA"/>
    <w:rsid w:val="009D7381"/>
    <w:rsid w:val="009D7642"/>
    <w:rsid w:val="009D774A"/>
    <w:rsid w:val="009D79A9"/>
    <w:rsid w:val="009D79D8"/>
    <w:rsid w:val="009D7C91"/>
    <w:rsid w:val="009D7D6F"/>
    <w:rsid w:val="009D7D76"/>
    <w:rsid w:val="009E006D"/>
    <w:rsid w:val="009E0360"/>
    <w:rsid w:val="009E03D9"/>
    <w:rsid w:val="009E0488"/>
    <w:rsid w:val="009E0652"/>
    <w:rsid w:val="009E093F"/>
    <w:rsid w:val="009E0CD4"/>
    <w:rsid w:val="009E110D"/>
    <w:rsid w:val="009E1188"/>
    <w:rsid w:val="009E13DC"/>
    <w:rsid w:val="009E140B"/>
    <w:rsid w:val="009E1462"/>
    <w:rsid w:val="009E1606"/>
    <w:rsid w:val="009E1996"/>
    <w:rsid w:val="009E1A44"/>
    <w:rsid w:val="009E1A72"/>
    <w:rsid w:val="009E1ABB"/>
    <w:rsid w:val="009E1C7E"/>
    <w:rsid w:val="009E1D14"/>
    <w:rsid w:val="009E1E65"/>
    <w:rsid w:val="009E1FBD"/>
    <w:rsid w:val="009E209F"/>
    <w:rsid w:val="009E20AE"/>
    <w:rsid w:val="009E2326"/>
    <w:rsid w:val="009E29F8"/>
    <w:rsid w:val="009E2B84"/>
    <w:rsid w:val="009E2C12"/>
    <w:rsid w:val="009E2D05"/>
    <w:rsid w:val="009E2E12"/>
    <w:rsid w:val="009E2F99"/>
    <w:rsid w:val="009E3332"/>
    <w:rsid w:val="009E33D5"/>
    <w:rsid w:val="009E340D"/>
    <w:rsid w:val="009E3467"/>
    <w:rsid w:val="009E3542"/>
    <w:rsid w:val="009E3624"/>
    <w:rsid w:val="009E362B"/>
    <w:rsid w:val="009E3C63"/>
    <w:rsid w:val="009E3D3E"/>
    <w:rsid w:val="009E404E"/>
    <w:rsid w:val="009E40AA"/>
    <w:rsid w:val="009E442F"/>
    <w:rsid w:val="009E4487"/>
    <w:rsid w:val="009E458D"/>
    <w:rsid w:val="009E4688"/>
    <w:rsid w:val="009E4AAD"/>
    <w:rsid w:val="009E4B3E"/>
    <w:rsid w:val="009E4B8F"/>
    <w:rsid w:val="009E4C81"/>
    <w:rsid w:val="009E4DCB"/>
    <w:rsid w:val="009E4EDE"/>
    <w:rsid w:val="009E4EE6"/>
    <w:rsid w:val="009E4FA8"/>
    <w:rsid w:val="009E4FEC"/>
    <w:rsid w:val="009E5129"/>
    <w:rsid w:val="009E51AA"/>
    <w:rsid w:val="009E5333"/>
    <w:rsid w:val="009E5417"/>
    <w:rsid w:val="009E562F"/>
    <w:rsid w:val="009E596C"/>
    <w:rsid w:val="009E5A33"/>
    <w:rsid w:val="009E5AD6"/>
    <w:rsid w:val="009E5C07"/>
    <w:rsid w:val="009E5DC2"/>
    <w:rsid w:val="009E5E06"/>
    <w:rsid w:val="009E5EB8"/>
    <w:rsid w:val="009E6158"/>
    <w:rsid w:val="009E6267"/>
    <w:rsid w:val="009E6281"/>
    <w:rsid w:val="009E62EA"/>
    <w:rsid w:val="009E665C"/>
    <w:rsid w:val="009E6BDD"/>
    <w:rsid w:val="009E6C48"/>
    <w:rsid w:val="009E6D3D"/>
    <w:rsid w:val="009E6D82"/>
    <w:rsid w:val="009E6E2D"/>
    <w:rsid w:val="009E6EAF"/>
    <w:rsid w:val="009E7566"/>
    <w:rsid w:val="009E7620"/>
    <w:rsid w:val="009E7676"/>
    <w:rsid w:val="009E7822"/>
    <w:rsid w:val="009E7853"/>
    <w:rsid w:val="009E789C"/>
    <w:rsid w:val="009E78EF"/>
    <w:rsid w:val="009E792D"/>
    <w:rsid w:val="009E7A85"/>
    <w:rsid w:val="009E7BEE"/>
    <w:rsid w:val="009E7FC7"/>
    <w:rsid w:val="009F008C"/>
    <w:rsid w:val="009F01D8"/>
    <w:rsid w:val="009F02D5"/>
    <w:rsid w:val="009F0688"/>
    <w:rsid w:val="009F06EC"/>
    <w:rsid w:val="009F093E"/>
    <w:rsid w:val="009F0B0A"/>
    <w:rsid w:val="009F0B13"/>
    <w:rsid w:val="009F0D4C"/>
    <w:rsid w:val="009F0E7D"/>
    <w:rsid w:val="009F1076"/>
    <w:rsid w:val="009F12D2"/>
    <w:rsid w:val="009F1410"/>
    <w:rsid w:val="009F19E1"/>
    <w:rsid w:val="009F1A11"/>
    <w:rsid w:val="009F1A81"/>
    <w:rsid w:val="009F1D01"/>
    <w:rsid w:val="009F200B"/>
    <w:rsid w:val="009F21A9"/>
    <w:rsid w:val="009F24DD"/>
    <w:rsid w:val="009F2798"/>
    <w:rsid w:val="009F27AF"/>
    <w:rsid w:val="009F2996"/>
    <w:rsid w:val="009F2C22"/>
    <w:rsid w:val="009F2ED6"/>
    <w:rsid w:val="009F2F31"/>
    <w:rsid w:val="009F2F92"/>
    <w:rsid w:val="009F3182"/>
    <w:rsid w:val="009F3336"/>
    <w:rsid w:val="009F3583"/>
    <w:rsid w:val="009F382B"/>
    <w:rsid w:val="009F3935"/>
    <w:rsid w:val="009F3BE6"/>
    <w:rsid w:val="009F3D05"/>
    <w:rsid w:val="009F3F39"/>
    <w:rsid w:val="009F4503"/>
    <w:rsid w:val="009F49ED"/>
    <w:rsid w:val="009F4A0C"/>
    <w:rsid w:val="009F4CD7"/>
    <w:rsid w:val="009F4FD5"/>
    <w:rsid w:val="009F513B"/>
    <w:rsid w:val="009F524A"/>
    <w:rsid w:val="009F543A"/>
    <w:rsid w:val="009F5728"/>
    <w:rsid w:val="009F5772"/>
    <w:rsid w:val="009F591C"/>
    <w:rsid w:val="009F5971"/>
    <w:rsid w:val="009F5A36"/>
    <w:rsid w:val="009F5A86"/>
    <w:rsid w:val="009F5AFE"/>
    <w:rsid w:val="009F5D5E"/>
    <w:rsid w:val="009F6047"/>
    <w:rsid w:val="009F610D"/>
    <w:rsid w:val="009F612D"/>
    <w:rsid w:val="009F63CF"/>
    <w:rsid w:val="009F6CD2"/>
    <w:rsid w:val="009F6DC9"/>
    <w:rsid w:val="009F6F05"/>
    <w:rsid w:val="009F6F40"/>
    <w:rsid w:val="009F70F8"/>
    <w:rsid w:val="009F7161"/>
    <w:rsid w:val="009F72DC"/>
    <w:rsid w:val="009F73F1"/>
    <w:rsid w:val="009F756E"/>
    <w:rsid w:val="009F75D9"/>
    <w:rsid w:val="009F76C1"/>
    <w:rsid w:val="009F76CD"/>
    <w:rsid w:val="009F770A"/>
    <w:rsid w:val="009F775F"/>
    <w:rsid w:val="009F78D4"/>
    <w:rsid w:val="009F7B14"/>
    <w:rsid w:val="009F7CE5"/>
    <w:rsid w:val="009F7F1D"/>
    <w:rsid w:val="00A00149"/>
    <w:rsid w:val="00A00159"/>
    <w:rsid w:val="00A0060A"/>
    <w:rsid w:val="00A00629"/>
    <w:rsid w:val="00A00913"/>
    <w:rsid w:val="00A009B2"/>
    <w:rsid w:val="00A00CB5"/>
    <w:rsid w:val="00A00DEA"/>
    <w:rsid w:val="00A00FFD"/>
    <w:rsid w:val="00A012D2"/>
    <w:rsid w:val="00A013E6"/>
    <w:rsid w:val="00A014AA"/>
    <w:rsid w:val="00A01562"/>
    <w:rsid w:val="00A016C7"/>
    <w:rsid w:val="00A019B3"/>
    <w:rsid w:val="00A01A7B"/>
    <w:rsid w:val="00A01DA1"/>
    <w:rsid w:val="00A01DD8"/>
    <w:rsid w:val="00A0200B"/>
    <w:rsid w:val="00A02046"/>
    <w:rsid w:val="00A020AF"/>
    <w:rsid w:val="00A02110"/>
    <w:rsid w:val="00A02186"/>
    <w:rsid w:val="00A023A7"/>
    <w:rsid w:val="00A026E4"/>
    <w:rsid w:val="00A0272D"/>
    <w:rsid w:val="00A02789"/>
    <w:rsid w:val="00A027D5"/>
    <w:rsid w:val="00A0286E"/>
    <w:rsid w:val="00A02AE5"/>
    <w:rsid w:val="00A02C98"/>
    <w:rsid w:val="00A02E1C"/>
    <w:rsid w:val="00A02E6F"/>
    <w:rsid w:val="00A02FC0"/>
    <w:rsid w:val="00A031AA"/>
    <w:rsid w:val="00A03402"/>
    <w:rsid w:val="00A0353E"/>
    <w:rsid w:val="00A0386F"/>
    <w:rsid w:val="00A038B2"/>
    <w:rsid w:val="00A0390F"/>
    <w:rsid w:val="00A03954"/>
    <w:rsid w:val="00A03AE2"/>
    <w:rsid w:val="00A03B0F"/>
    <w:rsid w:val="00A03B92"/>
    <w:rsid w:val="00A03BC8"/>
    <w:rsid w:val="00A03BD5"/>
    <w:rsid w:val="00A03D5C"/>
    <w:rsid w:val="00A04370"/>
    <w:rsid w:val="00A044B6"/>
    <w:rsid w:val="00A04649"/>
    <w:rsid w:val="00A048E6"/>
    <w:rsid w:val="00A049CE"/>
    <w:rsid w:val="00A04A73"/>
    <w:rsid w:val="00A04CA9"/>
    <w:rsid w:val="00A04ED2"/>
    <w:rsid w:val="00A04F35"/>
    <w:rsid w:val="00A05020"/>
    <w:rsid w:val="00A05147"/>
    <w:rsid w:val="00A05194"/>
    <w:rsid w:val="00A051F5"/>
    <w:rsid w:val="00A05501"/>
    <w:rsid w:val="00A056D2"/>
    <w:rsid w:val="00A05727"/>
    <w:rsid w:val="00A0574A"/>
    <w:rsid w:val="00A0577F"/>
    <w:rsid w:val="00A05818"/>
    <w:rsid w:val="00A05ABF"/>
    <w:rsid w:val="00A05CC7"/>
    <w:rsid w:val="00A05CDF"/>
    <w:rsid w:val="00A05E89"/>
    <w:rsid w:val="00A05EAB"/>
    <w:rsid w:val="00A0602F"/>
    <w:rsid w:val="00A06107"/>
    <w:rsid w:val="00A0617C"/>
    <w:rsid w:val="00A06327"/>
    <w:rsid w:val="00A06442"/>
    <w:rsid w:val="00A065B8"/>
    <w:rsid w:val="00A0661B"/>
    <w:rsid w:val="00A067FF"/>
    <w:rsid w:val="00A06994"/>
    <w:rsid w:val="00A06B0C"/>
    <w:rsid w:val="00A06B58"/>
    <w:rsid w:val="00A06BA6"/>
    <w:rsid w:val="00A06DDB"/>
    <w:rsid w:val="00A06EE6"/>
    <w:rsid w:val="00A07056"/>
    <w:rsid w:val="00A0715A"/>
    <w:rsid w:val="00A07225"/>
    <w:rsid w:val="00A0722E"/>
    <w:rsid w:val="00A07977"/>
    <w:rsid w:val="00A07A91"/>
    <w:rsid w:val="00A07D7A"/>
    <w:rsid w:val="00A07FEF"/>
    <w:rsid w:val="00A1020B"/>
    <w:rsid w:val="00A10234"/>
    <w:rsid w:val="00A10324"/>
    <w:rsid w:val="00A10691"/>
    <w:rsid w:val="00A107BD"/>
    <w:rsid w:val="00A10860"/>
    <w:rsid w:val="00A10891"/>
    <w:rsid w:val="00A10917"/>
    <w:rsid w:val="00A10C4D"/>
    <w:rsid w:val="00A10F53"/>
    <w:rsid w:val="00A116C7"/>
    <w:rsid w:val="00A11748"/>
    <w:rsid w:val="00A11776"/>
    <w:rsid w:val="00A1177F"/>
    <w:rsid w:val="00A11A65"/>
    <w:rsid w:val="00A11AF3"/>
    <w:rsid w:val="00A11B08"/>
    <w:rsid w:val="00A11D99"/>
    <w:rsid w:val="00A11F73"/>
    <w:rsid w:val="00A1223D"/>
    <w:rsid w:val="00A12567"/>
    <w:rsid w:val="00A12894"/>
    <w:rsid w:val="00A128A2"/>
    <w:rsid w:val="00A12AC7"/>
    <w:rsid w:val="00A12C6E"/>
    <w:rsid w:val="00A12CB7"/>
    <w:rsid w:val="00A12F9C"/>
    <w:rsid w:val="00A13178"/>
    <w:rsid w:val="00A131FF"/>
    <w:rsid w:val="00A13201"/>
    <w:rsid w:val="00A1334A"/>
    <w:rsid w:val="00A13453"/>
    <w:rsid w:val="00A1371B"/>
    <w:rsid w:val="00A1383F"/>
    <w:rsid w:val="00A139CD"/>
    <w:rsid w:val="00A13A69"/>
    <w:rsid w:val="00A13AED"/>
    <w:rsid w:val="00A13B65"/>
    <w:rsid w:val="00A13B92"/>
    <w:rsid w:val="00A13D67"/>
    <w:rsid w:val="00A13DBD"/>
    <w:rsid w:val="00A13EC1"/>
    <w:rsid w:val="00A13ECB"/>
    <w:rsid w:val="00A1422F"/>
    <w:rsid w:val="00A14353"/>
    <w:rsid w:val="00A1443C"/>
    <w:rsid w:val="00A14899"/>
    <w:rsid w:val="00A14946"/>
    <w:rsid w:val="00A14973"/>
    <w:rsid w:val="00A14B76"/>
    <w:rsid w:val="00A14C98"/>
    <w:rsid w:val="00A14F16"/>
    <w:rsid w:val="00A14FCF"/>
    <w:rsid w:val="00A14FD4"/>
    <w:rsid w:val="00A151F5"/>
    <w:rsid w:val="00A15358"/>
    <w:rsid w:val="00A153D7"/>
    <w:rsid w:val="00A15678"/>
    <w:rsid w:val="00A15908"/>
    <w:rsid w:val="00A15B44"/>
    <w:rsid w:val="00A15DD8"/>
    <w:rsid w:val="00A16161"/>
    <w:rsid w:val="00A16181"/>
    <w:rsid w:val="00A163DF"/>
    <w:rsid w:val="00A1647E"/>
    <w:rsid w:val="00A16498"/>
    <w:rsid w:val="00A1653B"/>
    <w:rsid w:val="00A16734"/>
    <w:rsid w:val="00A16CE8"/>
    <w:rsid w:val="00A16D3D"/>
    <w:rsid w:val="00A16D7C"/>
    <w:rsid w:val="00A16EF9"/>
    <w:rsid w:val="00A170DE"/>
    <w:rsid w:val="00A1723A"/>
    <w:rsid w:val="00A17312"/>
    <w:rsid w:val="00A173E1"/>
    <w:rsid w:val="00A1742D"/>
    <w:rsid w:val="00A17A8E"/>
    <w:rsid w:val="00A17B23"/>
    <w:rsid w:val="00A17CEA"/>
    <w:rsid w:val="00A17DAF"/>
    <w:rsid w:val="00A17DD6"/>
    <w:rsid w:val="00A17FCB"/>
    <w:rsid w:val="00A20050"/>
    <w:rsid w:val="00A200FE"/>
    <w:rsid w:val="00A203C3"/>
    <w:rsid w:val="00A20544"/>
    <w:rsid w:val="00A20722"/>
    <w:rsid w:val="00A20F61"/>
    <w:rsid w:val="00A20F84"/>
    <w:rsid w:val="00A210AD"/>
    <w:rsid w:val="00A2111D"/>
    <w:rsid w:val="00A21150"/>
    <w:rsid w:val="00A214A8"/>
    <w:rsid w:val="00A2187A"/>
    <w:rsid w:val="00A218E2"/>
    <w:rsid w:val="00A218E9"/>
    <w:rsid w:val="00A2198E"/>
    <w:rsid w:val="00A21B47"/>
    <w:rsid w:val="00A21BA9"/>
    <w:rsid w:val="00A21BF9"/>
    <w:rsid w:val="00A21CF4"/>
    <w:rsid w:val="00A21D48"/>
    <w:rsid w:val="00A21FBB"/>
    <w:rsid w:val="00A2205C"/>
    <w:rsid w:val="00A2222C"/>
    <w:rsid w:val="00A22374"/>
    <w:rsid w:val="00A223C8"/>
    <w:rsid w:val="00A228BF"/>
    <w:rsid w:val="00A228F1"/>
    <w:rsid w:val="00A22A17"/>
    <w:rsid w:val="00A22C13"/>
    <w:rsid w:val="00A22C48"/>
    <w:rsid w:val="00A22D71"/>
    <w:rsid w:val="00A22E33"/>
    <w:rsid w:val="00A23444"/>
    <w:rsid w:val="00A23588"/>
    <w:rsid w:val="00A235C6"/>
    <w:rsid w:val="00A2370E"/>
    <w:rsid w:val="00A2377F"/>
    <w:rsid w:val="00A23DAC"/>
    <w:rsid w:val="00A23DD2"/>
    <w:rsid w:val="00A23DFA"/>
    <w:rsid w:val="00A23E1C"/>
    <w:rsid w:val="00A23EFB"/>
    <w:rsid w:val="00A2401D"/>
    <w:rsid w:val="00A24024"/>
    <w:rsid w:val="00A24106"/>
    <w:rsid w:val="00A24312"/>
    <w:rsid w:val="00A24380"/>
    <w:rsid w:val="00A24525"/>
    <w:rsid w:val="00A248A4"/>
    <w:rsid w:val="00A24979"/>
    <w:rsid w:val="00A24E21"/>
    <w:rsid w:val="00A24E26"/>
    <w:rsid w:val="00A24E60"/>
    <w:rsid w:val="00A25041"/>
    <w:rsid w:val="00A252C5"/>
    <w:rsid w:val="00A253E4"/>
    <w:rsid w:val="00A2564F"/>
    <w:rsid w:val="00A25788"/>
    <w:rsid w:val="00A258D7"/>
    <w:rsid w:val="00A25C06"/>
    <w:rsid w:val="00A25C09"/>
    <w:rsid w:val="00A25C3A"/>
    <w:rsid w:val="00A25CC4"/>
    <w:rsid w:val="00A260A0"/>
    <w:rsid w:val="00A2616E"/>
    <w:rsid w:val="00A2620A"/>
    <w:rsid w:val="00A2631B"/>
    <w:rsid w:val="00A263E4"/>
    <w:rsid w:val="00A265F8"/>
    <w:rsid w:val="00A266BA"/>
    <w:rsid w:val="00A26715"/>
    <w:rsid w:val="00A267CD"/>
    <w:rsid w:val="00A268E2"/>
    <w:rsid w:val="00A26A7C"/>
    <w:rsid w:val="00A26B5C"/>
    <w:rsid w:val="00A26C38"/>
    <w:rsid w:val="00A26CEA"/>
    <w:rsid w:val="00A26D26"/>
    <w:rsid w:val="00A26EE7"/>
    <w:rsid w:val="00A2704B"/>
    <w:rsid w:val="00A27177"/>
    <w:rsid w:val="00A2722C"/>
    <w:rsid w:val="00A275A9"/>
    <w:rsid w:val="00A275CB"/>
    <w:rsid w:val="00A27604"/>
    <w:rsid w:val="00A279E1"/>
    <w:rsid w:val="00A279ED"/>
    <w:rsid w:val="00A27A7D"/>
    <w:rsid w:val="00A27DF1"/>
    <w:rsid w:val="00A3001D"/>
    <w:rsid w:val="00A30128"/>
    <w:rsid w:val="00A30238"/>
    <w:rsid w:val="00A30361"/>
    <w:rsid w:val="00A305A6"/>
    <w:rsid w:val="00A30719"/>
    <w:rsid w:val="00A308CE"/>
    <w:rsid w:val="00A30A01"/>
    <w:rsid w:val="00A30A3A"/>
    <w:rsid w:val="00A30CBD"/>
    <w:rsid w:val="00A30CED"/>
    <w:rsid w:val="00A30D83"/>
    <w:rsid w:val="00A30E05"/>
    <w:rsid w:val="00A30E51"/>
    <w:rsid w:val="00A31183"/>
    <w:rsid w:val="00A311CB"/>
    <w:rsid w:val="00A31282"/>
    <w:rsid w:val="00A31715"/>
    <w:rsid w:val="00A317A4"/>
    <w:rsid w:val="00A318B8"/>
    <w:rsid w:val="00A319AB"/>
    <w:rsid w:val="00A319C2"/>
    <w:rsid w:val="00A31BA9"/>
    <w:rsid w:val="00A31BAB"/>
    <w:rsid w:val="00A31C48"/>
    <w:rsid w:val="00A31C49"/>
    <w:rsid w:val="00A31E66"/>
    <w:rsid w:val="00A31F6F"/>
    <w:rsid w:val="00A3222E"/>
    <w:rsid w:val="00A32311"/>
    <w:rsid w:val="00A3246C"/>
    <w:rsid w:val="00A3251B"/>
    <w:rsid w:val="00A325AF"/>
    <w:rsid w:val="00A3277A"/>
    <w:rsid w:val="00A32A74"/>
    <w:rsid w:val="00A32B99"/>
    <w:rsid w:val="00A32C83"/>
    <w:rsid w:val="00A32D62"/>
    <w:rsid w:val="00A32DA4"/>
    <w:rsid w:val="00A32F9C"/>
    <w:rsid w:val="00A330A9"/>
    <w:rsid w:val="00A330B9"/>
    <w:rsid w:val="00A33308"/>
    <w:rsid w:val="00A334C7"/>
    <w:rsid w:val="00A33598"/>
    <w:rsid w:val="00A336DD"/>
    <w:rsid w:val="00A336EE"/>
    <w:rsid w:val="00A33AB8"/>
    <w:rsid w:val="00A33B05"/>
    <w:rsid w:val="00A33B3E"/>
    <w:rsid w:val="00A33F0E"/>
    <w:rsid w:val="00A33F69"/>
    <w:rsid w:val="00A33FD3"/>
    <w:rsid w:val="00A34012"/>
    <w:rsid w:val="00A34077"/>
    <w:rsid w:val="00A34153"/>
    <w:rsid w:val="00A341BB"/>
    <w:rsid w:val="00A342BD"/>
    <w:rsid w:val="00A3444A"/>
    <w:rsid w:val="00A344FA"/>
    <w:rsid w:val="00A34517"/>
    <w:rsid w:val="00A3463C"/>
    <w:rsid w:val="00A346D8"/>
    <w:rsid w:val="00A3480E"/>
    <w:rsid w:val="00A34831"/>
    <w:rsid w:val="00A34972"/>
    <w:rsid w:val="00A349E8"/>
    <w:rsid w:val="00A34B0B"/>
    <w:rsid w:val="00A34EA8"/>
    <w:rsid w:val="00A34F89"/>
    <w:rsid w:val="00A350AA"/>
    <w:rsid w:val="00A35117"/>
    <w:rsid w:val="00A35158"/>
    <w:rsid w:val="00A351FB"/>
    <w:rsid w:val="00A353BE"/>
    <w:rsid w:val="00A353F6"/>
    <w:rsid w:val="00A355AE"/>
    <w:rsid w:val="00A358AA"/>
    <w:rsid w:val="00A35951"/>
    <w:rsid w:val="00A35C93"/>
    <w:rsid w:val="00A35E1F"/>
    <w:rsid w:val="00A35EBA"/>
    <w:rsid w:val="00A35EEC"/>
    <w:rsid w:val="00A35F5D"/>
    <w:rsid w:val="00A360A6"/>
    <w:rsid w:val="00A36186"/>
    <w:rsid w:val="00A362EC"/>
    <w:rsid w:val="00A3639D"/>
    <w:rsid w:val="00A36500"/>
    <w:rsid w:val="00A366F6"/>
    <w:rsid w:val="00A36898"/>
    <w:rsid w:val="00A3691F"/>
    <w:rsid w:val="00A36DBB"/>
    <w:rsid w:val="00A36DF4"/>
    <w:rsid w:val="00A36E34"/>
    <w:rsid w:val="00A36F49"/>
    <w:rsid w:val="00A36F8D"/>
    <w:rsid w:val="00A37111"/>
    <w:rsid w:val="00A37150"/>
    <w:rsid w:val="00A372C2"/>
    <w:rsid w:val="00A372D3"/>
    <w:rsid w:val="00A373A8"/>
    <w:rsid w:val="00A373C8"/>
    <w:rsid w:val="00A3768A"/>
    <w:rsid w:val="00A377AA"/>
    <w:rsid w:val="00A37A8E"/>
    <w:rsid w:val="00A37B7E"/>
    <w:rsid w:val="00A37BEA"/>
    <w:rsid w:val="00A37DEE"/>
    <w:rsid w:val="00A4013B"/>
    <w:rsid w:val="00A402F9"/>
    <w:rsid w:val="00A403B4"/>
    <w:rsid w:val="00A403DD"/>
    <w:rsid w:val="00A405D1"/>
    <w:rsid w:val="00A4067E"/>
    <w:rsid w:val="00A4087C"/>
    <w:rsid w:val="00A40ABB"/>
    <w:rsid w:val="00A40DAF"/>
    <w:rsid w:val="00A40E16"/>
    <w:rsid w:val="00A4126A"/>
    <w:rsid w:val="00A4132D"/>
    <w:rsid w:val="00A41559"/>
    <w:rsid w:val="00A415BE"/>
    <w:rsid w:val="00A415F9"/>
    <w:rsid w:val="00A417FA"/>
    <w:rsid w:val="00A418DC"/>
    <w:rsid w:val="00A41BED"/>
    <w:rsid w:val="00A42018"/>
    <w:rsid w:val="00A42024"/>
    <w:rsid w:val="00A420C5"/>
    <w:rsid w:val="00A420D4"/>
    <w:rsid w:val="00A421F7"/>
    <w:rsid w:val="00A4229D"/>
    <w:rsid w:val="00A422E3"/>
    <w:rsid w:val="00A423CD"/>
    <w:rsid w:val="00A423E9"/>
    <w:rsid w:val="00A42709"/>
    <w:rsid w:val="00A428A2"/>
    <w:rsid w:val="00A428BE"/>
    <w:rsid w:val="00A42914"/>
    <w:rsid w:val="00A42991"/>
    <w:rsid w:val="00A42997"/>
    <w:rsid w:val="00A429E5"/>
    <w:rsid w:val="00A42CC3"/>
    <w:rsid w:val="00A42D16"/>
    <w:rsid w:val="00A432F3"/>
    <w:rsid w:val="00A434E8"/>
    <w:rsid w:val="00A435F9"/>
    <w:rsid w:val="00A438FD"/>
    <w:rsid w:val="00A43B2E"/>
    <w:rsid w:val="00A43B62"/>
    <w:rsid w:val="00A43C1A"/>
    <w:rsid w:val="00A43CFC"/>
    <w:rsid w:val="00A43E8B"/>
    <w:rsid w:val="00A43FC9"/>
    <w:rsid w:val="00A4402D"/>
    <w:rsid w:val="00A44043"/>
    <w:rsid w:val="00A440CB"/>
    <w:rsid w:val="00A44220"/>
    <w:rsid w:val="00A442DA"/>
    <w:rsid w:val="00A447B0"/>
    <w:rsid w:val="00A449A5"/>
    <w:rsid w:val="00A44DEC"/>
    <w:rsid w:val="00A44E24"/>
    <w:rsid w:val="00A44EFF"/>
    <w:rsid w:val="00A45054"/>
    <w:rsid w:val="00A4507C"/>
    <w:rsid w:val="00A45101"/>
    <w:rsid w:val="00A4555D"/>
    <w:rsid w:val="00A45905"/>
    <w:rsid w:val="00A45E9A"/>
    <w:rsid w:val="00A461D6"/>
    <w:rsid w:val="00A4647E"/>
    <w:rsid w:val="00A467F3"/>
    <w:rsid w:val="00A46823"/>
    <w:rsid w:val="00A46952"/>
    <w:rsid w:val="00A469C4"/>
    <w:rsid w:val="00A46C56"/>
    <w:rsid w:val="00A46CBA"/>
    <w:rsid w:val="00A46DAD"/>
    <w:rsid w:val="00A46DE5"/>
    <w:rsid w:val="00A470F1"/>
    <w:rsid w:val="00A47173"/>
    <w:rsid w:val="00A47182"/>
    <w:rsid w:val="00A47326"/>
    <w:rsid w:val="00A473BF"/>
    <w:rsid w:val="00A47485"/>
    <w:rsid w:val="00A4753E"/>
    <w:rsid w:val="00A47705"/>
    <w:rsid w:val="00A478B3"/>
    <w:rsid w:val="00A47940"/>
    <w:rsid w:val="00A47DA7"/>
    <w:rsid w:val="00A47DF6"/>
    <w:rsid w:val="00A47F58"/>
    <w:rsid w:val="00A50135"/>
    <w:rsid w:val="00A50153"/>
    <w:rsid w:val="00A5019E"/>
    <w:rsid w:val="00A501E3"/>
    <w:rsid w:val="00A501F5"/>
    <w:rsid w:val="00A50502"/>
    <w:rsid w:val="00A5063C"/>
    <w:rsid w:val="00A506B9"/>
    <w:rsid w:val="00A50846"/>
    <w:rsid w:val="00A50A28"/>
    <w:rsid w:val="00A50B7F"/>
    <w:rsid w:val="00A50F2A"/>
    <w:rsid w:val="00A51144"/>
    <w:rsid w:val="00A51223"/>
    <w:rsid w:val="00A51929"/>
    <w:rsid w:val="00A51A6B"/>
    <w:rsid w:val="00A51A96"/>
    <w:rsid w:val="00A51AF5"/>
    <w:rsid w:val="00A51D29"/>
    <w:rsid w:val="00A5207B"/>
    <w:rsid w:val="00A520BF"/>
    <w:rsid w:val="00A520D9"/>
    <w:rsid w:val="00A5229B"/>
    <w:rsid w:val="00A52315"/>
    <w:rsid w:val="00A52658"/>
    <w:rsid w:val="00A5278B"/>
    <w:rsid w:val="00A527C4"/>
    <w:rsid w:val="00A52899"/>
    <w:rsid w:val="00A529DE"/>
    <w:rsid w:val="00A52A58"/>
    <w:rsid w:val="00A52AA8"/>
    <w:rsid w:val="00A52B64"/>
    <w:rsid w:val="00A52D15"/>
    <w:rsid w:val="00A52D27"/>
    <w:rsid w:val="00A5312D"/>
    <w:rsid w:val="00A5356C"/>
    <w:rsid w:val="00A53676"/>
    <w:rsid w:val="00A536CE"/>
    <w:rsid w:val="00A53777"/>
    <w:rsid w:val="00A537CD"/>
    <w:rsid w:val="00A538BA"/>
    <w:rsid w:val="00A53BFA"/>
    <w:rsid w:val="00A53C4E"/>
    <w:rsid w:val="00A53DC5"/>
    <w:rsid w:val="00A53E07"/>
    <w:rsid w:val="00A53ED6"/>
    <w:rsid w:val="00A546F0"/>
    <w:rsid w:val="00A5476F"/>
    <w:rsid w:val="00A5479E"/>
    <w:rsid w:val="00A547B6"/>
    <w:rsid w:val="00A547E0"/>
    <w:rsid w:val="00A54857"/>
    <w:rsid w:val="00A548AB"/>
    <w:rsid w:val="00A54986"/>
    <w:rsid w:val="00A552F0"/>
    <w:rsid w:val="00A553FD"/>
    <w:rsid w:val="00A554B4"/>
    <w:rsid w:val="00A555A5"/>
    <w:rsid w:val="00A55908"/>
    <w:rsid w:val="00A55A8C"/>
    <w:rsid w:val="00A55ED7"/>
    <w:rsid w:val="00A560B7"/>
    <w:rsid w:val="00A560FC"/>
    <w:rsid w:val="00A56162"/>
    <w:rsid w:val="00A56545"/>
    <w:rsid w:val="00A566FD"/>
    <w:rsid w:val="00A56756"/>
    <w:rsid w:val="00A56831"/>
    <w:rsid w:val="00A56956"/>
    <w:rsid w:val="00A5699B"/>
    <w:rsid w:val="00A569B1"/>
    <w:rsid w:val="00A56AFD"/>
    <w:rsid w:val="00A56CEC"/>
    <w:rsid w:val="00A57073"/>
    <w:rsid w:val="00A570B7"/>
    <w:rsid w:val="00A572DD"/>
    <w:rsid w:val="00A573B6"/>
    <w:rsid w:val="00A5749A"/>
    <w:rsid w:val="00A5761F"/>
    <w:rsid w:val="00A57C5C"/>
    <w:rsid w:val="00A57D5E"/>
    <w:rsid w:val="00A604F2"/>
    <w:rsid w:val="00A60527"/>
    <w:rsid w:val="00A609D2"/>
    <w:rsid w:val="00A60AFD"/>
    <w:rsid w:val="00A60C0C"/>
    <w:rsid w:val="00A60CFD"/>
    <w:rsid w:val="00A60DAD"/>
    <w:rsid w:val="00A61051"/>
    <w:rsid w:val="00A61205"/>
    <w:rsid w:val="00A612D4"/>
    <w:rsid w:val="00A612F3"/>
    <w:rsid w:val="00A61482"/>
    <w:rsid w:val="00A614D8"/>
    <w:rsid w:val="00A615B0"/>
    <w:rsid w:val="00A615DD"/>
    <w:rsid w:val="00A61627"/>
    <w:rsid w:val="00A616F6"/>
    <w:rsid w:val="00A6173F"/>
    <w:rsid w:val="00A6199C"/>
    <w:rsid w:val="00A61CCA"/>
    <w:rsid w:val="00A61CCF"/>
    <w:rsid w:val="00A6200C"/>
    <w:rsid w:val="00A621A3"/>
    <w:rsid w:val="00A621BF"/>
    <w:rsid w:val="00A62376"/>
    <w:rsid w:val="00A623B0"/>
    <w:rsid w:val="00A62508"/>
    <w:rsid w:val="00A6274C"/>
    <w:rsid w:val="00A629C2"/>
    <w:rsid w:val="00A62B27"/>
    <w:rsid w:val="00A62C3F"/>
    <w:rsid w:val="00A62D4D"/>
    <w:rsid w:val="00A63212"/>
    <w:rsid w:val="00A636B7"/>
    <w:rsid w:val="00A6375D"/>
    <w:rsid w:val="00A637B5"/>
    <w:rsid w:val="00A63B86"/>
    <w:rsid w:val="00A63C85"/>
    <w:rsid w:val="00A63CBA"/>
    <w:rsid w:val="00A63E25"/>
    <w:rsid w:val="00A63E4A"/>
    <w:rsid w:val="00A63FDA"/>
    <w:rsid w:val="00A63FE0"/>
    <w:rsid w:val="00A64329"/>
    <w:rsid w:val="00A64450"/>
    <w:rsid w:val="00A644B2"/>
    <w:rsid w:val="00A6470D"/>
    <w:rsid w:val="00A6475E"/>
    <w:rsid w:val="00A64972"/>
    <w:rsid w:val="00A64A14"/>
    <w:rsid w:val="00A64C08"/>
    <w:rsid w:val="00A64CE6"/>
    <w:rsid w:val="00A64EC9"/>
    <w:rsid w:val="00A64EE5"/>
    <w:rsid w:val="00A64F91"/>
    <w:rsid w:val="00A656BC"/>
    <w:rsid w:val="00A656F9"/>
    <w:rsid w:val="00A6589D"/>
    <w:rsid w:val="00A65C7D"/>
    <w:rsid w:val="00A65E1F"/>
    <w:rsid w:val="00A65EB4"/>
    <w:rsid w:val="00A65F4A"/>
    <w:rsid w:val="00A65F5F"/>
    <w:rsid w:val="00A6610B"/>
    <w:rsid w:val="00A6641B"/>
    <w:rsid w:val="00A66512"/>
    <w:rsid w:val="00A6657D"/>
    <w:rsid w:val="00A665C9"/>
    <w:rsid w:val="00A66601"/>
    <w:rsid w:val="00A66711"/>
    <w:rsid w:val="00A66719"/>
    <w:rsid w:val="00A66723"/>
    <w:rsid w:val="00A667D6"/>
    <w:rsid w:val="00A667EC"/>
    <w:rsid w:val="00A6687B"/>
    <w:rsid w:val="00A668AE"/>
    <w:rsid w:val="00A66AFF"/>
    <w:rsid w:val="00A66C1C"/>
    <w:rsid w:val="00A66FAF"/>
    <w:rsid w:val="00A6715F"/>
    <w:rsid w:val="00A67264"/>
    <w:rsid w:val="00A67383"/>
    <w:rsid w:val="00A675CD"/>
    <w:rsid w:val="00A676AB"/>
    <w:rsid w:val="00A6771E"/>
    <w:rsid w:val="00A67754"/>
    <w:rsid w:val="00A67A38"/>
    <w:rsid w:val="00A67D20"/>
    <w:rsid w:val="00A67F2E"/>
    <w:rsid w:val="00A703CD"/>
    <w:rsid w:val="00A703DD"/>
    <w:rsid w:val="00A7055D"/>
    <w:rsid w:val="00A7065C"/>
    <w:rsid w:val="00A7082E"/>
    <w:rsid w:val="00A70905"/>
    <w:rsid w:val="00A7092D"/>
    <w:rsid w:val="00A70C46"/>
    <w:rsid w:val="00A70F72"/>
    <w:rsid w:val="00A710D7"/>
    <w:rsid w:val="00A712F8"/>
    <w:rsid w:val="00A7132E"/>
    <w:rsid w:val="00A7143F"/>
    <w:rsid w:val="00A7160C"/>
    <w:rsid w:val="00A7161B"/>
    <w:rsid w:val="00A717DE"/>
    <w:rsid w:val="00A7188E"/>
    <w:rsid w:val="00A71A78"/>
    <w:rsid w:val="00A71F2B"/>
    <w:rsid w:val="00A72783"/>
    <w:rsid w:val="00A72AFF"/>
    <w:rsid w:val="00A72C97"/>
    <w:rsid w:val="00A72CE0"/>
    <w:rsid w:val="00A72D5B"/>
    <w:rsid w:val="00A72D60"/>
    <w:rsid w:val="00A73104"/>
    <w:rsid w:val="00A73148"/>
    <w:rsid w:val="00A7333E"/>
    <w:rsid w:val="00A734CD"/>
    <w:rsid w:val="00A736BD"/>
    <w:rsid w:val="00A7388D"/>
    <w:rsid w:val="00A73A8F"/>
    <w:rsid w:val="00A73AB7"/>
    <w:rsid w:val="00A73BB0"/>
    <w:rsid w:val="00A73F61"/>
    <w:rsid w:val="00A7422F"/>
    <w:rsid w:val="00A745BD"/>
    <w:rsid w:val="00A749DB"/>
    <w:rsid w:val="00A74A14"/>
    <w:rsid w:val="00A74AAE"/>
    <w:rsid w:val="00A74E59"/>
    <w:rsid w:val="00A750C9"/>
    <w:rsid w:val="00A751BC"/>
    <w:rsid w:val="00A754D4"/>
    <w:rsid w:val="00A75559"/>
    <w:rsid w:val="00A755DD"/>
    <w:rsid w:val="00A755E8"/>
    <w:rsid w:val="00A75669"/>
    <w:rsid w:val="00A757B7"/>
    <w:rsid w:val="00A757BC"/>
    <w:rsid w:val="00A758D8"/>
    <w:rsid w:val="00A759BB"/>
    <w:rsid w:val="00A75B30"/>
    <w:rsid w:val="00A75BF0"/>
    <w:rsid w:val="00A75C5D"/>
    <w:rsid w:val="00A75CF3"/>
    <w:rsid w:val="00A75E7A"/>
    <w:rsid w:val="00A75EA2"/>
    <w:rsid w:val="00A75F5A"/>
    <w:rsid w:val="00A76037"/>
    <w:rsid w:val="00A7612B"/>
    <w:rsid w:val="00A76158"/>
    <w:rsid w:val="00A7623A"/>
    <w:rsid w:val="00A7626E"/>
    <w:rsid w:val="00A76A2A"/>
    <w:rsid w:val="00A76CED"/>
    <w:rsid w:val="00A76DF1"/>
    <w:rsid w:val="00A76F80"/>
    <w:rsid w:val="00A770CC"/>
    <w:rsid w:val="00A772A0"/>
    <w:rsid w:val="00A773A3"/>
    <w:rsid w:val="00A773EB"/>
    <w:rsid w:val="00A77571"/>
    <w:rsid w:val="00A77616"/>
    <w:rsid w:val="00A777E3"/>
    <w:rsid w:val="00A778A5"/>
    <w:rsid w:val="00A77998"/>
    <w:rsid w:val="00A7799E"/>
    <w:rsid w:val="00A77A18"/>
    <w:rsid w:val="00A77AF8"/>
    <w:rsid w:val="00A77CFE"/>
    <w:rsid w:val="00A77D4F"/>
    <w:rsid w:val="00A77E8F"/>
    <w:rsid w:val="00A77F31"/>
    <w:rsid w:val="00A80494"/>
    <w:rsid w:val="00A804B4"/>
    <w:rsid w:val="00A80528"/>
    <w:rsid w:val="00A806E3"/>
    <w:rsid w:val="00A8075A"/>
    <w:rsid w:val="00A80C8B"/>
    <w:rsid w:val="00A80D41"/>
    <w:rsid w:val="00A80D4E"/>
    <w:rsid w:val="00A80E23"/>
    <w:rsid w:val="00A80EBC"/>
    <w:rsid w:val="00A81236"/>
    <w:rsid w:val="00A813D7"/>
    <w:rsid w:val="00A813E0"/>
    <w:rsid w:val="00A81473"/>
    <w:rsid w:val="00A81481"/>
    <w:rsid w:val="00A81673"/>
    <w:rsid w:val="00A816B7"/>
    <w:rsid w:val="00A8191C"/>
    <w:rsid w:val="00A81934"/>
    <w:rsid w:val="00A819F0"/>
    <w:rsid w:val="00A81C38"/>
    <w:rsid w:val="00A81F70"/>
    <w:rsid w:val="00A82014"/>
    <w:rsid w:val="00A8211C"/>
    <w:rsid w:val="00A821A5"/>
    <w:rsid w:val="00A82289"/>
    <w:rsid w:val="00A823E8"/>
    <w:rsid w:val="00A824D5"/>
    <w:rsid w:val="00A825AE"/>
    <w:rsid w:val="00A826FB"/>
    <w:rsid w:val="00A82CD1"/>
    <w:rsid w:val="00A82E1F"/>
    <w:rsid w:val="00A82F36"/>
    <w:rsid w:val="00A82F63"/>
    <w:rsid w:val="00A82F7E"/>
    <w:rsid w:val="00A830A2"/>
    <w:rsid w:val="00A83245"/>
    <w:rsid w:val="00A8340E"/>
    <w:rsid w:val="00A83428"/>
    <w:rsid w:val="00A8367E"/>
    <w:rsid w:val="00A836B6"/>
    <w:rsid w:val="00A83721"/>
    <w:rsid w:val="00A83784"/>
    <w:rsid w:val="00A837AC"/>
    <w:rsid w:val="00A83AB2"/>
    <w:rsid w:val="00A83C4D"/>
    <w:rsid w:val="00A83D0A"/>
    <w:rsid w:val="00A83E53"/>
    <w:rsid w:val="00A83F32"/>
    <w:rsid w:val="00A8404F"/>
    <w:rsid w:val="00A840EA"/>
    <w:rsid w:val="00A84143"/>
    <w:rsid w:val="00A8421F"/>
    <w:rsid w:val="00A845AD"/>
    <w:rsid w:val="00A84714"/>
    <w:rsid w:val="00A849EB"/>
    <w:rsid w:val="00A849F9"/>
    <w:rsid w:val="00A84A9F"/>
    <w:rsid w:val="00A84BF0"/>
    <w:rsid w:val="00A84D29"/>
    <w:rsid w:val="00A84D5A"/>
    <w:rsid w:val="00A84D82"/>
    <w:rsid w:val="00A84DE4"/>
    <w:rsid w:val="00A84EAA"/>
    <w:rsid w:val="00A84F76"/>
    <w:rsid w:val="00A850F9"/>
    <w:rsid w:val="00A85442"/>
    <w:rsid w:val="00A856C6"/>
    <w:rsid w:val="00A85700"/>
    <w:rsid w:val="00A857D8"/>
    <w:rsid w:val="00A858F6"/>
    <w:rsid w:val="00A85BA9"/>
    <w:rsid w:val="00A85C53"/>
    <w:rsid w:val="00A85E3F"/>
    <w:rsid w:val="00A85E47"/>
    <w:rsid w:val="00A85F52"/>
    <w:rsid w:val="00A85FB5"/>
    <w:rsid w:val="00A85FD7"/>
    <w:rsid w:val="00A862D9"/>
    <w:rsid w:val="00A86360"/>
    <w:rsid w:val="00A8644F"/>
    <w:rsid w:val="00A86533"/>
    <w:rsid w:val="00A865E2"/>
    <w:rsid w:val="00A86973"/>
    <w:rsid w:val="00A869D0"/>
    <w:rsid w:val="00A86C73"/>
    <w:rsid w:val="00A86E08"/>
    <w:rsid w:val="00A873C6"/>
    <w:rsid w:val="00A87466"/>
    <w:rsid w:val="00A8748C"/>
    <w:rsid w:val="00A874AD"/>
    <w:rsid w:val="00A874C7"/>
    <w:rsid w:val="00A87542"/>
    <w:rsid w:val="00A87580"/>
    <w:rsid w:val="00A8765A"/>
    <w:rsid w:val="00A87698"/>
    <w:rsid w:val="00A87A98"/>
    <w:rsid w:val="00A87C38"/>
    <w:rsid w:val="00A87C94"/>
    <w:rsid w:val="00A87E26"/>
    <w:rsid w:val="00A87F27"/>
    <w:rsid w:val="00A90128"/>
    <w:rsid w:val="00A90286"/>
    <w:rsid w:val="00A904C7"/>
    <w:rsid w:val="00A9050D"/>
    <w:rsid w:val="00A90517"/>
    <w:rsid w:val="00A90638"/>
    <w:rsid w:val="00A90854"/>
    <w:rsid w:val="00A9093C"/>
    <w:rsid w:val="00A909EC"/>
    <w:rsid w:val="00A90A4F"/>
    <w:rsid w:val="00A90B09"/>
    <w:rsid w:val="00A90B2E"/>
    <w:rsid w:val="00A90D5E"/>
    <w:rsid w:val="00A90EBE"/>
    <w:rsid w:val="00A90F4C"/>
    <w:rsid w:val="00A90F67"/>
    <w:rsid w:val="00A90F91"/>
    <w:rsid w:val="00A90FA4"/>
    <w:rsid w:val="00A9107C"/>
    <w:rsid w:val="00A91154"/>
    <w:rsid w:val="00A911BF"/>
    <w:rsid w:val="00A912E1"/>
    <w:rsid w:val="00A91442"/>
    <w:rsid w:val="00A9148B"/>
    <w:rsid w:val="00A91805"/>
    <w:rsid w:val="00A91807"/>
    <w:rsid w:val="00A9184F"/>
    <w:rsid w:val="00A91BD0"/>
    <w:rsid w:val="00A91E0E"/>
    <w:rsid w:val="00A92205"/>
    <w:rsid w:val="00A9220A"/>
    <w:rsid w:val="00A92270"/>
    <w:rsid w:val="00A92318"/>
    <w:rsid w:val="00A923A4"/>
    <w:rsid w:val="00A924D5"/>
    <w:rsid w:val="00A924F5"/>
    <w:rsid w:val="00A92595"/>
    <w:rsid w:val="00A92680"/>
    <w:rsid w:val="00A92709"/>
    <w:rsid w:val="00A92743"/>
    <w:rsid w:val="00A92E27"/>
    <w:rsid w:val="00A92E49"/>
    <w:rsid w:val="00A92EBF"/>
    <w:rsid w:val="00A92EF3"/>
    <w:rsid w:val="00A92FC2"/>
    <w:rsid w:val="00A933F1"/>
    <w:rsid w:val="00A9345D"/>
    <w:rsid w:val="00A9351C"/>
    <w:rsid w:val="00A93536"/>
    <w:rsid w:val="00A93563"/>
    <w:rsid w:val="00A9361E"/>
    <w:rsid w:val="00A938AB"/>
    <w:rsid w:val="00A938F6"/>
    <w:rsid w:val="00A93929"/>
    <w:rsid w:val="00A93937"/>
    <w:rsid w:val="00A93AA1"/>
    <w:rsid w:val="00A93BB5"/>
    <w:rsid w:val="00A9403B"/>
    <w:rsid w:val="00A94070"/>
    <w:rsid w:val="00A94123"/>
    <w:rsid w:val="00A94157"/>
    <w:rsid w:val="00A94603"/>
    <w:rsid w:val="00A9487F"/>
    <w:rsid w:val="00A94B4F"/>
    <w:rsid w:val="00A94CAD"/>
    <w:rsid w:val="00A94D2D"/>
    <w:rsid w:val="00A94D3F"/>
    <w:rsid w:val="00A94E0B"/>
    <w:rsid w:val="00A94E2B"/>
    <w:rsid w:val="00A94ED1"/>
    <w:rsid w:val="00A94EF8"/>
    <w:rsid w:val="00A95116"/>
    <w:rsid w:val="00A9527B"/>
    <w:rsid w:val="00A953D8"/>
    <w:rsid w:val="00A9559C"/>
    <w:rsid w:val="00A95890"/>
    <w:rsid w:val="00A95ADF"/>
    <w:rsid w:val="00A95B73"/>
    <w:rsid w:val="00A95E9E"/>
    <w:rsid w:val="00A960B0"/>
    <w:rsid w:val="00A96358"/>
    <w:rsid w:val="00A96479"/>
    <w:rsid w:val="00A96655"/>
    <w:rsid w:val="00A968B6"/>
    <w:rsid w:val="00A96975"/>
    <w:rsid w:val="00A96A1F"/>
    <w:rsid w:val="00A96A92"/>
    <w:rsid w:val="00A96AAE"/>
    <w:rsid w:val="00A96C61"/>
    <w:rsid w:val="00A96E43"/>
    <w:rsid w:val="00A97148"/>
    <w:rsid w:val="00A973B5"/>
    <w:rsid w:val="00A974A7"/>
    <w:rsid w:val="00A9765A"/>
    <w:rsid w:val="00A9769C"/>
    <w:rsid w:val="00A976F5"/>
    <w:rsid w:val="00A97931"/>
    <w:rsid w:val="00A979FC"/>
    <w:rsid w:val="00A97B48"/>
    <w:rsid w:val="00A97C2E"/>
    <w:rsid w:val="00A97C6A"/>
    <w:rsid w:val="00A97E72"/>
    <w:rsid w:val="00AA00A2"/>
    <w:rsid w:val="00AA00AE"/>
    <w:rsid w:val="00AA0166"/>
    <w:rsid w:val="00AA0472"/>
    <w:rsid w:val="00AA04C7"/>
    <w:rsid w:val="00AA06C8"/>
    <w:rsid w:val="00AA07F6"/>
    <w:rsid w:val="00AA08CB"/>
    <w:rsid w:val="00AA0A0B"/>
    <w:rsid w:val="00AA0BD0"/>
    <w:rsid w:val="00AA0C32"/>
    <w:rsid w:val="00AA0D04"/>
    <w:rsid w:val="00AA11CA"/>
    <w:rsid w:val="00AA1422"/>
    <w:rsid w:val="00AA14F8"/>
    <w:rsid w:val="00AA15C2"/>
    <w:rsid w:val="00AA17D3"/>
    <w:rsid w:val="00AA19CD"/>
    <w:rsid w:val="00AA1AD1"/>
    <w:rsid w:val="00AA1CB3"/>
    <w:rsid w:val="00AA215D"/>
    <w:rsid w:val="00AA288A"/>
    <w:rsid w:val="00AA2896"/>
    <w:rsid w:val="00AA28F1"/>
    <w:rsid w:val="00AA2A90"/>
    <w:rsid w:val="00AA2AA2"/>
    <w:rsid w:val="00AA2AD3"/>
    <w:rsid w:val="00AA2D55"/>
    <w:rsid w:val="00AA2EC4"/>
    <w:rsid w:val="00AA2EC5"/>
    <w:rsid w:val="00AA2F89"/>
    <w:rsid w:val="00AA3222"/>
    <w:rsid w:val="00AA33F0"/>
    <w:rsid w:val="00AA3451"/>
    <w:rsid w:val="00AA392E"/>
    <w:rsid w:val="00AA39B6"/>
    <w:rsid w:val="00AA3D02"/>
    <w:rsid w:val="00AA3FBF"/>
    <w:rsid w:val="00AA4024"/>
    <w:rsid w:val="00AA44B6"/>
    <w:rsid w:val="00AA44DF"/>
    <w:rsid w:val="00AA467C"/>
    <w:rsid w:val="00AA4940"/>
    <w:rsid w:val="00AA4991"/>
    <w:rsid w:val="00AA4A1B"/>
    <w:rsid w:val="00AA4D27"/>
    <w:rsid w:val="00AA4D36"/>
    <w:rsid w:val="00AA4E2D"/>
    <w:rsid w:val="00AA4E6E"/>
    <w:rsid w:val="00AA50CA"/>
    <w:rsid w:val="00AA526A"/>
    <w:rsid w:val="00AA56C7"/>
    <w:rsid w:val="00AA599B"/>
    <w:rsid w:val="00AA5D06"/>
    <w:rsid w:val="00AA5D6E"/>
    <w:rsid w:val="00AA5F41"/>
    <w:rsid w:val="00AA5F76"/>
    <w:rsid w:val="00AA5FD4"/>
    <w:rsid w:val="00AA6096"/>
    <w:rsid w:val="00AA6225"/>
    <w:rsid w:val="00AA633D"/>
    <w:rsid w:val="00AA6481"/>
    <w:rsid w:val="00AA6666"/>
    <w:rsid w:val="00AA6757"/>
    <w:rsid w:val="00AA6AAB"/>
    <w:rsid w:val="00AA6ECE"/>
    <w:rsid w:val="00AA7636"/>
    <w:rsid w:val="00AA77A3"/>
    <w:rsid w:val="00AA79D3"/>
    <w:rsid w:val="00AB015E"/>
    <w:rsid w:val="00AB0393"/>
    <w:rsid w:val="00AB03AE"/>
    <w:rsid w:val="00AB047A"/>
    <w:rsid w:val="00AB04A9"/>
    <w:rsid w:val="00AB06A3"/>
    <w:rsid w:val="00AB06DB"/>
    <w:rsid w:val="00AB073B"/>
    <w:rsid w:val="00AB07F9"/>
    <w:rsid w:val="00AB087A"/>
    <w:rsid w:val="00AB09D0"/>
    <w:rsid w:val="00AB0AF6"/>
    <w:rsid w:val="00AB0D00"/>
    <w:rsid w:val="00AB0D84"/>
    <w:rsid w:val="00AB0DC0"/>
    <w:rsid w:val="00AB0F32"/>
    <w:rsid w:val="00AB0F83"/>
    <w:rsid w:val="00AB1323"/>
    <w:rsid w:val="00AB134A"/>
    <w:rsid w:val="00AB1603"/>
    <w:rsid w:val="00AB1779"/>
    <w:rsid w:val="00AB17D1"/>
    <w:rsid w:val="00AB18A6"/>
    <w:rsid w:val="00AB1978"/>
    <w:rsid w:val="00AB1B6A"/>
    <w:rsid w:val="00AB1B97"/>
    <w:rsid w:val="00AB1D05"/>
    <w:rsid w:val="00AB20EA"/>
    <w:rsid w:val="00AB213A"/>
    <w:rsid w:val="00AB22DA"/>
    <w:rsid w:val="00AB253E"/>
    <w:rsid w:val="00AB2578"/>
    <w:rsid w:val="00AB269C"/>
    <w:rsid w:val="00AB26F0"/>
    <w:rsid w:val="00AB2842"/>
    <w:rsid w:val="00AB2897"/>
    <w:rsid w:val="00AB2923"/>
    <w:rsid w:val="00AB2927"/>
    <w:rsid w:val="00AB2B54"/>
    <w:rsid w:val="00AB2B80"/>
    <w:rsid w:val="00AB2BCA"/>
    <w:rsid w:val="00AB2DF6"/>
    <w:rsid w:val="00AB2E8E"/>
    <w:rsid w:val="00AB2EF3"/>
    <w:rsid w:val="00AB30CA"/>
    <w:rsid w:val="00AB3495"/>
    <w:rsid w:val="00AB3525"/>
    <w:rsid w:val="00AB368D"/>
    <w:rsid w:val="00AB3B0D"/>
    <w:rsid w:val="00AB3B10"/>
    <w:rsid w:val="00AB3CC9"/>
    <w:rsid w:val="00AB3CEA"/>
    <w:rsid w:val="00AB3D1B"/>
    <w:rsid w:val="00AB3DEB"/>
    <w:rsid w:val="00AB403E"/>
    <w:rsid w:val="00AB437B"/>
    <w:rsid w:val="00AB43E1"/>
    <w:rsid w:val="00AB45B6"/>
    <w:rsid w:val="00AB4AED"/>
    <w:rsid w:val="00AB4D6D"/>
    <w:rsid w:val="00AB4E23"/>
    <w:rsid w:val="00AB4E88"/>
    <w:rsid w:val="00AB4EB9"/>
    <w:rsid w:val="00AB4F74"/>
    <w:rsid w:val="00AB5053"/>
    <w:rsid w:val="00AB560E"/>
    <w:rsid w:val="00AB584F"/>
    <w:rsid w:val="00AB5883"/>
    <w:rsid w:val="00AB5937"/>
    <w:rsid w:val="00AB5A02"/>
    <w:rsid w:val="00AB5A67"/>
    <w:rsid w:val="00AB5C89"/>
    <w:rsid w:val="00AB5E2A"/>
    <w:rsid w:val="00AB5E9E"/>
    <w:rsid w:val="00AB5F4F"/>
    <w:rsid w:val="00AB5F70"/>
    <w:rsid w:val="00AB6053"/>
    <w:rsid w:val="00AB6196"/>
    <w:rsid w:val="00AB6248"/>
    <w:rsid w:val="00AB6290"/>
    <w:rsid w:val="00AB6363"/>
    <w:rsid w:val="00AB63D5"/>
    <w:rsid w:val="00AB64D5"/>
    <w:rsid w:val="00AB6686"/>
    <w:rsid w:val="00AB69A2"/>
    <w:rsid w:val="00AB6A88"/>
    <w:rsid w:val="00AB6A9C"/>
    <w:rsid w:val="00AB6CB9"/>
    <w:rsid w:val="00AB6E27"/>
    <w:rsid w:val="00AB6F0C"/>
    <w:rsid w:val="00AB7368"/>
    <w:rsid w:val="00AB73F6"/>
    <w:rsid w:val="00AB7796"/>
    <w:rsid w:val="00AB79D4"/>
    <w:rsid w:val="00AB7E67"/>
    <w:rsid w:val="00AC0012"/>
    <w:rsid w:val="00AC033B"/>
    <w:rsid w:val="00AC047F"/>
    <w:rsid w:val="00AC06B4"/>
    <w:rsid w:val="00AC06C6"/>
    <w:rsid w:val="00AC06E9"/>
    <w:rsid w:val="00AC07DC"/>
    <w:rsid w:val="00AC08EC"/>
    <w:rsid w:val="00AC0B9F"/>
    <w:rsid w:val="00AC0DE3"/>
    <w:rsid w:val="00AC0E78"/>
    <w:rsid w:val="00AC0F9C"/>
    <w:rsid w:val="00AC1085"/>
    <w:rsid w:val="00AC1114"/>
    <w:rsid w:val="00AC12B3"/>
    <w:rsid w:val="00AC1363"/>
    <w:rsid w:val="00AC1670"/>
    <w:rsid w:val="00AC1730"/>
    <w:rsid w:val="00AC1A14"/>
    <w:rsid w:val="00AC1A9E"/>
    <w:rsid w:val="00AC1B5F"/>
    <w:rsid w:val="00AC1BAE"/>
    <w:rsid w:val="00AC1DE1"/>
    <w:rsid w:val="00AC20B8"/>
    <w:rsid w:val="00AC20D8"/>
    <w:rsid w:val="00AC23FC"/>
    <w:rsid w:val="00AC2545"/>
    <w:rsid w:val="00AC2748"/>
    <w:rsid w:val="00AC28AE"/>
    <w:rsid w:val="00AC2AA3"/>
    <w:rsid w:val="00AC2D1E"/>
    <w:rsid w:val="00AC3199"/>
    <w:rsid w:val="00AC35B2"/>
    <w:rsid w:val="00AC3717"/>
    <w:rsid w:val="00AC37FA"/>
    <w:rsid w:val="00AC3826"/>
    <w:rsid w:val="00AC399E"/>
    <w:rsid w:val="00AC3A3A"/>
    <w:rsid w:val="00AC3ABC"/>
    <w:rsid w:val="00AC3AFD"/>
    <w:rsid w:val="00AC3C7E"/>
    <w:rsid w:val="00AC4185"/>
    <w:rsid w:val="00AC41A0"/>
    <w:rsid w:val="00AC430F"/>
    <w:rsid w:val="00AC4603"/>
    <w:rsid w:val="00AC4690"/>
    <w:rsid w:val="00AC4A82"/>
    <w:rsid w:val="00AC4F61"/>
    <w:rsid w:val="00AC4F81"/>
    <w:rsid w:val="00AC5212"/>
    <w:rsid w:val="00AC5268"/>
    <w:rsid w:val="00AC5496"/>
    <w:rsid w:val="00AC5557"/>
    <w:rsid w:val="00AC564D"/>
    <w:rsid w:val="00AC567B"/>
    <w:rsid w:val="00AC56D0"/>
    <w:rsid w:val="00AC5A2E"/>
    <w:rsid w:val="00AC5B1D"/>
    <w:rsid w:val="00AC5D3B"/>
    <w:rsid w:val="00AC5FE9"/>
    <w:rsid w:val="00AC6018"/>
    <w:rsid w:val="00AC64A0"/>
    <w:rsid w:val="00AC6538"/>
    <w:rsid w:val="00AC6768"/>
    <w:rsid w:val="00AC67A5"/>
    <w:rsid w:val="00AC6A07"/>
    <w:rsid w:val="00AC6B48"/>
    <w:rsid w:val="00AC6B85"/>
    <w:rsid w:val="00AC6D32"/>
    <w:rsid w:val="00AC6FF3"/>
    <w:rsid w:val="00AC75F7"/>
    <w:rsid w:val="00AC7773"/>
    <w:rsid w:val="00AC777B"/>
    <w:rsid w:val="00AC7805"/>
    <w:rsid w:val="00AC78D5"/>
    <w:rsid w:val="00AC7AEF"/>
    <w:rsid w:val="00AC7D61"/>
    <w:rsid w:val="00AC7E13"/>
    <w:rsid w:val="00AC7E32"/>
    <w:rsid w:val="00AC7F50"/>
    <w:rsid w:val="00AD0291"/>
    <w:rsid w:val="00AD02A0"/>
    <w:rsid w:val="00AD0314"/>
    <w:rsid w:val="00AD0379"/>
    <w:rsid w:val="00AD0453"/>
    <w:rsid w:val="00AD053B"/>
    <w:rsid w:val="00AD0644"/>
    <w:rsid w:val="00AD064C"/>
    <w:rsid w:val="00AD0774"/>
    <w:rsid w:val="00AD08DE"/>
    <w:rsid w:val="00AD0BB1"/>
    <w:rsid w:val="00AD0E88"/>
    <w:rsid w:val="00AD1021"/>
    <w:rsid w:val="00AD145B"/>
    <w:rsid w:val="00AD154A"/>
    <w:rsid w:val="00AD1648"/>
    <w:rsid w:val="00AD1898"/>
    <w:rsid w:val="00AD18D8"/>
    <w:rsid w:val="00AD1948"/>
    <w:rsid w:val="00AD1ADC"/>
    <w:rsid w:val="00AD1B23"/>
    <w:rsid w:val="00AD2510"/>
    <w:rsid w:val="00AD2523"/>
    <w:rsid w:val="00AD2712"/>
    <w:rsid w:val="00AD2770"/>
    <w:rsid w:val="00AD2853"/>
    <w:rsid w:val="00AD2967"/>
    <w:rsid w:val="00AD29DE"/>
    <w:rsid w:val="00AD2AAF"/>
    <w:rsid w:val="00AD2AF8"/>
    <w:rsid w:val="00AD2C41"/>
    <w:rsid w:val="00AD2CCA"/>
    <w:rsid w:val="00AD2D01"/>
    <w:rsid w:val="00AD2DC7"/>
    <w:rsid w:val="00AD2E47"/>
    <w:rsid w:val="00AD2F3B"/>
    <w:rsid w:val="00AD3071"/>
    <w:rsid w:val="00AD3086"/>
    <w:rsid w:val="00AD308A"/>
    <w:rsid w:val="00AD34CF"/>
    <w:rsid w:val="00AD355D"/>
    <w:rsid w:val="00AD366F"/>
    <w:rsid w:val="00AD37BA"/>
    <w:rsid w:val="00AD37F6"/>
    <w:rsid w:val="00AD390C"/>
    <w:rsid w:val="00AD3A52"/>
    <w:rsid w:val="00AD3AD1"/>
    <w:rsid w:val="00AD3B50"/>
    <w:rsid w:val="00AD3C05"/>
    <w:rsid w:val="00AD3D2D"/>
    <w:rsid w:val="00AD3F08"/>
    <w:rsid w:val="00AD412C"/>
    <w:rsid w:val="00AD415D"/>
    <w:rsid w:val="00AD425B"/>
    <w:rsid w:val="00AD4280"/>
    <w:rsid w:val="00AD443B"/>
    <w:rsid w:val="00AD4702"/>
    <w:rsid w:val="00AD47FC"/>
    <w:rsid w:val="00AD48C3"/>
    <w:rsid w:val="00AD497E"/>
    <w:rsid w:val="00AD4B32"/>
    <w:rsid w:val="00AD4BD3"/>
    <w:rsid w:val="00AD4CA1"/>
    <w:rsid w:val="00AD4F43"/>
    <w:rsid w:val="00AD4FB5"/>
    <w:rsid w:val="00AD5330"/>
    <w:rsid w:val="00AD544F"/>
    <w:rsid w:val="00AD556E"/>
    <w:rsid w:val="00AD55CB"/>
    <w:rsid w:val="00AD564D"/>
    <w:rsid w:val="00AD5686"/>
    <w:rsid w:val="00AD586E"/>
    <w:rsid w:val="00AD58C0"/>
    <w:rsid w:val="00AD5925"/>
    <w:rsid w:val="00AD5ADD"/>
    <w:rsid w:val="00AD5B94"/>
    <w:rsid w:val="00AD5DC2"/>
    <w:rsid w:val="00AD606E"/>
    <w:rsid w:val="00AD609A"/>
    <w:rsid w:val="00AD6152"/>
    <w:rsid w:val="00AD61DD"/>
    <w:rsid w:val="00AD628C"/>
    <w:rsid w:val="00AD62D9"/>
    <w:rsid w:val="00AD651A"/>
    <w:rsid w:val="00AD66BA"/>
    <w:rsid w:val="00AD67DB"/>
    <w:rsid w:val="00AD67E3"/>
    <w:rsid w:val="00AD69C7"/>
    <w:rsid w:val="00AD6A4D"/>
    <w:rsid w:val="00AD6A7D"/>
    <w:rsid w:val="00AD6B93"/>
    <w:rsid w:val="00AD6BCE"/>
    <w:rsid w:val="00AD7023"/>
    <w:rsid w:val="00AD7205"/>
    <w:rsid w:val="00AD72C6"/>
    <w:rsid w:val="00AD730C"/>
    <w:rsid w:val="00AD7351"/>
    <w:rsid w:val="00AD7552"/>
    <w:rsid w:val="00AD7618"/>
    <w:rsid w:val="00AD76FF"/>
    <w:rsid w:val="00AD78D1"/>
    <w:rsid w:val="00AD7D82"/>
    <w:rsid w:val="00AE0032"/>
    <w:rsid w:val="00AE0379"/>
    <w:rsid w:val="00AE03BF"/>
    <w:rsid w:val="00AE0754"/>
    <w:rsid w:val="00AE07AC"/>
    <w:rsid w:val="00AE0845"/>
    <w:rsid w:val="00AE0A03"/>
    <w:rsid w:val="00AE0ADF"/>
    <w:rsid w:val="00AE0C65"/>
    <w:rsid w:val="00AE0D2F"/>
    <w:rsid w:val="00AE14B7"/>
    <w:rsid w:val="00AE1519"/>
    <w:rsid w:val="00AE1546"/>
    <w:rsid w:val="00AE1810"/>
    <w:rsid w:val="00AE1823"/>
    <w:rsid w:val="00AE19BF"/>
    <w:rsid w:val="00AE1B4B"/>
    <w:rsid w:val="00AE1B5D"/>
    <w:rsid w:val="00AE1BF6"/>
    <w:rsid w:val="00AE1C65"/>
    <w:rsid w:val="00AE1C8A"/>
    <w:rsid w:val="00AE1D4F"/>
    <w:rsid w:val="00AE1D56"/>
    <w:rsid w:val="00AE1E7D"/>
    <w:rsid w:val="00AE20E2"/>
    <w:rsid w:val="00AE21FD"/>
    <w:rsid w:val="00AE22F1"/>
    <w:rsid w:val="00AE230A"/>
    <w:rsid w:val="00AE23C4"/>
    <w:rsid w:val="00AE259F"/>
    <w:rsid w:val="00AE26AF"/>
    <w:rsid w:val="00AE2735"/>
    <w:rsid w:val="00AE29DF"/>
    <w:rsid w:val="00AE2BA5"/>
    <w:rsid w:val="00AE2D56"/>
    <w:rsid w:val="00AE2D70"/>
    <w:rsid w:val="00AE2E13"/>
    <w:rsid w:val="00AE30AD"/>
    <w:rsid w:val="00AE31E5"/>
    <w:rsid w:val="00AE3576"/>
    <w:rsid w:val="00AE3BB8"/>
    <w:rsid w:val="00AE3DE2"/>
    <w:rsid w:val="00AE3F7A"/>
    <w:rsid w:val="00AE4248"/>
    <w:rsid w:val="00AE4264"/>
    <w:rsid w:val="00AE430A"/>
    <w:rsid w:val="00AE434A"/>
    <w:rsid w:val="00AE4394"/>
    <w:rsid w:val="00AE4711"/>
    <w:rsid w:val="00AE4966"/>
    <w:rsid w:val="00AE497E"/>
    <w:rsid w:val="00AE4C68"/>
    <w:rsid w:val="00AE4E5C"/>
    <w:rsid w:val="00AE4FD1"/>
    <w:rsid w:val="00AE4FE7"/>
    <w:rsid w:val="00AE5418"/>
    <w:rsid w:val="00AE556F"/>
    <w:rsid w:val="00AE564D"/>
    <w:rsid w:val="00AE56EA"/>
    <w:rsid w:val="00AE5753"/>
    <w:rsid w:val="00AE57DD"/>
    <w:rsid w:val="00AE5B98"/>
    <w:rsid w:val="00AE5BF5"/>
    <w:rsid w:val="00AE5CAE"/>
    <w:rsid w:val="00AE5D5D"/>
    <w:rsid w:val="00AE5F23"/>
    <w:rsid w:val="00AE613C"/>
    <w:rsid w:val="00AE614F"/>
    <w:rsid w:val="00AE6190"/>
    <w:rsid w:val="00AE61FE"/>
    <w:rsid w:val="00AE62E0"/>
    <w:rsid w:val="00AE657B"/>
    <w:rsid w:val="00AE6701"/>
    <w:rsid w:val="00AE67B4"/>
    <w:rsid w:val="00AE683B"/>
    <w:rsid w:val="00AE6858"/>
    <w:rsid w:val="00AE69F8"/>
    <w:rsid w:val="00AE6BBC"/>
    <w:rsid w:val="00AE6ECA"/>
    <w:rsid w:val="00AE712B"/>
    <w:rsid w:val="00AE73C3"/>
    <w:rsid w:val="00AE746D"/>
    <w:rsid w:val="00AE7692"/>
    <w:rsid w:val="00AE77F6"/>
    <w:rsid w:val="00AE783B"/>
    <w:rsid w:val="00AE7877"/>
    <w:rsid w:val="00AE7B3B"/>
    <w:rsid w:val="00AE7FA9"/>
    <w:rsid w:val="00AF0148"/>
    <w:rsid w:val="00AF039C"/>
    <w:rsid w:val="00AF0423"/>
    <w:rsid w:val="00AF04A1"/>
    <w:rsid w:val="00AF04D1"/>
    <w:rsid w:val="00AF085C"/>
    <w:rsid w:val="00AF086A"/>
    <w:rsid w:val="00AF0BD7"/>
    <w:rsid w:val="00AF0DF3"/>
    <w:rsid w:val="00AF0E0A"/>
    <w:rsid w:val="00AF11A9"/>
    <w:rsid w:val="00AF11BF"/>
    <w:rsid w:val="00AF12E6"/>
    <w:rsid w:val="00AF1346"/>
    <w:rsid w:val="00AF1358"/>
    <w:rsid w:val="00AF1419"/>
    <w:rsid w:val="00AF1500"/>
    <w:rsid w:val="00AF152E"/>
    <w:rsid w:val="00AF15F9"/>
    <w:rsid w:val="00AF1709"/>
    <w:rsid w:val="00AF1758"/>
    <w:rsid w:val="00AF18EC"/>
    <w:rsid w:val="00AF18F2"/>
    <w:rsid w:val="00AF1A4E"/>
    <w:rsid w:val="00AF1B58"/>
    <w:rsid w:val="00AF1BD2"/>
    <w:rsid w:val="00AF1C87"/>
    <w:rsid w:val="00AF1DAE"/>
    <w:rsid w:val="00AF1DDC"/>
    <w:rsid w:val="00AF1DEE"/>
    <w:rsid w:val="00AF1F68"/>
    <w:rsid w:val="00AF20B7"/>
    <w:rsid w:val="00AF228A"/>
    <w:rsid w:val="00AF25AC"/>
    <w:rsid w:val="00AF288D"/>
    <w:rsid w:val="00AF2ABC"/>
    <w:rsid w:val="00AF2CD4"/>
    <w:rsid w:val="00AF2D37"/>
    <w:rsid w:val="00AF2DC1"/>
    <w:rsid w:val="00AF2F0C"/>
    <w:rsid w:val="00AF31E0"/>
    <w:rsid w:val="00AF34A0"/>
    <w:rsid w:val="00AF351C"/>
    <w:rsid w:val="00AF37E1"/>
    <w:rsid w:val="00AF3918"/>
    <w:rsid w:val="00AF3B43"/>
    <w:rsid w:val="00AF3BC5"/>
    <w:rsid w:val="00AF3EE0"/>
    <w:rsid w:val="00AF407C"/>
    <w:rsid w:val="00AF45E3"/>
    <w:rsid w:val="00AF4980"/>
    <w:rsid w:val="00AF4DAE"/>
    <w:rsid w:val="00AF4DED"/>
    <w:rsid w:val="00AF4DF8"/>
    <w:rsid w:val="00AF4F5B"/>
    <w:rsid w:val="00AF504F"/>
    <w:rsid w:val="00AF521C"/>
    <w:rsid w:val="00AF5387"/>
    <w:rsid w:val="00AF584B"/>
    <w:rsid w:val="00AF5C01"/>
    <w:rsid w:val="00AF5DD0"/>
    <w:rsid w:val="00AF5E77"/>
    <w:rsid w:val="00AF5EE3"/>
    <w:rsid w:val="00AF6004"/>
    <w:rsid w:val="00AF6014"/>
    <w:rsid w:val="00AF6119"/>
    <w:rsid w:val="00AF6212"/>
    <w:rsid w:val="00AF62C4"/>
    <w:rsid w:val="00AF638B"/>
    <w:rsid w:val="00AF63CA"/>
    <w:rsid w:val="00AF6692"/>
    <w:rsid w:val="00AF66CF"/>
    <w:rsid w:val="00AF6A28"/>
    <w:rsid w:val="00AF6C08"/>
    <w:rsid w:val="00AF6C3B"/>
    <w:rsid w:val="00AF70F8"/>
    <w:rsid w:val="00AF71F5"/>
    <w:rsid w:val="00AF7261"/>
    <w:rsid w:val="00AF72BE"/>
    <w:rsid w:val="00AF758F"/>
    <w:rsid w:val="00AF7629"/>
    <w:rsid w:val="00AF7708"/>
    <w:rsid w:val="00AF7716"/>
    <w:rsid w:val="00AF7997"/>
    <w:rsid w:val="00AF7B95"/>
    <w:rsid w:val="00AF7C8F"/>
    <w:rsid w:val="00AF7DAF"/>
    <w:rsid w:val="00B000AF"/>
    <w:rsid w:val="00B001B2"/>
    <w:rsid w:val="00B0061C"/>
    <w:rsid w:val="00B00656"/>
    <w:rsid w:val="00B006A0"/>
    <w:rsid w:val="00B006ED"/>
    <w:rsid w:val="00B0073E"/>
    <w:rsid w:val="00B00828"/>
    <w:rsid w:val="00B00DAE"/>
    <w:rsid w:val="00B00FA8"/>
    <w:rsid w:val="00B00FAA"/>
    <w:rsid w:val="00B01090"/>
    <w:rsid w:val="00B0116C"/>
    <w:rsid w:val="00B0117A"/>
    <w:rsid w:val="00B0124B"/>
    <w:rsid w:val="00B012CA"/>
    <w:rsid w:val="00B0145A"/>
    <w:rsid w:val="00B014ED"/>
    <w:rsid w:val="00B019B2"/>
    <w:rsid w:val="00B01BEF"/>
    <w:rsid w:val="00B01D28"/>
    <w:rsid w:val="00B01EE5"/>
    <w:rsid w:val="00B020FA"/>
    <w:rsid w:val="00B02615"/>
    <w:rsid w:val="00B02720"/>
    <w:rsid w:val="00B028F9"/>
    <w:rsid w:val="00B02B9E"/>
    <w:rsid w:val="00B02C1D"/>
    <w:rsid w:val="00B02D05"/>
    <w:rsid w:val="00B02EB7"/>
    <w:rsid w:val="00B03174"/>
    <w:rsid w:val="00B034E9"/>
    <w:rsid w:val="00B035CD"/>
    <w:rsid w:val="00B0370C"/>
    <w:rsid w:val="00B03741"/>
    <w:rsid w:val="00B038C8"/>
    <w:rsid w:val="00B0390E"/>
    <w:rsid w:val="00B03A0E"/>
    <w:rsid w:val="00B03A7D"/>
    <w:rsid w:val="00B03AE1"/>
    <w:rsid w:val="00B03FC2"/>
    <w:rsid w:val="00B0434C"/>
    <w:rsid w:val="00B04494"/>
    <w:rsid w:val="00B046D6"/>
    <w:rsid w:val="00B047D6"/>
    <w:rsid w:val="00B048F9"/>
    <w:rsid w:val="00B05017"/>
    <w:rsid w:val="00B05078"/>
    <w:rsid w:val="00B05180"/>
    <w:rsid w:val="00B0548E"/>
    <w:rsid w:val="00B0556C"/>
    <w:rsid w:val="00B05571"/>
    <w:rsid w:val="00B05821"/>
    <w:rsid w:val="00B05B7B"/>
    <w:rsid w:val="00B05BE8"/>
    <w:rsid w:val="00B05EB1"/>
    <w:rsid w:val="00B05F6C"/>
    <w:rsid w:val="00B0623F"/>
    <w:rsid w:val="00B06403"/>
    <w:rsid w:val="00B06406"/>
    <w:rsid w:val="00B06864"/>
    <w:rsid w:val="00B068E2"/>
    <w:rsid w:val="00B068E4"/>
    <w:rsid w:val="00B06AE1"/>
    <w:rsid w:val="00B06AFD"/>
    <w:rsid w:val="00B06C1F"/>
    <w:rsid w:val="00B06CA6"/>
    <w:rsid w:val="00B06D5B"/>
    <w:rsid w:val="00B06E43"/>
    <w:rsid w:val="00B06E77"/>
    <w:rsid w:val="00B06EA7"/>
    <w:rsid w:val="00B06FFD"/>
    <w:rsid w:val="00B07398"/>
    <w:rsid w:val="00B0746B"/>
    <w:rsid w:val="00B0751F"/>
    <w:rsid w:val="00B07559"/>
    <w:rsid w:val="00B075F0"/>
    <w:rsid w:val="00B076D9"/>
    <w:rsid w:val="00B07716"/>
    <w:rsid w:val="00B077D8"/>
    <w:rsid w:val="00B07D92"/>
    <w:rsid w:val="00B07F6B"/>
    <w:rsid w:val="00B100CA"/>
    <w:rsid w:val="00B10120"/>
    <w:rsid w:val="00B101E5"/>
    <w:rsid w:val="00B102F1"/>
    <w:rsid w:val="00B103E0"/>
    <w:rsid w:val="00B10831"/>
    <w:rsid w:val="00B10A7C"/>
    <w:rsid w:val="00B10AA8"/>
    <w:rsid w:val="00B10B13"/>
    <w:rsid w:val="00B10C76"/>
    <w:rsid w:val="00B10C97"/>
    <w:rsid w:val="00B10D88"/>
    <w:rsid w:val="00B11254"/>
    <w:rsid w:val="00B11283"/>
    <w:rsid w:val="00B1145D"/>
    <w:rsid w:val="00B1154B"/>
    <w:rsid w:val="00B11650"/>
    <w:rsid w:val="00B11913"/>
    <w:rsid w:val="00B11AD9"/>
    <w:rsid w:val="00B11C24"/>
    <w:rsid w:val="00B11F7A"/>
    <w:rsid w:val="00B11FC8"/>
    <w:rsid w:val="00B12102"/>
    <w:rsid w:val="00B12167"/>
    <w:rsid w:val="00B1247D"/>
    <w:rsid w:val="00B124CD"/>
    <w:rsid w:val="00B12725"/>
    <w:rsid w:val="00B12742"/>
    <w:rsid w:val="00B1277B"/>
    <w:rsid w:val="00B127E7"/>
    <w:rsid w:val="00B128B9"/>
    <w:rsid w:val="00B129F1"/>
    <w:rsid w:val="00B12BD1"/>
    <w:rsid w:val="00B12DDE"/>
    <w:rsid w:val="00B13176"/>
    <w:rsid w:val="00B1320C"/>
    <w:rsid w:val="00B133DE"/>
    <w:rsid w:val="00B13514"/>
    <w:rsid w:val="00B1359D"/>
    <w:rsid w:val="00B13811"/>
    <w:rsid w:val="00B138B3"/>
    <w:rsid w:val="00B13957"/>
    <w:rsid w:val="00B13A11"/>
    <w:rsid w:val="00B13D28"/>
    <w:rsid w:val="00B13E0A"/>
    <w:rsid w:val="00B13E94"/>
    <w:rsid w:val="00B13EB1"/>
    <w:rsid w:val="00B1408A"/>
    <w:rsid w:val="00B141FA"/>
    <w:rsid w:val="00B1440A"/>
    <w:rsid w:val="00B14468"/>
    <w:rsid w:val="00B144FD"/>
    <w:rsid w:val="00B1465D"/>
    <w:rsid w:val="00B14708"/>
    <w:rsid w:val="00B14795"/>
    <w:rsid w:val="00B14872"/>
    <w:rsid w:val="00B14A78"/>
    <w:rsid w:val="00B14BC1"/>
    <w:rsid w:val="00B14C0B"/>
    <w:rsid w:val="00B14D4C"/>
    <w:rsid w:val="00B14DAC"/>
    <w:rsid w:val="00B14F0C"/>
    <w:rsid w:val="00B14F4D"/>
    <w:rsid w:val="00B15289"/>
    <w:rsid w:val="00B152A8"/>
    <w:rsid w:val="00B1536D"/>
    <w:rsid w:val="00B155CB"/>
    <w:rsid w:val="00B15A77"/>
    <w:rsid w:val="00B15E82"/>
    <w:rsid w:val="00B15EC8"/>
    <w:rsid w:val="00B15F4B"/>
    <w:rsid w:val="00B16223"/>
    <w:rsid w:val="00B16347"/>
    <w:rsid w:val="00B163EC"/>
    <w:rsid w:val="00B16445"/>
    <w:rsid w:val="00B1675D"/>
    <w:rsid w:val="00B1696A"/>
    <w:rsid w:val="00B16A4D"/>
    <w:rsid w:val="00B16BE7"/>
    <w:rsid w:val="00B16D5E"/>
    <w:rsid w:val="00B16DDC"/>
    <w:rsid w:val="00B16DFA"/>
    <w:rsid w:val="00B172AF"/>
    <w:rsid w:val="00B17364"/>
    <w:rsid w:val="00B17BC8"/>
    <w:rsid w:val="00B17EB4"/>
    <w:rsid w:val="00B17EC1"/>
    <w:rsid w:val="00B17ED5"/>
    <w:rsid w:val="00B17F6C"/>
    <w:rsid w:val="00B17F81"/>
    <w:rsid w:val="00B200DF"/>
    <w:rsid w:val="00B20124"/>
    <w:rsid w:val="00B201A6"/>
    <w:rsid w:val="00B202B9"/>
    <w:rsid w:val="00B2054C"/>
    <w:rsid w:val="00B206AE"/>
    <w:rsid w:val="00B207C4"/>
    <w:rsid w:val="00B209BB"/>
    <w:rsid w:val="00B20A56"/>
    <w:rsid w:val="00B20A83"/>
    <w:rsid w:val="00B20BB6"/>
    <w:rsid w:val="00B20CA2"/>
    <w:rsid w:val="00B20F6C"/>
    <w:rsid w:val="00B20F85"/>
    <w:rsid w:val="00B212C4"/>
    <w:rsid w:val="00B21340"/>
    <w:rsid w:val="00B2138B"/>
    <w:rsid w:val="00B2186E"/>
    <w:rsid w:val="00B21A4A"/>
    <w:rsid w:val="00B21C2A"/>
    <w:rsid w:val="00B21D31"/>
    <w:rsid w:val="00B21E57"/>
    <w:rsid w:val="00B22083"/>
    <w:rsid w:val="00B2211A"/>
    <w:rsid w:val="00B222FD"/>
    <w:rsid w:val="00B22439"/>
    <w:rsid w:val="00B224FE"/>
    <w:rsid w:val="00B2258C"/>
    <w:rsid w:val="00B22680"/>
    <w:rsid w:val="00B22C50"/>
    <w:rsid w:val="00B23096"/>
    <w:rsid w:val="00B233CF"/>
    <w:rsid w:val="00B2347C"/>
    <w:rsid w:val="00B235A8"/>
    <w:rsid w:val="00B236B2"/>
    <w:rsid w:val="00B236B9"/>
    <w:rsid w:val="00B23839"/>
    <w:rsid w:val="00B2386E"/>
    <w:rsid w:val="00B2399C"/>
    <w:rsid w:val="00B23D67"/>
    <w:rsid w:val="00B23F13"/>
    <w:rsid w:val="00B24231"/>
    <w:rsid w:val="00B2441D"/>
    <w:rsid w:val="00B24593"/>
    <w:rsid w:val="00B24972"/>
    <w:rsid w:val="00B2497D"/>
    <w:rsid w:val="00B24A15"/>
    <w:rsid w:val="00B24AD2"/>
    <w:rsid w:val="00B24C3E"/>
    <w:rsid w:val="00B24D03"/>
    <w:rsid w:val="00B24E74"/>
    <w:rsid w:val="00B25159"/>
    <w:rsid w:val="00B25179"/>
    <w:rsid w:val="00B2530B"/>
    <w:rsid w:val="00B2531E"/>
    <w:rsid w:val="00B253A8"/>
    <w:rsid w:val="00B253C6"/>
    <w:rsid w:val="00B253CF"/>
    <w:rsid w:val="00B25599"/>
    <w:rsid w:val="00B2581A"/>
    <w:rsid w:val="00B258CE"/>
    <w:rsid w:val="00B25A59"/>
    <w:rsid w:val="00B25DA3"/>
    <w:rsid w:val="00B25F50"/>
    <w:rsid w:val="00B26226"/>
    <w:rsid w:val="00B26272"/>
    <w:rsid w:val="00B262AE"/>
    <w:rsid w:val="00B262CE"/>
    <w:rsid w:val="00B2630A"/>
    <w:rsid w:val="00B2651D"/>
    <w:rsid w:val="00B2669A"/>
    <w:rsid w:val="00B268A0"/>
    <w:rsid w:val="00B268EC"/>
    <w:rsid w:val="00B26963"/>
    <w:rsid w:val="00B26C11"/>
    <w:rsid w:val="00B26CCD"/>
    <w:rsid w:val="00B26DC5"/>
    <w:rsid w:val="00B26EB4"/>
    <w:rsid w:val="00B26F5E"/>
    <w:rsid w:val="00B27001"/>
    <w:rsid w:val="00B27069"/>
    <w:rsid w:val="00B271EE"/>
    <w:rsid w:val="00B27435"/>
    <w:rsid w:val="00B27559"/>
    <w:rsid w:val="00B27604"/>
    <w:rsid w:val="00B2777E"/>
    <w:rsid w:val="00B27A5D"/>
    <w:rsid w:val="00B27B4F"/>
    <w:rsid w:val="00B27C4E"/>
    <w:rsid w:val="00B27CB9"/>
    <w:rsid w:val="00B27CCD"/>
    <w:rsid w:val="00B27CE3"/>
    <w:rsid w:val="00B27D39"/>
    <w:rsid w:val="00B27D97"/>
    <w:rsid w:val="00B27F74"/>
    <w:rsid w:val="00B27FAD"/>
    <w:rsid w:val="00B302DB"/>
    <w:rsid w:val="00B30381"/>
    <w:rsid w:val="00B30390"/>
    <w:rsid w:val="00B3041D"/>
    <w:rsid w:val="00B305A4"/>
    <w:rsid w:val="00B308D2"/>
    <w:rsid w:val="00B30A33"/>
    <w:rsid w:val="00B30A6E"/>
    <w:rsid w:val="00B30B27"/>
    <w:rsid w:val="00B30C8A"/>
    <w:rsid w:val="00B30D42"/>
    <w:rsid w:val="00B30F2A"/>
    <w:rsid w:val="00B30FC0"/>
    <w:rsid w:val="00B3121F"/>
    <w:rsid w:val="00B312AB"/>
    <w:rsid w:val="00B312BB"/>
    <w:rsid w:val="00B3132B"/>
    <w:rsid w:val="00B31433"/>
    <w:rsid w:val="00B3158B"/>
    <w:rsid w:val="00B315AF"/>
    <w:rsid w:val="00B316B0"/>
    <w:rsid w:val="00B31827"/>
    <w:rsid w:val="00B31855"/>
    <w:rsid w:val="00B31B0C"/>
    <w:rsid w:val="00B31D23"/>
    <w:rsid w:val="00B31F65"/>
    <w:rsid w:val="00B31FC5"/>
    <w:rsid w:val="00B322F5"/>
    <w:rsid w:val="00B3246D"/>
    <w:rsid w:val="00B324FF"/>
    <w:rsid w:val="00B327DC"/>
    <w:rsid w:val="00B3281F"/>
    <w:rsid w:val="00B3292D"/>
    <w:rsid w:val="00B329BA"/>
    <w:rsid w:val="00B329F4"/>
    <w:rsid w:val="00B32B0A"/>
    <w:rsid w:val="00B32C99"/>
    <w:rsid w:val="00B32CAC"/>
    <w:rsid w:val="00B32CE6"/>
    <w:rsid w:val="00B33012"/>
    <w:rsid w:val="00B330D5"/>
    <w:rsid w:val="00B3340B"/>
    <w:rsid w:val="00B33474"/>
    <w:rsid w:val="00B334E3"/>
    <w:rsid w:val="00B33643"/>
    <w:rsid w:val="00B336A5"/>
    <w:rsid w:val="00B33724"/>
    <w:rsid w:val="00B33A8C"/>
    <w:rsid w:val="00B33BC6"/>
    <w:rsid w:val="00B33F92"/>
    <w:rsid w:val="00B33FFF"/>
    <w:rsid w:val="00B34059"/>
    <w:rsid w:val="00B340AB"/>
    <w:rsid w:val="00B3419F"/>
    <w:rsid w:val="00B34255"/>
    <w:rsid w:val="00B3428F"/>
    <w:rsid w:val="00B342A3"/>
    <w:rsid w:val="00B34310"/>
    <w:rsid w:val="00B34376"/>
    <w:rsid w:val="00B343C6"/>
    <w:rsid w:val="00B344FC"/>
    <w:rsid w:val="00B34594"/>
    <w:rsid w:val="00B34598"/>
    <w:rsid w:val="00B347CF"/>
    <w:rsid w:val="00B347DF"/>
    <w:rsid w:val="00B347E0"/>
    <w:rsid w:val="00B3490B"/>
    <w:rsid w:val="00B3493C"/>
    <w:rsid w:val="00B3498C"/>
    <w:rsid w:val="00B34EB0"/>
    <w:rsid w:val="00B34EC5"/>
    <w:rsid w:val="00B34F07"/>
    <w:rsid w:val="00B3522A"/>
    <w:rsid w:val="00B352BE"/>
    <w:rsid w:val="00B353B8"/>
    <w:rsid w:val="00B353EC"/>
    <w:rsid w:val="00B355EE"/>
    <w:rsid w:val="00B3569C"/>
    <w:rsid w:val="00B3572D"/>
    <w:rsid w:val="00B35A0B"/>
    <w:rsid w:val="00B35CDB"/>
    <w:rsid w:val="00B35E07"/>
    <w:rsid w:val="00B35E7A"/>
    <w:rsid w:val="00B35F61"/>
    <w:rsid w:val="00B35F6B"/>
    <w:rsid w:val="00B36199"/>
    <w:rsid w:val="00B362C1"/>
    <w:rsid w:val="00B36366"/>
    <w:rsid w:val="00B365D7"/>
    <w:rsid w:val="00B3662F"/>
    <w:rsid w:val="00B367B6"/>
    <w:rsid w:val="00B367F8"/>
    <w:rsid w:val="00B368F1"/>
    <w:rsid w:val="00B36B00"/>
    <w:rsid w:val="00B36B46"/>
    <w:rsid w:val="00B36BAF"/>
    <w:rsid w:val="00B36CCC"/>
    <w:rsid w:val="00B36F58"/>
    <w:rsid w:val="00B37040"/>
    <w:rsid w:val="00B37131"/>
    <w:rsid w:val="00B3716A"/>
    <w:rsid w:val="00B371E8"/>
    <w:rsid w:val="00B373C6"/>
    <w:rsid w:val="00B373D4"/>
    <w:rsid w:val="00B37444"/>
    <w:rsid w:val="00B3778C"/>
    <w:rsid w:val="00B37B3C"/>
    <w:rsid w:val="00B37BE1"/>
    <w:rsid w:val="00B37D07"/>
    <w:rsid w:val="00B37D84"/>
    <w:rsid w:val="00B37DD9"/>
    <w:rsid w:val="00B37EF3"/>
    <w:rsid w:val="00B40073"/>
    <w:rsid w:val="00B4010B"/>
    <w:rsid w:val="00B40465"/>
    <w:rsid w:val="00B405A2"/>
    <w:rsid w:val="00B406FB"/>
    <w:rsid w:val="00B40773"/>
    <w:rsid w:val="00B407F7"/>
    <w:rsid w:val="00B40867"/>
    <w:rsid w:val="00B40A7E"/>
    <w:rsid w:val="00B40D1C"/>
    <w:rsid w:val="00B40F05"/>
    <w:rsid w:val="00B41287"/>
    <w:rsid w:val="00B413D2"/>
    <w:rsid w:val="00B41514"/>
    <w:rsid w:val="00B415B9"/>
    <w:rsid w:val="00B4160A"/>
    <w:rsid w:val="00B41664"/>
    <w:rsid w:val="00B419F5"/>
    <w:rsid w:val="00B41A60"/>
    <w:rsid w:val="00B41F79"/>
    <w:rsid w:val="00B42079"/>
    <w:rsid w:val="00B42088"/>
    <w:rsid w:val="00B420D9"/>
    <w:rsid w:val="00B4224F"/>
    <w:rsid w:val="00B4225A"/>
    <w:rsid w:val="00B4246C"/>
    <w:rsid w:val="00B42822"/>
    <w:rsid w:val="00B42A3D"/>
    <w:rsid w:val="00B42C1C"/>
    <w:rsid w:val="00B42DC5"/>
    <w:rsid w:val="00B43077"/>
    <w:rsid w:val="00B430BB"/>
    <w:rsid w:val="00B4322E"/>
    <w:rsid w:val="00B43327"/>
    <w:rsid w:val="00B43342"/>
    <w:rsid w:val="00B4355A"/>
    <w:rsid w:val="00B43576"/>
    <w:rsid w:val="00B435CB"/>
    <w:rsid w:val="00B43AC3"/>
    <w:rsid w:val="00B43B15"/>
    <w:rsid w:val="00B43B2F"/>
    <w:rsid w:val="00B44097"/>
    <w:rsid w:val="00B4415A"/>
    <w:rsid w:val="00B44364"/>
    <w:rsid w:val="00B44379"/>
    <w:rsid w:val="00B444C5"/>
    <w:rsid w:val="00B444DC"/>
    <w:rsid w:val="00B4451E"/>
    <w:rsid w:val="00B44AC3"/>
    <w:rsid w:val="00B44C93"/>
    <w:rsid w:val="00B44DAA"/>
    <w:rsid w:val="00B44DCA"/>
    <w:rsid w:val="00B44E78"/>
    <w:rsid w:val="00B44F25"/>
    <w:rsid w:val="00B450A7"/>
    <w:rsid w:val="00B45112"/>
    <w:rsid w:val="00B45423"/>
    <w:rsid w:val="00B4547F"/>
    <w:rsid w:val="00B454C2"/>
    <w:rsid w:val="00B454F1"/>
    <w:rsid w:val="00B45527"/>
    <w:rsid w:val="00B45538"/>
    <w:rsid w:val="00B455BE"/>
    <w:rsid w:val="00B4567E"/>
    <w:rsid w:val="00B4568E"/>
    <w:rsid w:val="00B457F7"/>
    <w:rsid w:val="00B45934"/>
    <w:rsid w:val="00B45C71"/>
    <w:rsid w:val="00B45D51"/>
    <w:rsid w:val="00B4645A"/>
    <w:rsid w:val="00B464E6"/>
    <w:rsid w:val="00B464F2"/>
    <w:rsid w:val="00B46518"/>
    <w:rsid w:val="00B4660D"/>
    <w:rsid w:val="00B4663E"/>
    <w:rsid w:val="00B466CF"/>
    <w:rsid w:val="00B46850"/>
    <w:rsid w:val="00B46855"/>
    <w:rsid w:val="00B4697F"/>
    <w:rsid w:val="00B470BD"/>
    <w:rsid w:val="00B47236"/>
    <w:rsid w:val="00B472CC"/>
    <w:rsid w:val="00B474F7"/>
    <w:rsid w:val="00B4785F"/>
    <w:rsid w:val="00B479D8"/>
    <w:rsid w:val="00B47A58"/>
    <w:rsid w:val="00B47A7D"/>
    <w:rsid w:val="00B47B9E"/>
    <w:rsid w:val="00B47ED9"/>
    <w:rsid w:val="00B47FA7"/>
    <w:rsid w:val="00B500A4"/>
    <w:rsid w:val="00B500CD"/>
    <w:rsid w:val="00B50145"/>
    <w:rsid w:val="00B501B2"/>
    <w:rsid w:val="00B5036F"/>
    <w:rsid w:val="00B5047B"/>
    <w:rsid w:val="00B504A2"/>
    <w:rsid w:val="00B504CE"/>
    <w:rsid w:val="00B50860"/>
    <w:rsid w:val="00B508A7"/>
    <w:rsid w:val="00B508E7"/>
    <w:rsid w:val="00B50D53"/>
    <w:rsid w:val="00B50F12"/>
    <w:rsid w:val="00B50F5A"/>
    <w:rsid w:val="00B5125D"/>
    <w:rsid w:val="00B512BD"/>
    <w:rsid w:val="00B516D6"/>
    <w:rsid w:val="00B51719"/>
    <w:rsid w:val="00B51956"/>
    <w:rsid w:val="00B519E0"/>
    <w:rsid w:val="00B51AA1"/>
    <w:rsid w:val="00B51BCD"/>
    <w:rsid w:val="00B51CD7"/>
    <w:rsid w:val="00B51DDB"/>
    <w:rsid w:val="00B51FDF"/>
    <w:rsid w:val="00B5203D"/>
    <w:rsid w:val="00B5205B"/>
    <w:rsid w:val="00B5206B"/>
    <w:rsid w:val="00B520AB"/>
    <w:rsid w:val="00B5242F"/>
    <w:rsid w:val="00B52506"/>
    <w:rsid w:val="00B52667"/>
    <w:rsid w:val="00B5272B"/>
    <w:rsid w:val="00B52849"/>
    <w:rsid w:val="00B52CDA"/>
    <w:rsid w:val="00B52EDD"/>
    <w:rsid w:val="00B52FA1"/>
    <w:rsid w:val="00B53124"/>
    <w:rsid w:val="00B531A4"/>
    <w:rsid w:val="00B5330E"/>
    <w:rsid w:val="00B5367B"/>
    <w:rsid w:val="00B53897"/>
    <w:rsid w:val="00B538BA"/>
    <w:rsid w:val="00B538FE"/>
    <w:rsid w:val="00B53960"/>
    <w:rsid w:val="00B53A06"/>
    <w:rsid w:val="00B53C13"/>
    <w:rsid w:val="00B53CA6"/>
    <w:rsid w:val="00B53EFC"/>
    <w:rsid w:val="00B5413B"/>
    <w:rsid w:val="00B54181"/>
    <w:rsid w:val="00B541A0"/>
    <w:rsid w:val="00B54436"/>
    <w:rsid w:val="00B5455C"/>
    <w:rsid w:val="00B545EF"/>
    <w:rsid w:val="00B54650"/>
    <w:rsid w:val="00B54701"/>
    <w:rsid w:val="00B54813"/>
    <w:rsid w:val="00B548F3"/>
    <w:rsid w:val="00B549A0"/>
    <w:rsid w:val="00B549C5"/>
    <w:rsid w:val="00B549F2"/>
    <w:rsid w:val="00B54A63"/>
    <w:rsid w:val="00B54B06"/>
    <w:rsid w:val="00B54B1F"/>
    <w:rsid w:val="00B54CD7"/>
    <w:rsid w:val="00B54E7E"/>
    <w:rsid w:val="00B54F04"/>
    <w:rsid w:val="00B5524A"/>
    <w:rsid w:val="00B553B3"/>
    <w:rsid w:val="00B55B04"/>
    <w:rsid w:val="00B55EDA"/>
    <w:rsid w:val="00B55FF5"/>
    <w:rsid w:val="00B5615A"/>
    <w:rsid w:val="00B561FD"/>
    <w:rsid w:val="00B563CC"/>
    <w:rsid w:val="00B56411"/>
    <w:rsid w:val="00B565CE"/>
    <w:rsid w:val="00B568E4"/>
    <w:rsid w:val="00B56A29"/>
    <w:rsid w:val="00B56A81"/>
    <w:rsid w:val="00B56E40"/>
    <w:rsid w:val="00B570A4"/>
    <w:rsid w:val="00B570FC"/>
    <w:rsid w:val="00B57119"/>
    <w:rsid w:val="00B571B0"/>
    <w:rsid w:val="00B574A2"/>
    <w:rsid w:val="00B57513"/>
    <w:rsid w:val="00B5753C"/>
    <w:rsid w:val="00B57666"/>
    <w:rsid w:val="00B576BC"/>
    <w:rsid w:val="00B57748"/>
    <w:rsid w:val="00B57843"/>
    <w:rsid w:val="00B5787E"/>
    <w:rsid w:val="00B57B25"/>
    <w:rsid w:val="00B57C61"/>
    <w:rsid w:val="00B57D71"/>
    <w:rsid w:val="00B57E0A"/>
    <w:rsid w:val="00B57E0E"/>
    <w:rsid w:val="00B57E51"/>
    <w:rsid w:val="00B57EBD"/>
    <w:rsid w:val="00B57F0C"/>
    <w:rsid w:val="00B60089"/>
    <w:rsid w:val="00B60101"/>
    <w:rsid w:val="00B60175"/>
    <w:rsid w:val="00B601BB"/>
    <w:rsid w:val="00B601F3"/>
    <w:rsid w:val="00B6033C"/>
    <w:rsid w:val="00B603D8"/>
    <w:rsid w:val="00B603F5"/>
    <w:rsid w:val="00B605D1"/>
    <w:rsid w:val="00B605E9"/>
    <w:rsid w:val="00B60636"/>
    <w:rsid w:val="00B60692"/>
    <w:rsid w:val="00B606EC"/>
    <w:rsid w:val="00B60869"/>
    <w:rsid w:val="00B608D3"/>
    <w:rsid w:val="00B60AC1"/>
    <w:rsid w:val="00B60AC6"/>
    <w:rsid w:val="00B60BE8"/>
    <w:rsid w:val="00B60DC7"/>
    <w:rsid w:val="00B60E5B"/>
    <w:rsid w:val="00B61293"/>
    <w:rsid w:val="00B6130A"/>
    <w:rsid w:val="00B61318"/>
    <w:rsid w:val="00B614C9"/>
    <w:rsid w:val="00B616AD"/>
    <w:rsid w:val="00B6191F"/>
    <w:rsid w:val="00B61B1B"/>
    <w:rsid w:val="00B61B2D"/>
    <w:rsid w:val="00B61B75"/>
    <w:rsid w:val="00B61C7B"/>
    <w:rsid w:val="00B61F6F"/>
    <w:rsid w:val="00B62048"/>
    <w:rsid w:val="00B620CE"/>
    <w:rsid w:val="00B622CB"/>
    <w:rsid w:val="00B622CF"/>
    <w:rsid w:val="00B622E0"/>
    <w:rsid w:val="00B62412"/>
    <w:rsid w:val="00B62471"/>
    <w:rsid w:val="00B626A4"/>
    <w:rsid w:val="00B629E3"/>
    <w:rsid w:val="00B62C05"/>
    <w:rsid w:val="00B62E36"/>
    <w:rsid w:val="00B62F3D"/>
    <w:rsid w:val="00B632A2"/>
    <w:rsid w:val="00B63437"/>
    <w:rsid w:val="00B634F9"/>
    <w:rsid w:val="00B6352B"/>
    <w:rsid w:val="00B637B3"/>
    <w:rsid w:val="00B63AA2"/>
    <w:rsid w:val="00B63BEE"/>
    <w:rsid w:val="00B63C7A"/>
    <w:rsid w:val="00B63F03"/>
    <w:rsid w:val="00B640B6"/>
    <w:rsid w:val="00B6424D"/>
    <w:rsid w:val="00B64267"/>
    <w:rsid w:val="00B6438A"/>
    <w:rsid w:val="00B6463D"/>
    <w:rsid w:val="00B646CA"/>
    <w:rsid w:val="00B64831"/>
    <w:rsid w:val="00B648D0"/>
    <w:rsid w:val="00B64B60"/>
    <w:rsid w:val="00B64B79"/>
    <w:rsid w:val="00B64BF7"/>
    <w:rsid w:val="00B64CFD"/>
    <w:rsid w:val="00B64EC6"/>
    <w:rsid w:val="00B65069"/>
    <w:rsid w:val="00B650A7"/>
    <w:rsid w:val="00B6544F"/>
    <w:rsid w:val="00B654C5"/>
    <w:rsid w:val="00B65683"/>
    <w:rsid w:val="00B65798"/>
    <w:rsid w:val="00B657E7"/>
    <w:rsid w:val="00B65850"/>
    <w:rsid w:val="00B65967"/>
    <w:rsid w:val="00B659B2"/>
    <w:rsid w:val="00B65A01"/>
    <w:rsid w:val="00B65F56"/>
    <w:rsid w:val="00B6608F"/>
    <w:rsid w:val="00B661BD"/>
    <w:rsid w:val="00B66917"/>
    <w:rsid w:val="00B66A20"/>
    <w:rsid w:val="00B66B49"/>
    <w:rsid w:val="00B66D57"/>
    <w:rsid w:val="00B66E85"/>
    <w:rsid w:val="00B67084"/>
    <w:rsid w:val="00B67103"/>
    <w:rsid w:val="00B67577"/>
    <w:rsid w:val="00B675AF"/>
    <w:rsid w:val="00B676E6"/>
    <w:rsid w:val="00B6777A"/>
    <w:rsid w:val="00B677C8"/>
    <w:rsid w:val="00B67856"/>
    <w:rsid w:val="00B67D02"/>
    <w:rsid w:val="00B67E65"/>
    <w:rsid w:val="00B67E8A"/>
    <w:rsid w:val="00B67F0B"/>
    <w:rsid w:val="00B67F66"/>
    <w:rsid w:val="00B67FF3"/>
    <w:rsid w:val="00B70035"/>
    <w:rsid w:val="00B70214"/>
    <w:rsid w:val="00B7022F"/>
    <w:rsid w:val="00B702A1"/>
    <w:rsid w:val="00B70373"/>
    <w:rsid w:val="00B70478"/>
    <w:rsid w:val="00B704B3"/>
    <w:rsid w:val="00B7056E"/>
    <w:rsid w:val="00B70756"/>
    <w:rsid w:val="00B707CB"/>
    <w:rsid w:val="00B708A9"/>
    <w:rsid w:val="00B7090A"/>
    <w:rsid w:val="00B7091D"/>
    <w:rsid w:val="00B70930"/>
    <w:rsid w:val="00B70946"/>
    <w:rsid w:val="00B70963"/>
    <w:rsid w:val="00B70A66"/>
    <w:rsid w:val="00B70AEC"/>
    <w:rsid w:val="00B70BCE"/>
    <w:rsid w:val="00B70C2B"/>
    <w:rsid w:val="00B70E9F"/>
    <w:rsid w:val="00B71137"/>
    <w:rsid w:val="00B71447"/>
    <w:rsid w:val="00B714C1"/>
    <w:rsid w:val="00B71522"/>
    <w:rsid w:val="00B717F9"/>
    <w:rsid w:val="00B718C6"/>
    <w:rsid w:val="00B718F6"/>
    <w:rsid w:val="00B71ABA"/>
    <w:rsid w:val="00B71CBA"/>
    <w:rsid w:val="00B71D33"/>
    <w:rsid w:val="00B71D3A"/>
    <w:rsid w:val="00B71DE0"/>
    <w:rsid w:val="00B7213D"/>
    <w:rsid w:val="00B72226"/>
    <w:rsid w:val="00B7227C"/>
    <w:rsid w:val="00B72994"/>
    <w:rsid w:val="00B729C0"/>
    <w:rsid w:val="00B72B96"/>
    <w:rsid w:val="00B72DA5"/>
    <w:rsid w:val="00B72E4B"/>
    <w:rsid w:val="00B72E6D"/>
    <w:rsid w:val="00B72F1E"/>
    <w:rsid w:val="00B72F1F"/>
    <w:rsid w:val="00B7308F"/>
    <w:rsid w:val="00B734A4"/>
    <w:rsid w:val="00B7376F"/>
    <w:rsid w:val="00B73793"/>
    <w:rsid w:val="00B73883"/>
    <w:rsid w:val="00B73BBB"/>
    <w:rsid w:val="00B73E69"/>
    <w:rsid w:val="00B73EC3"/>
    <w:rsid w:val="00B73F80"/>
    <w:rsid w:val="00B73FF0"/>
    <w:rsid w:val="00B74142"/>
    <w:rsid w:val="00B7417C"/>
    <w:rsid w:val="00B7425C"/>
    <w:rsid w:val="00B74296"/>
    <w:rsid w:val="00B745E9"/>
    <w:rsid w:val="00B74BB0"/>
    <w:rsid w:val="00B74C41"/>
    <w:rsid w:val="00B74D1C"/>
    <w:rsid w:val="00B74FE7"/>
    <w:rsid w:val="00B75013"/>
    <w:rsid w:val="00B751AB"/>
    <w:rsid w:val="00B751F4"/>
    <w:rsid w:val="00B754D7"/>
    <w:rsid w:val="00B7581F"/>
    <w:rsid w:val="00B75B2B"/>
    <w:rsid w:val="00B75B86"/>
    <w:rsid w:val="00B75E92"/>
    <w:rsid w:val="00B75F18"/>
    <w:rsid w:val="00B7604C"/>
    <w:rsid w:val="00B76249"/>
    <w:rsid w:val="00B76273"/>
    <w:rsid w:val="00B76285"/>
    <w:rsid w:val="00B7631D"/>
    <w:rsid w:val="00B76463"/>
    <w:rsid w:val="00B765EF"/>
    <w:rsid w:val="00B7669C"/>
    <w:rsid w:val="00B76751"/>
    <w:rsid w:val="00B767B6"/>
    <w:rsid w:val="00B76A38"/>
    <w:rsid w:val="00B76AC3"/>
    <w:rsid w:val="00B76BC3"/>
    <w:rsid w:val="00B76D60"/>
    <w:rsid w:val="00B76DCD"/>
    <w:rsid w:val="00B76F82"/>
    <w:rsid w:val="00B77109"/>
    <w:rsid w:val="00B771AB"/>
    <w:rsid w:val="00B775E6"/>
    <w:rsid w:val="00B77866"/>
    <w:rsid w:val="00B77973"/>
    <w:rsid w:val="00B779E5"/>
    <w:rsid w:val="00B77A04"/>
    <w:rsid w:val="00B77A22"/>
    <w:rsid w:val="00B77DB1"/>
    <w:rsid w:val="00B77F5A"/>
    <w:rsid w:val="00B8012F"/>
    <w:rsid w:val="00B80234"/>
    <w:rsid w:val="00B8051C"/>
    <w:rsid w:val="00B809D6"/>
    <w:rsid w:val="00B809EA"/>
    <w:rsid w:val="00B80A16"/>
    <w:rsid w:val="00B80A39"/>
    <w:rsid w:val="00B80AF6"/>
    <w:rsid w:val="00B80B20"/>
    <w:rsid w:val="00B80BB9"/>
    <w:rsid w:val="00B80D3C"/>
    <w:rsid w:val="00B80D46"/>
    <w:rsid w:val="00B8111F"/>
    <w:rsid w:val="00B8133E"/>
    <w:rsid w:val="00B814D4"/>
    <w:rsid w:val="00B816B6"/>
    <w:rsid w:val="00B81A6A"/>
    <w:rsid w:val="00B81AFC"/>
    <w:rsid w:val="00B81B6E"/>
    <w:rsid w:val="00B81DBC"/>
    <w:rsid w:val="00B81FD4"/>
    <w:rsid w:val="00B82011"/>
    <w:rsid w:val="00B82064"/>
    <w:rsid w:val="00B820AE"/>
    <w:rsid w:val="00B82210"/>
    <w:rsid w:val="00B82274"/>
    <w:rsid w:val="00B82492"/>
    <w:rsid w:val="00B824C5"/>
    <w:rsid w:val="00B825F5"/>
    <w:rsid w:val="00B82622"/>
    <w:rsid w:val="00B82735"/>
    <w:rsid w:val="00B82758"/>
    <w:rsid w:val="00B827DA"/>
    <w:rsid w:val="00B82AB7"/>
    <w:rsid w:val="00B82BD9"/>
    <w:rsid w:val="00B82BFE"/>
    <w:rsid w:val="00B82D8F"/>
    <w:rsid w:val="00B82FFF"/>
    <w:rsid w:val="00B8316C"/>
    <w:rsid w:val="00B833C9"/>
    <w:rsid w:val="00B83433"/>
    <w:rsid w:val="00B8362E"/>
    <w:rsid w:val="00B83763"/>
    <w:rsid w:val="00B83B12"/>
    <w:rsid w:val="00B83D78"/>
    <w:rsid w:val="00B83D83"/>
    <w:rsid w:val="00B83E3E"/>
    <w:rsid w:val="00B83E8C"/>
    <w:rsid w:val="00B83F28"/>
    <w:rsid w:val="00B84065"/>
    <w:rsid w:val="00B840F0"/>
    <w:rsid w:val="00B8434C"/>
    <w:rsid w:val="00B8474F"/>
    <w:rsid w:val="00B84815"/>
    <w:rsid w:val="00B8486F"/>
    <w:rsid w:val="00B848E0"/>
    <w:rsid w:val="00B84B40"/>
    <w:rsid w:val="00B84B44"/>
    <w:rsid w:val="00B84D4E"/>
    <w:rsid w:val="00B84D63"/>
    <w:rsid w:val="00B84EA0"/>
    <w:rsid w:val="00B84F48"/>
    <w:rsid w:val="00B84FE9"/>
    <w:rsid w:val="00B8500F"/>
    <w:rsid w:val="00B853EC"/>
    <w:rsid w:val="00B855A0"/>
    <w:rsid w:val="00B855CA"/>
    <w:rsid w:val="00B85650"/>
    <w:rsid w:val="00B856BE"/>
    <w:rsid w:val="00B858AE"/>
    <w:rsid w:val="00B85982"/>
    <w:rsid w:val="00B85C73"/>
    <w:rsid w:val="00B85CE0"/>
    <w:rsid w:val="00B85D2C"/>
    <w:rsid w:val="00B861C6"/>
    <w:rsid w:val="00B86348"/>
    <w:rsid w:val="00B864B3"/>
    <w:rsid w:val="00B864C6"/>
    <w:rsid w:val="00B864DE"/>
    <w:rsid w:val="00B8672A"/>
    <w:rsid w:val="00B86A90"/>
    <w:rsid w:val="00B86AE6"/>
    <w:rsid w:val="00B86BCB"/>
    <w:rsid w:val="00B86E03"/>
    <w:rsid w:val="00B86FC4"/>
    <w:rsid w:val="00B8718D"/>
    <w:rsid w:val="00B8720F"/>
    <w:rsid w:val="00B8747B"/>
    <w:rsid w:val="00B87489"/>
    <w:rsid w:val="00B87628"/>
    <w:rsid w:val="00B87699"/>
    <w:rsid w:val="00B8774F"/>
    <w:rsid w:val="00B87AC8"/>
    <w:rsid w:val="00B87BD0"/>
    <w:rsid w:val="00B87CEC"/>
    <w:rsid w:val="00B87D0C"/>
    <w:rsid w:val="00B87D74"/>
    <w:rsid w:val="00B87E69"/>
    <w:rsid w:val="00B87ECE"/>
    <w:rsid w:val="00B87F96"/>
    <w:rsid w:val="00B87FD1"/>
    <w:rsid w:val="00B90197"/>
    <w:rsid w:val="00B90331"/>
    <w:rsid w:val="00B903AC"/>
    <w:rsid w:val="00B90573"/>
    <w:rsid w:val="00B906B4"/>
    <w:rsid w:val="00B90716"/>
    <w:rsid w:val="00B90736"/>
    <w:rsid w:val="00B90786"/>
    <w:rsid w:val="00B907A6"/>
    <w:rsid w:val="00B90852"/>
    <w:rsid w:val="00B90A82"/>
    <w:rsid w:val="00B90C3B"/>
    <w:rsid w:val="00B90EBB"/>
    <w:rsid w:val="00B90F2A"/>
    <w:rsid w:val="00B90FCE"/>
    <w:rsid w:val="00B9132A"/>
    <w:rsid w:val="00B915D3"/>
    <w:rsid w:val="00B917C3"/>
    <w:rsid w:val="00B91959"/>
    <w:rsid w:val="00B91E87"/>
    <w:rsid w:val="00B91E8B"/>
    <w:rsid w:val="00B92267"/>
    <w:rsid w:val="00B92295"/>
    <w:rsid w:val="00B9277F"/>
    <w:rsid w:val="00B92AD8"/>
    <w:rsid w:val="00B92AFA"/>
    <w:rsid w:val="00B92B0D"/>
    <w:rsid w:val="00B92B43"/>
    <w:rsid w:val="00B92B75"/>
    <w:rsid w:val="00B92BE1"/>
    <w:rsid w:val="00B92E0B"/>
    <w:rsid w:val="00B92E47"/>
    <w:rsid w:val="00B932CF"/>
    <w:rsid w:val="00B933AE"/>
    <w:rsid w:val="00B9365F"/>
    <w:rsid w:val="00B936E0"/>
    <w:rsid w:val="00B93811"/>
    <w:rsid w:val="00B938DD"/>
    <w:rsid w:val="00B93A5E"/>
    <w:rsid w:val="00B93B5C"/>
    <w:rsid w:val="00B93BCB"/>
    <w:rsid w:val="00B9415A"/>
    <w:rsid w:val="00B9427E"/>
    <w:rsid w:val="00B9432A"/>
    <w:rsid w:val="00B944FD"/>
    <w:rsid w:val="00B946B4"/>
    <w:rsid w:val="00B946D4"/>
    <w:rsid w:val="00B947E1"/>
    <w:rsid w:val="00B949C1"/>
    <w:rsid w:val="00B94BEF"/>
    <w:rsid w:val="00B94D22"/>
    <w:rsid w:val="00B94F06"/>
    <w:rsid w:val="00B94F33"/>
    <w:rsid w:val="00B95325"/>
    <w:rsid w:val="00B95397"/>
    <w:rsid w:val="00B954A5"/>
    <w:rsid w:val="00B95774"/>
    <w:rsid w:val="00B957DA"/>
    <w:rsid w:val="00B95859"/>
    <w:rsid w:val="00B95930"/>
    <w:rsid w:val="00B95CB1"/>
    <w:rsid w:val="00B95F48"/>
    <w:rsid w:val="00B95FB7"/>
    <w:rsid w:val="00B9613F"/>
    <w:rsid w:val="00B963AF"/>
    <w:rsid w:val="00B96663"/>
    <w:rsid w:val="00B96771"/>
    <w:rsid w:val="00B96B36"/>
    <w:rsid w:val="00B96B60"/>
    <w:rsid w:val="00B96BF2"/>
    <w:rsid w:val="00B96D1C"/>
    <w:rsid w:val="00B96E4A"/>
    <w:rsid w:val="00B97023"/>
    <w:rsid w:val="00B97062"/>
    <w:rsid w:val="00B970AE"/>
    <w:rsid w:val="00B97218"/>
    <w:rsid w:val="00B97250"/>
    <w:rsid w:val="00B975FB"/>
    <w:rsid w:val="00B9781C"/>
    <w:rsid w:val="00B9796F"/>
    <w:rsid w:val="00B97C88"/>
    <w:rsid w:val="00BA001A"/>
    <w:rsid w:val="00BA010F"/>
    <w:rsid w:val="00BA01B9"/>
    <w:rsid w:val="00BA09E1"/>
    <w:rsid w:val="00BA1079"/>
    <w:rsid w:val="00BA11A1"/>
    <w:rsid w:val="00BA1285"/>
    <w:rsid w:val="00BA13F0"/>
    <w:rsid w:val="00BA1563"/>
    <w:rsid w:val="00BA18BA"/>
    <w:rsid w:val="00BA192B"/>
    <w:rsid w:val="00BA1A38"/>
    <w:rsid w:val="00BA1A71"/>
    <w:rsid w:val="00BA1A93"/>
    <w:rsid w:val="00BA1BF7"/>
    <w:rsid w:val="00BA1C04"/>
    <w:rsid w:val="00BA1C33"/>
    <w:rsid w:val="00BA1CBD"/>
    <w:rsid w:val="00BA1CE2"/>
    <w:rsid w:val="00BA1D13"/>
    <w:rsid w:val="00BA1E96"/>
    <w:rsid w:val="00BA1FC2"/>
    <w:rsid w:val="00BA2027"/>
    <w:rsid w:val="00BA2098"/>
    <w:rsid w:val="00BA20BF"/>
    <w:rsid w:val="00BA215B"/>
    <w:rsid w:val="00BA231E"/>
    <w:rsid w:val="00BA23E7"/>
    <w:rsid w:val="00BA23E8"/>
    <w:rsid w:val="00BA26F3"/>
    <w:rsid w:val="00BA2D6E"/>
    <w:rsid w:val="00BA2F01"/>
    <w:rsid w:val="00BA2FCA"/>
    <w:rsid w:val="00BA319F"/>
    <w:rsid w:val="00BA3287"/>
    <w:rsid w:val="00BA329C"/>
    <w:rsid w:val="00BA3332"/>
    <w:rsid w:val="00BA3374"/>
    <w:rsid w:val="00BA3651"/>
    <w:rsid w:val="00BA38BA"/>
    <w:rsid w:val="00BA3978"/>
    <w:rsid w:val="00BA3981"/>
    <w:rsid w:val="00BA3A9E"/>
    <w:rsid w:val="00BA3ACB"/>
    <w:rsid w:val="00BA3B9A"/>
    <w:rsid w:val="00BA3E5C"/>
    <w:rsid w:val="00BA4108"/>
    <w:rsid w:val="00BA42A4"/>
    <w:rsid w:val="00BA42F4"/>
    <w:rsid w:val="00BA4336"/>
    <w:rsid w:val="00BA434B"/>
    <w:rsid w:val="00BA45CA"/>
    <w:rsid w:val="00BA45CC"/>
    <w:rsid w:val="00BA49E2"/>
    <w:rsid w:val="00BA4A62"/>
    <w:rsid w:val="00BA4E8A"/>
    <w:rsid w:val="00BA50B4"/>
    <w:rsid w:val="00BA50F4"/>
    <w:rsid w:val="00BA5196"/>
    <w:rsid w:val="00BA5554"/>
    <w:rsid w:val="00BA5581"/>
    <w:rsid w:val="00BA55FB"/>
    <w:rsid w:val="00BA5822"/>
    <w:rsid w:val="00BA58AE"/>
    <w:rsid w:val="00BA5A2C"/>
    <w:rsid w:val="00BA5ABA"/>
    <w:rsid w:val="00BA5BBE"/>
    <w:rsid w:val="00BA5C5F"/>
    <w:rsid w:val="00BA5DCE"/>
    <w:rsid w:val="00BA6010"/>
    <w:rsid w:val="00BA613B"/>
    <w:rsid w:val="00BA6300"/>
    <w:rsid w:val="00BA648D"/>
    <w:rsid w:val="00BA65D1"/>
    <w:rsid w:val="00BA68E0"/>
    <w:rsid w:val="00BA6AD9"/>
    <w:rsid w:val="00BA6F42"/>
    <w:rsid w:val="00BA7110"/>
    <w:rsid w:val="00BA7248"/>
    <w:rsid w:val="00BA72D1"/>
    <w:rsid w:val="00BA73D8"/>
    <w:rsid w:val="00BA7717"/>
    <w:rsid w:val="00BA78DE"/>
    <w:rsid w:val="00BA7E72"/>
    <w:rsid w:val="00BB001A"/>
    <w:rsid w:val="00BB0102"/>
    <w:rsid w:val="00BB0143"/>
    <w:rsid w:val="00BB0226"/>
    <w:rsid w:val="00BB02B3"/>
    <w:rsid w:val="00BB056D"/>
    <w:rsid w:val="00BB05D0"/>
    <w:rsid w:val="00BB0796"/>
    <w:rsid w:val="00BB08CA"/>
    <w:rsid w:val="00BB0ACD"/>
    <w:rsid w:val="00BB0B26"/>
    <w:rsid w:val="00BB0BEB"/>
    <w:rsid w:val="00BB0CDF"/>
    <w:rsid w:val="00BB0D5E"/>
    <w:rsid w:val="00BB0D96"/>
    <w:rsid w:val="00BB0E45"/>
    <w:rsid w:val="00BB0E9D"/>
    <w:rsid w:val="00BB0F63"/>
    <w:rsid w:val="00BB103D"/>
    <w:rsid w:val="00BB11AA"/>
    <w:rsid w:val="00BB1394"/>
    <w:rsid w:val="00BB1434"/>
    <w:rsid w:val="00BB18C5"/>
    <w:rsid w:val="00BB1964"/>
    <w:rsid w:val="00BB1FAD"/>
    <w:rsid w:val="00BB20AC"/>
    <w:rsid w:val="00BB21D0"/>
    <w:rsid w:val="00BB21DE"/>
    <w:rsid w:val="00BB2930"/>
    <w:rsid w:val="00BB2C40"/>
    <w:rsid w:val="00BB2C96"/>
    <w:rsid w:val="00BB2D6C"/>
    <w:rsid w:val="00BB2E9A"/>
    <w:rsid w:val="00BB2FAB"/>
    <w:rsid w:val="00BB3013"/>
    <w:rsid w:val="00BB33CA"/>
    <w:rsid w:val="00BB35CF"/>
    <w:rsid w:val="00BB36E8"/>
    <w:rsid w:val="00BB3731"/>
    <w:rsid w:val="00BB378A"/>
    <w:rsid w:val="00BB3B88"/>
    <w:rsid w:val="00BB3B9D"/>
    <w:rsid w:val="00BB3EAF"/>
    <w:rsid w:val="00BB3EB8"/>
    <w:rsid w:val="00BB4011"/>
    <w:rsid w:val="00BB41BF"/>
    <w:rsid w:val="00BB43FC"/>
    <w:rsid w:val="00BB45FB"/>
    <w:rsid w:val="00BB47B1"/>
    <w:rsid w:val="00BB4818"/>
    <w:rsid w:val="00BB48BB"/>
    <w:rsid w:val="00BB4C43"/>
    <w:rsid w:val="00BB4CE8"/>
    <w:rsid w:val="00BB4D9A"/>
    <w:rsid w:val="00BB4DC8"/>
    <w:rsid w:val="00BB4E23"/>
    <w:rsid w:val="00BB4EBC"/>
    <w:rsid w:val="00BB5090"/>
    <w:rsid w:val="00BB535C"/>
    <w:rsid w:val="00BB5768"/>
    <w:rsid w:val="00BB58F1"/>
    <w:rsid w:val="00BB5A91"/>
    <w:rsid w:val="00BB5D3E"/>
    <w:rsid w:val="00BB5DF2"/>
    <w:rsid w:val="00BB5EC0"/>
    <w:rsid w:val="00BB60F6"/>
    <w:rsid w:val="00BB62E0"/>
    <w:rsid w:val="00BB676E"/>
    <w:rsid w:val="00BB67FD"/>
    <w:rsid w:val="00BB6975"/>
    <w:rsid w:val="00BB6988"/>
    <w:rsid w:val="00BB6A64"/>
    <w:rsid w:val="00BB6D4A"/>
    <w:rsid w:val="00BB6DE2"/>
    <w:rsid w:val="00BB6F3A"/>
    <w:rsid w:val="00BB6FC5"/>
    <w:rsid w:val="00BB7166"/>
    <w:rsid w:val="00BB72B3"/>
    <w:rsid w:val="00BB7336"/>
    <w:rsid w:val="00BB76EA"/>
    <w:rsid w:val="00BB7768"/>
    <w:rsid w:val="00BB7BDD"/>
    <w:rsid w:val="00BB7C1A"/>
    <w:rsid w:val="00BB7EFF"/>
    <w:rsid w:val="00BC0141"/>
    <w:rsid w:val="00BC027A"/>
    <w:rsid w:val="00BC046F"/>
    <w:rsid w:val="00BC04CC"/>
    <w:rsid w:val="00BC059C"/>
    <w:rsid w:val="00BC06DD"/>
    <w:rsid w:val="00BC0870"/>
    <w:rsid w:val="00BC089E"/>
    <w:rsid w:val="00BC08EC"/>
    <w:rsid w:val="00BC09F2"/>
    <w:rsid w:val="00BC0AC9"/>
    <w:rsid w:val="00BC0D66"/>
    <w:rsid w:val="00BC107F"/>
    <w:rsid w:val="00BC137E"/>
    <w:rsid w:val="00BC1906"/>
    <w:rsid w:val="00BC1A44"/>
    <w:rsid w:val="00BC1ABD"/>
    <w:rsid w:val="00BC1B17"/>
    <w:rsid w:val="00BC1FB2"/>
    <w:rsid w:val="00BC1FBA"/>
    <w:rsid w:val="00BC1FDE"/>
    <w:rsid w:val="00BC20F8"/>
    <w:rsid w:val="00BC2141"/>
    <w:rsid w:val="00BC219E"/>
    <w:rsid w:val="00BC2221"/>
    <w:rsid w:val="00BC225A"/>
    <w:rsid w:val="00BC22C8"/>
    <w:rsid w:val="00BC2450"/>
    <w:rsid w:val="00BC24D5"/>
    <w:rsid w:val="00BC25CE"/>
    <w:rsid w:val="00BC264C"/>
    <w:rsid w:val="00BC2838"/>
    <w:rsid w:val="00BC29CE"/>
    <w:rsid w:val="00BC2A7C"/>
    <w:rsid w:val="00BC2C52"/>
    <w:rsid w:val="00BC2C57"/>
    <w:rsid w:val="00BC2C81"/>
    <w:rsid w:val="00BC2CF5"/>
    <w:rsid w:val="00BC2D94"/>
    <w:rsid w:val="00BC2FFD"/>
    <w:rsid w:val="00BC306B"/>
    <w:rsid w:val="00BC30DE"/>
    <w:rsid w:val="00BC3126"/>
    <w:rsid w:val="00BC33C2"/>
    <w:rsid w:val="00BC3753"/>
    <w:rsid w:val="00BC384D"/>
    <w:rsid w:val="00BC3942"/>
    <w:rsid w:val="00BC3AEC"/>
    <w:rsid w:val="00BC3B3E"/>
    <w:rsid w:val="00BC3CE7"/>
    <w:rsid w:val="00BC3E35"/>
    <w:rsid w:val="00BC40AC"/>
    <w:rsid w:val="00BC4167"/>
    <w:rsid w:val="00BC44F2"/>
    <w:rsid w:val="00BC4555"/>
    <w:rsid w:val="00BC4866"/>
    <w:rsid w:val="00BC48F6"/>
    <w:rsid w:val="00BC498E"/>
    <w:rsid w:val="00BC4D26"/>
    <w:rsid w:val="00BC4F4F"/>
    <w:rsid w:val="00BC503C"/>
    <w:rsid w:val="00BC5436"/>
    <w:rsid w:val="00BC546B"/>
    <w:rsid w:val="00BC5617"/>
    <w:rsid w:val="00BC5817"/>
    <w:rsid w:val="00BC5A28"/>
    <w:rsid w:val="00BC5A38"/>
    <w:rsid w:val="00BC5A85"/>
    <w:rsid w:val="00BC5A9E"/>
    <w:rsid w:val="00BC5C76"/>
    <w:rsid w:val="00BC5D62"/>
    <w:rsid w:val="00BC5D71"/>
    <w:rsid w:val="00BC5DBF"/>
    <w:rsid w:val="00BC5EBE"/>
    <w:rsid w:val="00BC5F1C"/>
    <w:rsid w:val="00BC5F34"/>
    <w:rsid w:val="00BC5F83"/>
    <w:rsid w:val="00BC5FE7"/>
    <w:rsid w:val="00BC5FF8"/>
    <w:rsid w:val="00BC6153"/>
    <w:rsid w:val="00BC6189"/>
    <w:rsid w:val="00BC62C9"/>
    <w:rsid w:val="00BC639B"/>
    <w:rsid w:val="00BC652B"/>
    <w:rsid w:val="00BC6873"/>
    <w:rsid w:val="00BC6878"/>
    <w:rsid w:val="00BC6B3A"/>
    <w:rsid w:val="00BC6B49"/>
    <w:rsid w:val="00BC6CA9"/>
    <w:rsid w:val="00BC6E79"/>
    <w:rsid w:val="00BC7337"/>
    <w:rsid w:val="00BC7650"/>
    <w:rsid w:val="00BC767C"/>
    <w:rsid w:val="00BC77F0"/>
    <w:rsid w:val="00BC7886"/>
    <w:rsid w:val="00BC7958"/>
    <w:rsid w:val="00BC79D7"/>
    <w:rsid w:val="00BC7A1D"/>
    <w:rsid w:val="00BC7B23"/>
    <w:rsid w:val="00BC7B93"/>
    <w:rsid w:val="00BC7BB4"/>
    <w:rsid w:val="00BC7F66"/>
    <w:rsid w:val="00BD0031"/>
    <w:rsid w:val="00BD00A4"/>
    <w:rsid w:val="00BD07C6"/>
    <w:rsid w:val="00BD07E1"/>
    <w:rsid w:val="00BD0B9F"/>
    <w:rsid w:val="00BD0BE8"/>
    <w:rsid w:val="00BD0CC8"/>
    <w:rsid w:val="00BD0D2E"/>
    <w:rsid w:val="00BD0D83"/>
    <w:rsid w:val="00BD0F26"/>
    <w:rsid w:val="00BD0F31"/>
    <w:rsid w:val="00BD1190"/>
    <w:rsid w:val="00BD1233"/>
    <w:rsid w:val="00BD12CC"/>
    <w:rsid w:val="00BD1400"/>
    <w:rsid w:val="00BD1547"/>
    <w:rsid w:val="00BD15EB"/>
    <w:rsid w:val="00BD174C"/>
    <w:rsid w:val="00BD1876"/>
    <w:rsid w:val="00BD18A4"/>
    <w:rsid w:val="00BD1E9E"/>
    <w:rsid w:val="00BD2357"/>
    <w:rsid w:val="00BD257B"/>
    <w:rsid w:val="00BD2D2D"/>
    <w:rsid w:val="00BD2D78"/>
    <w:rsid w:val="00BD2DAF"/>
    <w:rsid w:val="00BD2DD0"/>
    <w:rsid w:val="00BD2DD7"/>
    <w:rsid w:val="00BD2E42"/>
    <w:rsid w:val="00BD30C4"/>
    <w:rsid w:val="00BD32CF"/>
    <w:rsid w:val="00BD356B"/>
    <w:rsid w:val="00BD35D7"/>
    <w:rsid w:val="00BD3840"/>
    <w:rsid w:val="00BD3AAD"/>
    <w:rsid w:val="00BD3C33"/>
    <w:rsid w:val="00BD3D38"/>
    <w:rsid w:val="00BD3DAC"/>
    <w:rsid w:val="00BD428D"/>
    <w:rsid w:val="00BD4331"/>
    <w:rsid w:val="00BD4387"/>
    <w:rsid w:val="00BD4752"/>
    <w:rsid w:val="00BD4849"/>
    <w:rsid w:val="00BD48E2"/>
    <w:rsid w:val="00BD496D"/>
    <w:rsid w:val="00BD4C59"/>
    <w:rsid w:val="00BD4C8D"/>
    <w:rsid w:val="00BD4DEA"/>
    <w:rsid w:val="00BD4E85"/>
    <w:rsid w:val="00BD4FA9"/>
    <w:rsid w:val="00BD5550"/>
    <w:rsid w:val="00BD5699"/>
    <w:rsid w:val="00BD5856"/>
    <w:rsid w:val="00BD58FB"/>
    <w:rsid w:val="00BD597F"/>
    <w:rsid w:val="00BD5A1C"/>
    <w:rsid w:val="00BD5CF1"/>
    <w:rsid w:val="00BD5D6E"/>
    <w:rsid w:val="00BD5DFD"/>
    <w:rsid w:val="00BD6119"/>
    <w:rsid w:val="00BD6630"/>
    <w:rsid w:val="00BD666C"/>
    <w:rsid w:val="00BD6815"/>
    <w:rsid w:val="00BD6A1A"/>
    <w:rsid w:val="00BD6B4F"/>
    <w:rsid w:val="00BD6B88"/>
    <w:rsid w:val="00BD6CE3"/>
    <w:rsid w:val="00BD6CEC"/>
    <w:rsid w:val="00BD6D58"/>
    <w:rsid w:val="00BD6F1C"/>
    <w:rsid w:val="00BD6F75"/>
    <w:rsid w:val="00BD70A1"/>
    <w:rsid w:val="00BD7463"/>
    <w:rsid w:val="00BD7897"/>
    <w:rsid w:val="00BD7C1B"/>
    <w:rsid w:val="00BD7C5F"/>
    <w:rsid w:val="00BD7D45"/>
    <w:rsid w:val="00BD7FD8"/>
    <w:rsid w:val="00BE0139"/>
    <w:rsid w:val="00BE033E"/>
    <w:rsid w:val="00BE0341"/>
    <w:rsid w:val="00BE0365"/>
    <w:rsid w:val="00BE0390"/>
    <w:rsid w:val="00BE0706"/>
    <w:rsid w:val="00BE08F0"/>
    <w:rsid w:val="00BE090C"/>
    <w:rsid w:val="00BE0929"/>
    <w:rsid w:val="00BE0A02"/>
    <w:rsid w:val="00BE0A32"/>
    <w:rsid w:val="00BE0A69"/>
    <w:rsid w:val="00BE0C29"/>
    <w:rsid w:val="00BE0C35"/>
    <w:rsid w:val="00BE1210"/>
    <w:rsid w:val="00BE150D"/>
    <w:rsid w:val="00BE15B4"/>
    <w:rsid w:val="00BE15CA"/>
    <w:rsid w:val="00BE1E13"/>
    <w:rsid w:val="00BE2051"/>
    <w:rsid w:val="00BE2769"/>
    <w:rsid w:val="00BE280F"/>
    <w:rsid w:val="00BE288C"/>
    <w:rsid w:val="00BE2BEE"/>
    <w:rsid w:val="00BE2D5F"/>
    <w:rsid w:val="00BE2E5E"/>
    <w:rsid w:val="00BE2F82"/>
    <w:rsid w:val="00BE311B"/>
    <w:rsid w:val="00BE3280"/>
    <w:rsid w:val="00BE335E"/>
    <w:rsid w:val="00BE34AB"/>
    <w:rsid w:val="00BE3A81"/>
    <w:rsid w:val="00BE3AE7"/>
    <w:rsid w:val="00BE3D49"/>
    <w:rsid w:val="00BE3F31"/>
    <w:rsid w:val="00BE3FCF"/>
    <w:rsid w:val="00BE3FEC"/>
    <w:rsid w:val="00BE40CB"/>
    <w:rsid w:val="00BE41C4"/>
    <w:rsid w:val="00BE4223"/>
    <w:rsid w:val="00BE4473"/>
    <w:rsid w:val="00BE454C"/>
    <w:rsid w:val="00BE48AB"/>
    <w:rsid w:val="00BE4A1B"/>
    <w:rsid w:val="00BE4A72"/>
    <w:rsid w:val="00BE4C76"/>
    <w:rsid w:val="00BE4D7B"/>
    <w:rsid w:val="00BE4E6C"/>
    <w:rsid w:val="00BE4FAC"/>
    <w:rsid w:val="00BE5016"/>
    <w:rsid w:val="00BE501F"/>
    <w:rsid w:val="00BE5147"/>
    <w:rsid w:val="00BE5169"/>
    <w:rsid w:val="00BE51DF"/>
    <w:rsid w:val="00BE522D"/>
    <w:rsid w:val="00BE52B3"/>
    <w:rsid w:val="00BE52B9"/>
    <w:rsid w:val="00BE5484"/>
    <w:rsid w:val="00BE551F"/>
    <w:rsid w:val="00BE55C3"/>
    <w:rsid w:val="00BE5677"/>
    <w:rsid w:val="00BE58D9"/>
    <w:rsid w:val="00BE5A8F"/>
    <w:rsid w:val="00BE5AD9"/>
    <w:rsid w:val="00BE5AFF"/>
    <w:rsid w:val="00BE5BDA"/>
    <w:rsid w:val="00BE6BA8"/>
    <w:rsid w:val="00BE6BAF"/>
    <w:rsid w:val="00BE6CDE"/>
    <w:rsid w:val="00BE6D21"/>
    <w:rsid w:val="00BE6D47"/>
    <w:rsid w:val="00BE6DCE"/>
    <w:rsid w:val="00BE6E57"/>
    <w:rsid w:val="00BE704B"/>
    <w:rsid w:val="00BE71B7"/>
    <w:rsid w:val="00BE7209"/>
    <w:rsid w:val="00BE725B"/>
    <w:rsid w:val="00BE7328"/>
    <w:rsid w:val="00BE779E"/>
    <w:rsid w:val="00BE7838"/>
    <w:rsid w:val="00BE7949"/>
    <w:rsid w:val="00BE79F4"/>
    <w:rsid w:val="00BE7BCB"/>
    <w:rsid w:val="00BE7CDD"/>
    <w:rsid w:val="00BE7DAC"/>
    <w:rsid w:val="00BE7DDB"/>
    <w:rsid w:val="00BE7ED5"/>
    <w:rsid w:val="00BE7F2A"/>
    <w:rsid w:val="00BF0067"/>
    <w:rsid w:val="00BF0207"/>
    <w:rsid w:val="00BF0281"/>
    <w:rsid w:val="00BF02FF"/>
    <w:rsid w:val="00BF04C8"/>
    <w:rsid w:val="00BF0546"/>
    <w:rsid w:val="00BF05A0"/>
    <w:rsid w:val="00BF066B"/>
    <w:rsid w:val="00BF07AB"/>
    <w:rsid w:val="00BF084C"/>
    <w:rsid w:val="00BF08AD"/>
    <w:rsid w:val="00BF0B7C"/>
    <w:rsid w:val="00BF0C3C"/>
    <w:rsid w:val="00BF0D56"/>
    <w:rsid w:val="00BF101B"/>
    <w:rsid w:val="00BF1032"/>
    <w:rsid w:val="00BF104F"/>
    <w:rsid w:val="00BF10E3"/>
    <w:rsid w:val="00BF11C4"/>
    <w:rsid w:val="00BF124A"/>
    <w:rsid w:val="00BF1317"/>
    <w:rsid w:val="00BF13E7"/>
    <w:rsid w:val="00BF1511"/>
    <w:rsid w:val="00BF1A7E"/>
    <w:rsid w:val="00BF1C3B"/>
    <w:rsid w:val="00BF1CEC"/>
    <w:rsid w:val="00BF1D3F"/>
    <w:rsid w:val="00BF1EB9"/>
    <w:rsid w:val="00BF1EE1"/>
    <w:rsid w:val="00BF204B"/>
    <w:rsid w:val="00BF2056"/>
    <w:rsid w:val="00BF22D4"/>
    <w:rsid w:val="00BF2307"/>
    <w:rsid w:val="00BF241B"/>
    <w:rsid w:val="00BF2495"/>
    <w:rsid w:val="00BF2557"/>
    <w:rsid w:val="00BF25A5"/>
    <w:rsid w:val="00BF2683"/>
    <w:rsid w:val="00BF2841"/>
    <w:rsid w:val="00BF2E4B"/>
    <w:rsid w:val="00BF30FB"/>
    <w:rsid w:val="00BF3175"/>
    <w:rsid w:val="00BF3246"/>
    <w:rsid w:val="00BF32CF"/>
    <w:rsid w:val="00BF32EB"/>
    <w:rsid w:val="00BF33E5"/>
    <w:rsid w:val="00BF3525"/>
    <w:rsid w:val="00BF37D8"/>
    <w:rsid w:val="00BF3A26"/>
    <w:rsid w:val="00BF3D17"/>
    <w:rsid w:val="00BF3DFB"/>
    <w:rsid w:val="00BF3E54"/>
    <w:rsid w:val="00BF3ED2"/>
    <w:rsid w:val="00BF3EEB"/>
    <w:rsid w:val="00BF4452"/>
    <w:rsid w:val="00BF491D"/>
    <w:rsid w:val="00BF4A93"/>
    <w:rsid w:val="00BF4C38"/>
    <w:rsid w:val="00BF4E18"/>
    <w:rsid w:val="00BF4ECB"/>
    <w:rsid w:val="00BF50CF"/>
    <w:rsid w:val="00BF552F"/>
    <w:rsid w:val="00BF5734"/>
    <w:rsid w:val="00BF57C3"/>
    <w:rsid w:val="00BF582A"/>
    <w:rsid w:val="00BF5E7A"/>
    <w:rsid w:val="00BF5FE8"/>
    <w:rsid w:val="00BF6045"/>
    <w:rsid w:val="00BF607C"/>
    <w:rsid w:val="00BF619B"/>
    <w:rsid w:val="00BF6200"/>
    <w:rsid w:val="00BF63BF"/>
    <w:rsid w:val="00BF6466"/>
    <w:rsid w:val="00BF64DB"/>
    <w:rsid w:val="00BF65EB"/>
    <w:rsid w:val="00BF6735"/>
    <w:rsid w:val="00BF67BB"/>
    <w:rsid w:val="00BF692D"/>
    <w:rsid w:val="00BF6A49"/>
    <w:rsid w:val="00BF6BF6"/>
    <w:rsid w:val="00BF6C2E"/>
    <w:rsid w:val="00BF6CE5"/>
    <w:rsid w:val="00BF6DEC"/>
    <w:rsid w:val="00BF6EA9"/>
    <w:rsid w:val="00BF6F6A"/>
    <w:rsid w:val="00BF7514"/>
    <w:rsid w:val="00BF766C"/>
    <w:rsid w:val="00BF7864"/>
    <w:rsid w:val="00BF78A0"/>
    <w:rsid w:val="00BF797A"/>
    <w:rsid w:val="00BF79F9"/>
    <w:rsid w:val="00BF7BA2"/>
    <w:rsid w:val="00BF7DEA"/>
    <w:rsid w:val="00C000CB"/>
    <w:rsid w:val="00C001B2"/>
    <w:rsid w:val="00C001BC"/>
    <w:rsid w:val="00C003EE"/>
    <w:rsid w:val="00C00435"/>
    <w:rsid w:val="00C00CD3"/>
    <w:rsid w:val="00C00D31"/>
    <w:rsid w:val="00C010A3"/>
    <w:rsid w:val="00C010B9"/>
    <w:rsid w:val="00C011FD"/>
    <w:rsid w:val="00C01423"/>
    <w:rsid w:val="00C018D4"/>
    <w:rsid w:val="00C01A51"/>
    <w:rsid w:val="00C01A71"/>
    <w:rsid w:val="00C01B30"/>
    <w:rsid w:val="00C01C81"/>
    <w:rsid w:val="00C02155"/>
    <w:rsid w:val="00C022FD"/>
    <w:rsid w:val="00C02330"/>
    <w:rsid w:val="00C024FE"/>
    <w:rsid w:val="00C0253A"/>
    <w:rsid w:val="00C025D4"/>
    <w:rsid w:val="00C0278D"/>
    <w:rsid w:val="00C0284D"/>
    <w:rsid w:val="00C028E3"/>
    <w:rsid w:val="00C02B41"/>
    <w:rsid w:val="00C02B98"/>
    <w:rsid w:val="00C02CFF"/>
    <w:rsid w:val="00C02D30"/>
    <w:rsid w:val="00C02D72"/>
    <w:rsid w:val="00C0324E"/>
    <w:rsid w:val="00C035C5"/>
    <w:rsid w:val="00C036F0"/>
    <w:rsid w:val="00C03852"/>
    <w:rsid w:val="00C03AA4"/>
    <w:rsid w:val="00C03C29"/>
    <w:rsid w:val="00C03C81"/>
    <w:rsid w:val="00C03C84"/>
    <w:rsid w:val="00C03CEC"/>
    <w:rsid w:val="00C03D0C"/>
    <w:rsid w:val="00C03EE0"/>
    <w:rsid w:val="00C04089"/>
    <w:rsid w:val="00C04272"/>
    <w:rsid w:val="00C042D3"/>
    <w:rsid w:val="00C045BD"/>
    <w:rsid w:val="00C0463A"/>
    <w:rsid w:val="00C046B8"/>
    <w:rsid w:val="00C046FD"/>
    <w:rsid w:val="00C04ABE"/>
    <w:rsid w:val="00C04B1F"/>
    <w:rsid w:val="00C04BBA"/>
    <w:rsid w:val="00C04BC1"/>
    <w:rsid w:val="00C04D59"/>
    <w:rsid w:val="00C04DBD"/>
    <w:rsid w:val="00C04FAB"/>
    <w:rsid w:val="00C05157"/>
    <w:rsid w:val="00C0516B"/>
    <w:rsid w:val="00C05177"/>
    <w:rsid w:val="00C051D5"/>
    <w:rsid w:val="00C05223"/>
    <w:rsid w:val="00C0551D"/>
    <w:rsid w:val="00C05606"/>
    <w:rsid w:val="00C057C9"/>
    <w:rsid w:val="00C05A1E"/>
    <w:rsid w:val="00C05AB8"/>
    <w:rsid w:val="00C05AC1"/>
    <w:rsid w:val="00C05C1D"/>
    <w:rsid w:val="00C05C4B"/>
    <w:rsid w:val="00C05CF5"/>
    <w:rsid w:val="00C05D24"/>
    <w:rsid w:val="00C05E6D"/>
    <w:rsid w:val="00C05F4A"/>
    <w:rsid w:val="00C06033"/>
    <w:rsid w:val="00C06080"/>
    <w:rsid w:val="00C060FC"/>
    <w:rsid w:val="00C0612B"/>
    <w:rsid w:val="00C06428"/>
    <w:rsid w:val="00C06471"/>
    <w:rsid w:val="00C06A69"/>
    <w:rsid w:val="00C06CDC"/>
    <w:rsid w:val="00C06D6B"/>
    <w:rsid w:val="00C06E0A"/>
    <w:rsid w:val="00C06EA1"/>
    <w:rsid w:val="00C07064"/>
    <w:rsid w:val="00C0711B"/>
    <w:rsid w:val="00C071E8"/>
    <w:rsid w:val="00C073B3"/>
    <w:rsid w:val="00C07414"/>
    <w:rsid w:val="00C0748B"/>
    <w:rsid w:val="00C0751D"/>
    <w:rsid w:val="00C07534"/>
    <w:rsid w:val="00C075F1"/>
    <w:rsid w:val="00C07864"/>
    <w:rsid w:val="00C0790F"/>
    <w:rsid w:val="00C0792A"/>
    <w:rsid w:val="00C07978"/>
    <w:rsid w:val="00C07A51"/>
    <w:rsid w:val="00C07A96"/>
    <w:rsid w:val="00C07B15"/>
    <w:rsid w:val="00C07DC4"/>
    <w:rsid w:val="00C07EB1"/>
    <w:rsid w:val="00C1004F"/>
    <w:rsid w:val="00C105D9"/>
    <w:rsid w:val="00C10880"/>
    <w:rsid w:val="00C10914"/>
    <w:rsid w:val="00C10B0B"/>
    <w:rsid w:val="00C10B13"/>
    <w:rsid w:val="00C10CA6"/>
    <w:rsid w:val="00C10CF2"/>
    <w:rsid w:val="00C10DF1"/>
    <w:rsid w:val="00C10E6D"/>
    <w:rsid w:val="00C10FE1"/>
    <w:rsid w:val="00C110B0"/>
    <w:rsid w:val="00C11217"/>
    <w:rsid w:val="00C11228"/>
    <w:rsid w:val="00C11239"/>
    <w:rsid w:val="00C11319"/>
    <w:rsid w:val="00C11534"/>
    <w:rsid w:val="00C115B2"/>
    <w:rsid w:val="00C116DA"/>
    <w:rsid w:val="00C11749"/>
    <w:rsid w:val="00C119A3"/>
    <w:rsid w:val="00C11AC2"/>
    <w:rsid w:val="00C11F94"/>
    <w:rsid w:val="00C123B1"/>
    <w:rsid w:val="00C12589"/>
    <w:rsid w:val="00C12A1B"/>
    <w:rsid w:val="00C12AAE"/>
    <w:rsid w:val="00C12B5F"/>
    <w:rsid w:val="00C12E70"/>
    <w:rsid w:val="00C12FA4"/>
    <w:rsid w:val="00C13063"/>
    <w:rsid w:val="00C134A5"/>
    <w:rsid w:val="00C13745"/>
    <w:rsid w:val="00C1380D"/>
    <w:rsid w:val="00C13A00"/>
    <w:rsid w:val="00C13A70"/>
    <w:rsid w:val="00C13B01"/>
    <w:rsid w:val="00C13B1D"/>
    <w:rsid w:val="00C13B2B"/>
    <w:rsid w:val="00C13BB8"/>
    <w:rsid w:val="00C13CF5"/>
    <w:rsid w:val="00C13D91"/>
    <w:rsid w:val="00C13EB8"/>
    <w:rsid w:val="00C13ED4"/>
    <w:rsid w:val="00C13F80"/>
    <w:rsid w:val="00C13F87"/>
    <w:rsid w:val="00C13F94"/>
    <w:rsid w:val="00C14016"/>
    <w:rsid w:val="00C14138"/>
    <w:rsid w:val="00C14511"/>
    <w:rsid w:val="00C145FF"/>
    <w:rsid w:val="00C1478F"/>
    <w:rsid w:val="00C148CE"/>
    <w:rsid w:val="00C14A4F"/>
    <w:rsid w:val="00C14A75"/>
    <w:rsid w:val="00C14A82"/>
    <w:rsid w:val="00C14B2E"/>
    <w:rsid w:val="00C14B4C"/>
    <w:rsid w:val="00C14B6B"/>
    <w:rsid w:val="00C14DDF"/>
    <w:rsid w:val="00C14EB3"/>
    <w:rsid w:val="00C14F01"/>
    <w:rsid w:val="00C14F4B"/>
    <w:rsid w:val="00C151A0"/>
    <w:rsid w:val="00C151A9"/>
    <w:rsid w:val="00C1522F"/>
    <w:rsid w:val="00C1530E"/>
    <w:rsid w:val="00C15365"/>
    <w:rsid w:val="00C15394"/>
    <w:rsid w:val="00C153F0"/>
    <w:rsid w:val="00C158D0"/>
    <w:rsid w:val="00C15905"/>
    <w:rsid w:val="00C159D3"/>
    <w:rsid w:val="00C15AA9"/>
    <w:rsid w:val="00C15ABD"/>
    <w:rsid w:val="00C15AEA"/>
    <w:rsid w:val="00C15BF8"/>
    <w:rsid w:val="00C15CDB"/>
    <w:rsid w:val="00C15D60"/>
    <w:rsid w:val="00C15DC0"/>
    <w:rsid w:val="00C16292"/>
    <w:rsid w:val="00C16588"/>
    <w:rsid w:val="00C166BF"/>
    <w:rsid w:val="00C16820"/>
    <w:rsid w:val="00C168A8"/>
    <w:rsid w:val="00C16911"/>
    <w:rsid w:val="00C16A0F"/>
    <w:rsid w:val="00C16E12"/>
    <w:rsid w:val="00C1702D"/>
    <w:rsid w:val="00C174AA"/>
    <w:rsid w:val="00C174D3"/>
    <w:rsid w:val="00C17807"/>
    <w:rsid w:val="00C17881"/>
    <w:rsid w:val="00C1791E"/>
    <w:rsid w:val="00C17A61"/>
    <w:rsid w:val="00C17C90"/>
    <w:rsid w:val="00C17E7F"/>
    <w:rsid w:val="00C17F1B"/>
    <w:rsid w:val="00C2011E"/>
    <w:rsid w:val="00C202BC"/>
    <w:rsid w:val="00C202DE"/>
    <w:rsid w:val="00C20302"/>
    <w:rsid w:val="00C20321"/>
    <w:rsid w:val="00C203FE"/>
    <w:rsid w:val="00C20484"/>
    <w:rsid w:val="00C20514"/>
    <w:rsid w:val="00C2057E"/>
    <w:rsid w:val="00C208DF"/>
    <w:rsid w:val="00C209B5"/>
    <w:rsid w:val="00C20A48"/>
    <w:rsid w:val="00C20D21"/>
    <w:rsid w:val="00C20E09"/>
    <w:rsid w:val="00C20F12"/>
    <w:rsid w:val="00C211EC"/>
    <w:rsid w:val="00C21B6F"/>
    <w:rsid w:val="00C21BD3"/>
    <w:rsid w:val="00C21C67"/>
    <w:rsid w:val="00C21D5C"/>
    <w:rsid w:val="00C21F49"/>
    <w:rsid w:val="00C21F7A"/>
    <w:rsid w:val="00C220D7"/>
    <w:rsid w:val="00C22244"/>
    <w:rsid w:val="00C22311"/>
    <w:rsid w:val="00C2239A"/>
    <w:rsid w:val="00C22438"/>
    <w:rsid w:val="00C22589"/>
    <w:rsid w:val="00C22715"/>
    <w:rsid w:val="00C2272A"/>
    <w:rsid w:val="00C22755"/>
    <w:rsid w:val="00C22770"/>
    <w:rsid w:val="00C227F0"/>
    <w:rsid w:val="00C228EC"/>
    <w:rsid w:val="00C22923"/>
    <w:rsid w:val="00C2293B"/>
    <w:rsid w:val="00C229F6"/>
    <w:rsid w:val="00C22A9C"/>
    <w:rsid w:val="00C22DBD"/>
    <w:rsid w:val="00C2367F"/>
    <w:rsid w:val="00C23764"/>
    <w:rsid w:val="00C23780"/>
    <w:rsid w:val="00C237B0"/>
    <w:rsid w:val="00C2395A"/>
    <w:rsid w:val="00C239DE"/>
    <w:rsid w:val="00C23BDA"/>
    <w:rsid w:val="00C23BE6"/>
    <w:rsid w:val="00C23BF4"/>
    <w:rsid w:val="00C23C8A"/>
    <w:rsid w:val="00C23CB1"/>
    <w:rsid w:val="00C23F00"/>
    <w:rsid w:val="00C24031"/>
    <w:rsid w:val="00C24187"/>
    <w:rsid w:val="00C243DE"/>
    <w:rsid w:val="00C2452E"/>
    <w:rsid w:val="00C246BE"/>
    <w:rsid w:val="00C2471C"/>
    <w:rsid w:val="00C2482F"/>
    <w:rsid w:val="00C248E5"/>
    <w:rsid w:val="00C24AD9"/>
    <w:rsid w:val="00C24AF8"/>
    <w:rsid w:val="00C24B3B"/>
    <w:rsid w:val="00C24C66"/>
    <w:rsid w:val="00C24CD7"/>
    <w:rsid w:val="00C2500C"/>
    <w:rsid w:val="00C25106"/>
    <w:rsid w:val="00C25431"/>
    <w:rsid w:val="00C25672"/>
    <w:rsid w:val="00C256A3"/>
    <w:rsid w:val="00C2572C"/>
    <w:rsid w:val="00C2585B"/>
    <w:rsid w:val="00C25937"/>
    <w:rsid w:val="00C259B7"/>
    <w:rsid w:val="00C25A8E"/>
    <w:rsid w:val="00C25AEC"/>
    <w:rsid w:val="00C25D11"/>
    <w:rsid w:val="00C25DC8"/>
    <w:rsid w:val="00C25E73"/>
    <w:rsid w:val="00C25EA0"/>
    <w:rsid w:val="00C25F26"/>
    <w:rsid w:val="00C25FDE"/>
    <w:rsid w:val="00C26026"/>
    <w:rsid w:val="00C260FF"/>
    <w:rsid w:val="00C26228"/>
    <w:rsid w:val="00C262AE"/>
    <w:rsid w:val="00C265BF"/>
    <w:rsid w:val="00C266D5"/>
    <w:rsid w:val="00C26946"/>
    <w:rsid w:val="00C269D1"/>
    <w:rsid w:val="00C26C8A"/>
    <w:rsid w:val="00C26E16"/>
    <w:rsid w:val="00C2722F"/>
    <w:rsid w:val="00C2746A"/>
    <w:rsid w:val="00C27521"/>
    <w:rsid w:val="00C2768D"/>
    <w:rsid w:val="00C277C9"/>
    <w:rsid w:val="00C27825"/>
    <w:rsid w:val="00C27897"/>
    <w:rsid w:val="00C27A4F"/>
    <w:rsid w:val="00C27AFB"/>
    <w:rsid w:val="00C27D1F"/>
    <w:rsid w:val="00C27E92"/>
    <w:rsid w:val="00C303E6"/>
    <w:rsid w:val="00C304AC"/>
    <w:rsid w:val="00C30554"/>
    <w:rsid w:val="00C305FE"/>
    <w:rsid w:val="00C30646"/>
    <w:rsid w:val="00C30693"/>
    <w:rsid w:val="00C30A2A"/>
    <w:rsid w:val="00C30C38"/>
    <w:rsid w:val="00C30EFD"/>
    <w:rsid w:val="00C31042"/>
    <w:rsid w:val="00C31355"/>
    <w:rsid w:val="00C3139A"/>
    <w:rsid w:val="00C313A5"/>
    <w:rsid w:val="00C31457"/>
    <w:rsid w:val="00C314EC"/>
    <w:rsid w:val="00C3164C"/>
    <w:rsid w:val="00C317A3"/>
    <w:rsid w:val="00C31858"/>
    <w:rsid w:val="00C31969"/>
    <w:rsid w:val="00C31AEF"/>
    <w:rsid w:val="00C31C15"/>
    <w:rsid w:val="00C31E87"/>
    <w:rsid w:val="00C31EC3"/>
    <w:rsid w:val="00C31F59"/>
    <w:rsid w:val="00C3206C"/>
    <w:rsid w:val="00C3208B"/>
    <w:rsid w:val="00C3219C"/>
    <w:rsid w:val="00C32278"/>
    <w:rsid w:val="00C32304"/>
    <w:rsid w:val="00C3230A"/>
    <w:rsid w:val="00C3238E"/>
    <w:rsid w:val="00C323A2"/>
    <w:rsid w:val="00C32721"/>
    <w:rsid w:val="00C32B91"/>
    <w:rsid w:val="00C32E7E"/>
    <w:rsid w:val="00C3300D"/>
    <w:rsid w:val="00C33135"/>
    <w:rsid w:val="00C33183"/>
    <w:rsid w:val="00C333D9"/>
    <w:rsid w:val="00C33477"/>
    <w:rsid w:val="00C3355F"/>
    <w:rsid w:val="00C33853"/>
    <w:rsid w:val="00C33962"/>
    <w:rsid w:val="00C33B0A"/>
    <w:rsid w:val="00C33B55"/>
    <w:rsid w:val="00C33BB3"/>
    <w:rsid w:val="00C33C39"/>
    <w:rsid w:val="00C33CA1"/>
    <w:rsid w:val="00C33D74"/>
    <w:rsid w:val="00C33DDD"/>
    <w:rsid w:val="00C33E46"/>
    <w:rsid w:val="00C3406C"/>
    <w:rsid w:val="00C34114"/>
    <w:rsid w:val="00C3413A"/>
    <w:rsid w:val="00C34196"/>
    <w:rsid w:val="00C34222"/>
    <w:rsid w:val="00C34427"/>
    <w:rsid w:val="00C34452"/>
    <w:rsid w:val="00C344C2"/>
    <w:rsid w:val="00C34708"/>
    <w:rsid w:val="00C34766"/>
    <w:rsid w:val="00C34B77"/>
    <w:rsid w:val="00C34BAE"/>
    <w:rsid w:val="00C34BEA"/>
    <w:rsid w:val="00C34C46"/>
    <w:rsid w:val="00C34C61"/>
    <w:rsid w:val="00C34E2C"/>
    <w:rsid w:val="00C34E5E"/>
    <w:rsid w:val="00C35026"/>
    <w:rsid w:val="00C3513D"/>
    <w:rsid w:val="00C3589A"/>
    <w:rsid w:val="00C358FD"/>
    <w:rsid w:val="00C35BB4"/>
    <w:rsid w:val="00C35D1B"/>
    <w:rsid w:val="00C35DA4"/>
    <w:rsid w:val="00C35DDD"/>
    <w:rsid w:val="00C36072"/>
    <w:rsid w:val="00C3612A"/>
    <w:rsid w:val="00C36214"/>
    <w:rsid w:val="00C3657A"/>
    <w:rsid w:val="00C36832"/>
    <w:rsid w:val="00C3683D"/>
    <w:rsid w:val="00C3690E"/>
    <w:rsid w:val="00C369AA"/>
    <w:rsid w:val="00C36BA0"/>
    <w:rsid w:val="00C36DB7"/>
    <w:rsid w:val="00C36E7D"/>
    <w:rsid w:val="00C36F68"/>
    <w:rsid w:val="00C36F96"/>
    <w:rsid w:val="00C37041"/>
    <w:rsid w:val="00C3729A"/>
    <w:rsid w:val="00C372B9"/>
    <w:rsid w:val="00C372C4"/>
    <w:rsid w:val="00C37327"/>
    <w:rsid w:val="00C37364"/>
    <w:rsid w:val="00C37679"/>
    <w:rsid w:val="00C378EE"/>
    <w:rsid w:val="00C379DE"/>
    <w:rsid w:val="00C37DB6"/>
    <w:rsid w:val="00C37E7B"/>
    <w:rsid w:val="00C401CB"/>
    <w:rsid w:val="00C402B6"/>
    <w:rsid w:val="00C403FB"/>
    <w:rsid w:val="00C405AB"/>
    <w:rsid w:val="00C40628"/>
    <w:rsid w:val="00C406B7"/>
    <w:rsid w:val="00C4077E"/>
    <w:rsid w:val="00C40A31"/>
    <w:rsid w:val="00C40CBE"/>
    <w:rsid w:val="00C40D55"/>
    <w:rsid w:val="00C4111F"/>
    <w:rsid w:val="00C41191"/>
    <w:rsid w:val="00C412EB"/>
    <w:rsid w:val="00C41360"/>
    <w:rsid w:val="00C41593"/>
    <w:rsid w:val="00C4180C"/>
    <w:rsid w:val="00C4190F"/>
    <w:rsid w:val="00C41DDD"/>
    <w:rsid w:val="00C42157"/>
    <w:rsid w:val="00C42210"/>
    <w:rsid w:val="00C42576"/>
    <w:rsid w:val="00C42818"/>
    <w:rsid w:val="00C42850"/>
    <w:rsid w:val="00C4285B"/>
    <w:rsid w:val="00C428CE"/>
    <w:rsid w:val="00C42993"/>
    <w:rsid w:val="00C429A4"/>
    <w:rsid w:val="00C429E6"/>
    <w:rsid w:val="00C42BD1"/>
    <w:rsid w:val="00C42BFD"/>
    <w:rsid w:val="00C42D30"/>
    <w:rsid w:val="00C43109"/>
    <w:rsid w:val="00C43246"/>
    <w:rsid w:val="00C4327F"/>
    <w:rsid w:val="00C432CC"/>
    <w:rsid w:val="00C435A6"/>
    <w:rsid w:val="00C435E8"/>
    <w:rsid w:val="00C436E7"/>
    <w:rsid w:val="00C43B6F"/>
    <w:rsid w:val="00C43D99"/>
    <w:rsid w:val="00C43E0D"/>
    <w:rsid w:val="00C43F3E"/>
    <w:rsid w:val="00C442E9"/>
    <w:rsid w:val="00C44326"/>
    <w:rsid w:val="00C443C4"/>
    <w:rsid w:val="00C443C9"/>
    <w:rsid w:val="00C44461"/>
    <w:rsid w:val="00C44530"/>
    <w:rsid w:val="00C446C9"/>
    <w:rsid w:val="00C44786"/>
    <w:rsid w:val="00C44832"/>
    <w:rsid w:val="00C44861"/>
    <w:rsid w:val="00C44A1D"/>
    <w:rsid w:val="00C44C93"/>
    <w:rsid w:val="00C44D8D"/>
    <w:rsid w:val="00C44DAB"/>
    <w:rsid w:val="00C45246"/>
    <w:rsid w:val="00C458F5"/>
    <w:rsid w:val="00C45BB1"/>
    <w:rsid w:val="00C45BF2"/>
    <w:rsid w:val="00C45DDE"/>
    <w:rsid w:val="00C45FA1"/>
    <w:rsid w:val="00C460AE"/>
    <w:rsid w:val="00C460D1"/>
    <w:rsid w:val="00C460DE"/>
    <w:rsid w:val="00C461CD"/>
    <w:rsid w:val="00C46205"/>
    <w:rsid w:val="00C46304"/>
    <w:rsid w:val="00C46682"/>
    <w:rsid w:val="00C46960"/>
    <w:rsid w:val="00C46B90"/>
    <w:rsid w:val="00C46D1C"/>
    <w:rsid w:val="00C46D76"/>
    <w:rsid w:val="00C46EAC"/>
    <w:rsid w:val="00C46F96"/>
    <w:rsid w:val="00C4707A"/>
    <w:rsid w:val="00C4736E"/>
    <w:rsid w:val="00C4752A"/>
    <w:rsid w:val="00C47695"/>
    <w:rsid w:val="00C476D3"/>
    <w:rsid w:val="00C476D6"/>
    <w:rsid w:val="00C4771D"/>
    <w:rsid w:val="00C47778"/>
    <w:rsid w:val="00C479B7"/>
    <w:rsid w:val="00C47A2F"/>
    <w:rsid w:val="00C47AA1"/>
    <w:rsid w:val="00C47ADA"/>
    <w:rsid w:val="00C47AF9"/>
    <w:rsid w:val="00C47B73"/>
    <w:rsid w:val="00C47BE0"/>
    <w:rsid w:val="00C47E18"/>
    <w:rsid w:val="00C47E96"/>
    <w:rsid w:val="00C47F15"/>
    <w:rsid w:val="00C47F1E"/>
    <w:rsid w:val="00C50018"/>
    <w:rsid w:val="00C50025"/>
    <w:rsid w:val="00C500EF"/>
    <w:rsid w:val="00C50106"/>
    <w:rsid w:val="00C50199"/>
    <w:rsid w:val="00C5025B"/>
    <w:rsid w:val="00C50555"/>
    <w:rsid w:val="00C507CD"/>
    <w:rsid w:val="00C5087C"/>
    <w:rsid w:val="00C509B4"/>
    <w:rsid w:val="00C50A75"/>
    <w:rsid w:val="00C50B3C"/>
    <w:rsid w:val="00C50CBA"/>
    <w:rsid w:val="00C50D5D"/>
    <w:rsid w:val="00C50E0E"/>
    <w:rsid w:val="00C50F33"/>
    <w:rsid w:val="00C5121B"/>
    <w:rsid w:val="00C51246"/>
    <w:rsid w:val="00C5130E"/>
    <w:rsid w:val="00C513BC"/>
    <w:rsid w:val="00C5158B"/>
    <w:rsid w:val="00C51854"/>
    <w:rsid w:val="00C51990"/>
    <w:rsid w:val="00C51A16"/>
    <w:rsid w:val="00C51BA4"/>
    <w:rsid w:val="00C51BB6"/>
    <w:rsid w:val="00C51BF9"/>
    <w:rsid w:val="00C51C24"/>
    <w:rsid w:val="00C52565"/>
    <w:rsid w:val="00C5262D"/>
    <w:rsid w:val="00C52815"/>
    <w:rsid w:val="00C52834"/>
    <w:rsid w:val="00C52894"/>
    <w:rsid w:val="00C529AD"/>
    <w:rsid w:val="00C52B73"/>
    <w:rsid w:val="00C52BB0"/>
    <w:rsid w:val="00C52E8B"/>
    <w:rsid w:val="00C52E91"/>
    <w:rsid w:val="00C5303F"/>
    <w:rsid w:val="00C530F1"/>
    <w:rsid w:val="00C5313E"/>
    <w:rsid w:val="00C538E4"/>
    <w:rsid w:val="00C53B3D"/>
    <w:rsid w:val="00C53E82"/>
    <w:rsid w:val="00C5417F"/>
    <w:rsid w:val="00C5434F"/>
    <w:rsid w:val="00C5439B"/>
    <w:rsid w:val="00C54638"/>
    <w:rsid w:val="00C54772"/>
    <w:rsid w:val="00C54990"/>
    <w:rsid w:val="00C54A10"/>
    <w:rsid w:val="00C54B5D"/>
    <w:rsid w:val="00C54C8E"/>
    <w:rsid w:val="00C55096"/>
    <w:rsid w:val="00C55131"/>
    <w:rsid w:val="00C55530"/>
    <w:rsid w:val="00C555A3"/>
    <w:rsid w:val="00C55872"/>
    <w:rsid w:val="00C55999"/>
    <w:rsid w:val="00C55A4A"/>
    <w:rsid w:val="00C55C33"/>
    <w:rsid w:val="00C55CF2"/>
    <w:rsid w:val="00C55D65"/>
    <w:rsid w:val="00C55EAF"/>
    <w:rsid w:val="00C563F7"/>
    <w:rsid w:val="00C564D1"/>
    <w:rsid w:val="00C56602"/>
    <w:rsid w:val="00C56648"/>
    <w:rsid w:val="00C56759"/>
    <w:rsid w:val="00C56A01"/>
    <w:rsid w:val="00C56A03"/>
    <w:rsid w:val="00C56AA5"/>
    <w:rsid w:val="00C56B01"/>
    <w:rsid w:val="00C56B4D"/>
    <w:rsid w:val="00C56C43"/>
    <w:rsid w:val="00C56DC5"/>
    <w:rsid w:val="00C56DD9"/>
    <w:rsid w:val="00C56EE0"/>
    <w:rsid w:val="00C57295"/>
    <w:rsid w:val="00C572E5"/>
    <w:rsid w:val="00C57301"/>
    <w:rsid w:val="00C5734C"/>
    <w:rsid w:val="00C57522"/>
    <w:rsid w:val="00C5783C"/>
    <w:rsid w:val="00C57D33"/>
    <w:rsid w:val="00C57F4C"/>
    <w:rsid w:val="00C60244"/>
    <w:rsid w:val="00C6099A"/>
    <w:rsid w:val="00C60AAB"/>
    <w:rsid w:val="00C60ABA"/>
    <w:rsid w:val="00C61190"/>
    <w:rsid w:val="00C61277"/>
    <w:rsid w:val="00C6149C"/>
    <w:rsid w:val="00C617C4"/>
    <w:rsid w:val="00C61870"/>
    <w:rsid w:val="00C618BC"/>
    <w:rsid w:val="00C61A1A"/>
    <w:rsid w:val="00C61A9F"/>
    <w:rsid w:val="00C61D77"/>
    <w:rsid w:val="00C61F1B"/>
    <w:rsid w:val="00C61FDF"/>
    <w:rsid w:val="00C62176"/>
    <w:rsid w:val="00C622C0"/>
    <w:rsid w:val="00C6238A"/>
    <w:rsid w:val="00C62443"/>
    <w:rsid w:val="00C625B5"/>
    <w:rsid w:val="00C62654"/>
    <w:rsid w:val="00C62822"/>
    <w:rsid w:val="00C628CA"/>
    <w:rsid w:val="00C628FC"/>
    <w:rsid w:val="00C62976"/>
    <w:rsid w:val="00C629B5"/>
    <w:rsid w:val="00C62A1D"/>
    <w:rsid w:val="00C62C6D"/>
    <w:rsid w:val="00C62E19"/>
    <w:rsid w:val="00C62EE4"/>
    <w:rsid w:val="00C62F33"/>
    <w:rsid w:val="00C63037"/>
    <w:rsid w:val="00C6344A"/>
    <w:rsid w:val="00C634AB"/>
    <w:rsid w:val="00C634C7"/>
    <w:rsid w:val="00C63608"/>
    <w:rsid w:val="00C6376A"/>
    <w:rsid w:val="00C6388B"/>
    <w:rsid w:val="00C63C07"/>
    <w:rsid w:val="00C63FB3"/>
    <w:rsid w:val="00C64017"/>
    <w:rsid w:val="00C64861"/>
    <w:rsid w:val="00C6493C"/>
    <w:rsid w:val="00C64AAB"/>
    <w:rsid w:val="00C64AB1"/>
    <w:rsid w:val="00C64B38"/>
    <w:rsid w:val="00C64B68"/>
    <w:rsid w:val="00C64C4D"/>
    <w:rsid w:val="00C64C4E"/>
    <w:rsid w:val="00C64D85"/>
    <w:rsid w:val="00C64D8A"/>
    <w:rsid w:val="00C64D8B"/>
    <w:rsid w:val="00C64EBF"/>
    <w:rsid w:val="00C6506B"/>
    <w:rsid w:val="00C65073"/>
    <w:rsid w:val="00C65458"/>
    <w:rsid w:val="00C6545F"/>
    <w:rsid w:val="00C6548B"/>
    <w:rsid w:val="00C655CD"/>
    <w:rsid w:val="00C65851"/>
    <w:rsid w:val="00C65922"/>
    <w:rsid w:val="00C6593A"/>
    <w:rsid w:val="00C659B6"/>
    <w:rsid w:val="00C65B2B"/>
    <w:rsid w:val="00C66259"/>
    <w:rsid w:val="00C66367"/>
    <w:rsid w:val="00C663B6"/>
    <w:rsid w:val="00C664A8"/>
    <w:rsid w:val="00C664EE"/>
    <w:rsid w:val="00C6688A"/>
    <w:rsid w:val="00C66CA1"/>
    <w:rsid w:val="00C66E69"/>
    <w:rsid w:val="00C66ECF"/>
    <w:rsid w:val="00C66F80"/>
    <w:rsid w:val="00C67134"/>
    <w:rsid w:val="00C673D8"/>
    <w:rsid w:val="00C67484"/>
    <w:rsid w:val="00C674AE"/>
    <w:rsid w:val="00C67683"/>
    <w:rsid w:val="00C6773C"/>
    <w:rsid w:val="00C678E7"/>
    <w:rsid w:val="00C6793E"/>
    <w:rsid w:val="00C679E7"/>
    <w:rsid w:val="00C67C97"/>
    <w:rsid w:val="00C70034"/>
    <w:rsid w:val="00C7019A"/>
    <w:rsid w:val="00C70252"/>
    <w:rsid w:val="00C707BF"/>
    <w:rsid w:val="00C708D3"/>
    <w:rsid w:val="00C708E1"/>
    <w:rsid w:val="00C70BF3"/>
    <w:rsid w:val="00C70D98"/>
    <w:rsid w:val="00C70FB6"/>
    <w:rsid w:val="00C714EC"/>
    <w:rsid w:val="00C716C7"/>
    <w:rsid w:val="00C71782"/>
    <w:rsid w:val="00C71A22"/>
    <w:rsid w:val="00C71E37"/>
    <w:rsid w:val="00C71E6C"/>
    <w:rsid w:val="00C7205E"/>
    <w:rsid w:val="00C726D0"/>
    <w:rsid w:val="00C72948"/>
    <w:rsid w:val="00C729EC"/>
    <w:rsid w:val="00C72A01"/>
    <w:rsid w:val="00C72A3A"/>
    <w:rsid w:val="00C72D38"/>
    <w:rsid w:val="00C73177"/>
    <w:rsid w:val="00C733BD"/>
    <w:rsid w:val="00C733C3"/>
    <w:rsid w:val="00C733FA"/>
    <w:rsid w:val="00C734BA"/>
    <w:rsid w:val="00C73596"/>
    <w:rsid w:val="00C735CB"/>
    <w:rsid w:val="00C73600"/>
    <w:rsid w:val="00C7385C"/>
    <w:rsid w:val="00C73860"/>
    <w:rsid w:val="00C73981"/>
    <w:rsid w:val="00C73ACA"/>
    <w:rsid w:val="00C73BFE"/>
    <w:rsid w:val="00C73E20"/>
    <w:rsid w:val="00C73EA4"/>
    <w:rsid w:val="00C73F37"/>
    <w:rsid w:val="00C7400E"/>
    <w:rsid w:val="00C741C4"/>
    <w:rsid w:val="00C742FA"/>
    <w:rsid w:val="00C743C2"/>
    <w:rsid w:val="00C743F2"/>
    <w:rsid w:val="00C74529"/>
    <w:rsid w:val="00C74588"/>
    <w:rsid w:val="00C74A33"/>
    <w:rsid w:val="00C74B52"/>
    <w:rsid w:val="00C74B5D"/>
    <w:rsid w:val="00C74F29"/>
    <w:rsid w:val="00C75036"/>
    <w:rsid w:val="00C7523C"/>
    <w:rsid w:val="00C75250"/>
    <w:rsid w:val="00C75310"/>
    <w:rsid w:val="00C753DB"/>
    <w:rsid w:val="00C75418"/>
    <w:rsid w:val="00C7565E"/>
    <w:rsid w:val="00C7568A"/>
    <w:rsid w:val="00C756AB"/>
    <w:rsid w:val="00C757A5"/>
    <w:rsid w:val="00C757E9"/>
    <w:rsid w:val="00C75848"/>
    <w:rsid w:val="00C75B06"/>
    <w:rsid w:val="00C75B18"/>
    <w:rsid w:val="00C75C72"/>
    <w:rsid w:val="00C75C81"/>
    <w:rsid w:val="00C75D38"/>
    <w:rsid w:val="00C75E12"/>
    <w:rsid w:val="00C75E59"/>
    <w:rsid w:val="00C75EEC"/>
    <w:rsid w:val="00C76086"/>
    <w:rsid w:val="00C760AF"/>
    <w:rsid w:val="00C76131"/>
    <w:rsid w:val="00C7621B"/>
    <w:rsid w:val="00C762D1"/>
    <w:rsid w:val="00C763EC"/>
    <w:rsid w:val="00C764B2"/>
    <w:rsid w:val="00C76862"/>
    <w:rsid w:val="00C76C7F"/>
    <w:rsid w:val="00C76EA3"/>
    <w:rsid w:val="00C76FE9"/>
    <w:rsid w:val="00C77195"/>
    <w:rsid w:val="00C7732A"/>
    <w:rsid w:val="00C7756C"/>
    <w:rsid w:val="00C77768"/>
    <w:rsid w:val="00C778B7"/>
    <w:rsid w:val="00C778CF"/>
    <w:rsid w:val="00C77A39"/>
    <w:rsid w:val="00C77B80"/>
    <w:rsid w:val="00C77C01"/>
    <w:rsid w:val="00C80285"/>
    <w:rsid w:val="00C8033F"/>
    <w:rsid w:val="00C805EF"/>
    <w:rsid w:val="00C80671"/>
    <w:rsid w:val="00C806A0"/>
    <w:rsid w:val="00C806A7"/>
    <w:rsid w:val="00C8077D"/>
    <w:rsid w:val="00C8080E"/>
    <w:rsid w:val="00C809DE"/>
    <w:rsid w:val="00C809F8"/>
    <w:rsid w:val="00C80A3A"/>
    <w:rsid w:val="00C80B8E"/>
    <w:rsid w:val="00C80CB8"/>
    <w:rsid w:val="00C80DC8"/>
    <w:rsid w:val="00C80E36"/>
    <w:rsid w:val="00C80E66"/>
    <w:rsid w:val="00C80E81"/>
    <w:rsid w:val="00C810B1"/>
    <w:rsid w:val="00C812E2"/>
    <w:rsid w:val="00C81334"/>
    <w:rsid w:val="00C813F5"/>
    <w:rsid w:val="00C81436"/>
    <w:rsid w:val="00C81661"/>
    <w:rsid w:val="00C8184E"/>
    <w:rsid w:val="00C819DB"/>
    <w:rsid w:val="00C81A17"/>
    <w:rsid w:val="00C81CB9"/>
    <w:rsid w:val="00C81D6D"/>
    <w:rsid w:val="00C8235B"/>
    <w:rsid w:val="00C8247C"/>
    <w:rsid w:val="00C826D8"/>
    <w:rsid w:val="00C826FF"/>
    <w:rsid w:val="00C82962"/>
    <w:rsid w:val="00C82A93"/>
    <w:rsid w:val="00C82CB8"/>
    <w:rsid w:val="00C831B4"/>
    <w:rsid w:val="00C832D2"/>
    <w:rsid w:val="00C833D4"/>
    <w:rsid w:val="00C8391E"/>
    <w:rsid w:val="00C83DAD"/>
    <w:rsid w:val="00C83FF6"/>
    <w:rsid w:val="00C84063"/>
    <w:rsid w:val="00C8441C"/>
    <w:rsid w:val="00C8456D"/>
    <w:rsid w:val="00C8458E"/>
    <w:rsid w:val="00C84693"/>
    <w:rsid w:val="00C84713"/>
    <w:rsid w:val="00C8478D"/>
    <w:rsid w:val="00C8499D"/>
    <w:rsid w:val="00C84D73"/>
    <w:rsid w:val="00C84E2C"/>
    <w:rsid w:val="00C84F1E"/>
    <w:rsid w:val="00C84FF6"/>
    <w:rsid w:val="00C85193"/>
    <w:rsid w:val="00C85460"/>
    <w:rsid w:val="00C854B4"/>
    <w:rsid w:val="00C8565D"/>
    <w:rsid w:val="00C85721"/>
    <w:rsid w:val="00C8580A"/>
    <w:rsid w:val="00C8596B"/>
    <w:rsid w:val="00C85BFF"/>
    <w:rsid w:val="00C85CFC"/>
    <w:rsid w:val="00C86180"/>
    <w:rsid w:val="00C861EE"/>
    <w:rsid w:val="00C862AA"/>
    <w:rsid w:val="00C863B8"/>
    <w:rsid w:val="00C864FE"/>
    <w:rsid w:val="00C8654A"/>
    <w:rsid w:val="00C865C8"/>
    <w:rsid w:val="00C86650"/>
    <w:rsid w:val="00C86847"/>
    <w:rsid w:val="00C86901"/>
    <w:rsid w:val="00C86B7C"/>
    <w:rsid w:val="00C86BDD"/>
    <w:rsid w:val="00C86CFB"/>
    <w:rsid w:val="00C86E0D"/>
    <w:rsid w:val="00C879C4"/>
    <w:rsid w:val="00C87C66"/>
    <w:rsid w:val="00C87D16"/>
    <w:rsid w:val="00C87D7C"/>
    <w:rsid w:val="00C87E50"/>
    <w:rsid w:val="00C87E6F"/>
    <w:rsid w:val="00C90018"/>
    <w:rsid w:val="00C902A3"/>
    <w:rsid w:val="00C903CB"/>
    <w:rsid w:val="00C904CD"/>
    <w:rsid w:val="00C905FF"/>
    <w:rsid w:val="00C90AD9"/>
    <w:rsid w:val="00C90AF1"/>
    <w:rsid w:val="00C90B14"/>
    <w:rsid w:val="00C90C45"/>
    <w:rsid w:val="00C90E2A"/>
    <w:rsid w:val="00C90E57"/>
    <w:rsid w:val="00C90E64"/>
    <w:rsid w:val="00C90FCD"/>
    <w:rsid w:val="00C9110B"/>
    <w:rsid w:val="00C912B1"/>
    <w:rsid w:val="00C9137B"/>
    <w:rsid w:val="00C913ED"/>
    <w:rsid w:val="00C91408"/>
    <w:rsid w:val="00C914DB"/>
    <w:rsid w:val="00C9159E"/>
    <w:rsid w:val="00C91679"/>
    <w:rsid w:val="00C916CB"/>
    <w:rsid w:val="00C91881"/>
    <w:rsid w:val="00C91A98"/>
    <w:rsid w:val="00C91B9F"/>
    <w:rsid w:val="00C91EB4"/>
    <w:rsid w:val="00C91EC4"/>
    <w:rsid w:val="00C91F63"/>
    <w:rsid w:val="00C91F70"/>
    <w:rsid w:val="00C91FF5"/>
    <w:rsid w:val="00C922D1"/>
    <w:rsid w:val="00C923D1"/>
    <w:rsid w:val="00C92484"/>
    <w:rsid w:val="00C92681"/>
    <w:rsid w:val="00C9268F"/>
    <w:rsid w:val="00C927AB"/>
    <w:rsid w:val="00C92A0C"/>
    <w:rsid w:val="00C92C16"/>
    <w:rsid w:val="00C92C6D"/>
    <w:rsid w:val="00C92C86"/>
    <w:rsid w:val="00C92DED"/>
    <w:rsid w:val="00C9312E"/>
    <w:rsid w:val="00C931AC"/>
    <w:rsid w:val="00C931C4"/>
    <w:rsid w:val="00C933A2"/>
    <w:rsid w:val="00C933AF"/>
    <w:rsid w:val="00C933F4"/>
    <w:rsid w:val="00C93540"/>
    <w:rsid w:val="00C93577"/>
    <w:rsid w:val="00C936CA"/>
    <w:rsid w:val="00C9374F"/>
    <w:rsid w:val="00C938A9"/>
    <w:rsid w:val="00C93970"/>
    <w:rsid w:val="00C93BA5"/>
    <w:rsid w:val="00C93C09"/>
    <w:rsid w:val="00C93C2F"/>
    <w:rsid w:val="00C93D9E"/>
    <w:rsid w:val="00C93E5F"/>
    <w:rsid w:val="00C94108"/>
    <w:rsid w:val="00C942C4"/>
    <w:rsid w:val="00C9485D"/>
    <w:rsid w:val="00C9487C"/>
    <w:rsid w:val="00C94A2C"/>
    <w:rsid w:val="00C94AB8"/>
    <w:rsid w:val="00C94AE9"/>
    <w:rsid w:val="00C94AF4"/>
    <w:rsid w:val="00C94BF9"/>
    <w:rsid w:val="00C94C7A"/>
    <w:rsid w:val="00C94C81"/>
    <w:rsid w:val="00C94DC3"/>
    <w:rsid w:val="00C94E02"/>
    <w:rsid w:val="00C94EDF"/>
    <w:rsid w:val="00C94F7B"/>
    <w:rsid w:val="00C951A2"/>
    <w:rsid w:val="00C95241"/>
    <w:rsid w:val="00C954CA"/>
    <w:rsid w:val="00C95739"/>
    <w:rsid w:val="00C9590F"/>
    <w:rsid w:val="00C95A71"/>
    <w:rsid w:val="00C95E68"/>
    <w:rsid w:val="00C95FEF"/>
    <w:rsid w:val="00C9610F"/>
    <w:rsid w:val="00C96205"/>
    <w:rsid w:val="00C96212"/>
    <w:rsid w:val="00C96231"/>
    <w:rsid w:val="00C96258"/>
    <w:rsid w:val="00C9658C"/>
    <w:rsid w:val="00C96887"/>
    <w:rsid w:val="00C96C86"/>
    <w:rsid w:val="00C97082"/>
    <w:rsid w:val="00C97148"/>
    <w:rsid w:val="00C97284"/>
    <w:rsid w:val="00C97650"/>
    <w:rsid w:val="00C97737"/>
    <w:rsid w:val="00C97898"/>
    <w:rsid w:val="00C97899"/>
    <w:rsid w:val="00C97D98"/>
    <w:rsid w:val="00C97DC9"/>
    <w:rsid w:val="00C97E9E"/>
    <w:rsid w:val="00C97F89"/>
    <w:rsid w:val="00C97FCC"/>
    <w:rsid w:val="00CA0027"/>
    <w:rsid w:val="00CA003D"/>
    <w:rsid w:val="00CA04FE"/>
    <w:rsid w:val="00CA06F1"/>
    <w:rsid w:val="00CA077A"/>
    <w:rsid w:val="00CA079E"/>
    <w:rsid w:val="00CA07D4"/>
    <w:rsid w:val="00CA0AA5"/>
    <w:rsid w:val="00CA0B92"/>
    <w:rsid w:val="00CA11FD"/>
    <w:rsid w:val="00CA1292"/>
    <w:rsid w:val="00CA12AD"/>
    <w:rsid w:val="00CA1327"/>
    <w:rsid w:val="00CA1352"/>
    <w:rsid w:val="00CA1406"/>
    <w:rsid w:val="00CA16B1"/>
    <w:rsid w:val="00CA1759"/>
    <w:rsid w:val="00CA17EF"/>
    <w:rsid w:val="00CA1BD9"/>
    <w:rsid w:val="00CA1E17"/>
    <w:rsid w:val="00CA1EC9"/>
    <w:rsid w:val="00CA1F14"/>
    <w:rsid w:val="00CA1F76"/>
    <w:rsid w:val="00CA204A"/>
    <w:rsid w:val="00CA20B5"/>
    <w:rsid w:val="00CA239C"/>
    <w:rsid w:val="00CA2540"/>
    <w:rsid w:val="00CA2943"/>
    <w:rsid w:val="00CA2A08"/>
    <w:rsid w:val="00CA2C58"/>
    <w:rsid w:val="00CA2DA3"/>
    <w:rsid w:val="00CA320A"/>
    <w:rsid w:val="00CA35AD"/>
    <w:rsid w:val="00CA3890"/>
    <w:rsid w:val="00CA3D0B"/>
    <w:rsid w:val="00CA3DC7"/>
    <w:rsid w:val="00CA3EA0"/>
    <w:rsid w:val="00CA3FE9"/>
    <w:rsid w:val="00CA4233"/>
    <w:rsid w:val="00CA4326"/>
    <w:rsid w:val="00CA48C4"/>
    <w:rsid w:val="00CA4A91"/>
    <w:rsid w:val="00CA4C41"/>
    <w:rsid w:val="00CA4CF3"/>
    <w:rsid w:val="00CA4D93"/>
    <w:rsid w:val="00CA4E3F"/>
    <w:rsid w:val="00CA4EC7"/>
    <w:rsid w:val="00CA4FF1"/>
    <w:rsid w:val="00CA51ED"/>
    <w:rsid w:val="00CA530A"/>
    <w:rsid w:val="00CA54D5"/>
    <w:rsid w:val="00CA5507"/>
    <w:rsid w:val="00CA5762"/>
    <w:rsid w:val="00CA5800"/>
    <w:rsid w:val="00CA58C4"/>
    <w:rsid w:val="00CA59AF"/>
    <w:rsid w:val="00CA5A4E"/>
    <w:rsid w:val="00CA5AB6"/>
    <w:rsid w:val="00CA5B5A"/>
    <w:rsid w:val="00CA5B6A"/>
    <w:rsid w:val="00CA5BD7"/>
    <w:rsid w:val="00CA5F8C"/>
    <w:rsid w:val="00CA5FB3"/>
    <w:rsid w:val="00CA6149"/>
    <w:rsid w:val="00CA63C6"/>
    <w:rsid w:val="00CA646D"/>
    <w:rsid w:val="00CA6739"/>
    <w:rsid w:val="00CA6B61"/>
    <w:rsid w:val="00CA6C7B"/>
    <w:rsid w:val="00CA6CFE"/>
    <w:rsid w:val="00CA6D51"/>
    <w:rsid w:val="00CA6F7D"/>
    <w:rsid w:val="00CA6FD3"/>
    <w:rsid w:val="00CA7269"/>
    <w:rsid w:val="00CA72CC"/>
    <w:rsid w:val="00CA76E2"/>
    <w:rsid w:val="00CA7709"/>
    <w:rsid w:val="00CA773E"/>
    <w:rsid w:val="00CA77B5"/>
    <w:rsid w:val="00CA78CB"/>
    <w:rsid w:val="00CA7B98"/>
    <w:rsid w:val="00CA7DC7"/>
    <w:rsid w:val="00CA7E05"/>
    <w:rsid w:val="00CA7F1C"/>
    <w:rsid w:val="00CA7F37"/>
    <w:rsid w:val="00CB01AD"/>
    <w:rsid w:val="00CB0300"/>
    <w:rsid w:val="00CB031C"/>
    <w:rsid w:val="00CB058A"/>
    <w:rsid w:val="00CB0C18"/>
    <w:rsid w:val="00CB0D2C"/>
    <w:rsid w:val="00CB0E6C"/>
    <w:rsid w:val="00CB0EC2"/>
    <w:rsid w:val="00CB115F"/>
    <w:rsid w:val="00CB1172"/>
    <w:rsid w:val="00CB1306"/>
    <w:rsid w:val="00CB1430"/>
    <w:rsid w:val="00CB144E"/>
    <w:rsid w:val="00CB14B9"/>
    <w:rsid w:val="00CB1784"/>
    <w:rsid w:val="00CB17CD"/>
    <w:rsid w:val="00CB17F8"/>
    <w:rsid w:val="00CB180E"/>
    <w:rsid w:val="00CB1B7F"/>
    <w:rsid w:val="00CB1D50"/>
    <w:rsid w:val="00CB1E45"/>
    <w:rsid w:val="00CB1F61"/>
    <w:rsid w:val="00CB20C0"/>
    <w:rsid w:val="00CB20FF"/>
    <w:rsid w:val="00CB2127"/>
    <w:rsid w:val="00CB21A0"/>
    <w:rsid w:val="00CB21A8"/>
    <w:rsid w:val="00CB2249"/>
    <w:rsid w:val="00CB23A1"/>
    <w:rsid w:val="00CB249F"/>
    <w:rsid w:val="00CB2508"/>
    <w:rsid w:val="00CB26B5"/>
    <w:rsid w:val="00CB26FD"/>
    <w:rsid w:val="00CB2702"/>
    <w:rsid w:val="00CB27E9"/>
    <w:rsid w:val="00CB2B44"/>
    <w:rsid w:val="00CB2B77"/>
    <w:rsid w:val="00CB2C78"/>
    <w:rsid w:val="00CB2CAF"/>
    <w:rsid w:val="00CB2D8C"/>
    <w:rsid w:val="00CB2EF9"/>
    <w:rsid w:val="00CB2F18"/>
    <w:rsid w:val="00CB2F36"/>
    <w:rsid w:val="00CB30DC"/>
    <w:rsid w:val="00CB30EF"/>
    <w:rsid w:val="00CB3298"/>
    <w:rsid w:val="00CB32FB"/>
    <w:rsid w:val="00CB33B9"/>
    <w:rsid w:val="00CB341B"/>
    <w:rsid w:val="00CB34BA"/>
    <w:rsid w:val="00CB39C9"/>
    <w:rsid w:val="00CB39FD"/>
    <w:rsid w:val="00CB3A3E"/>
    <w:rsid w:val="00CB3AAE"/>
    <w:rsid w:val="00CB3B31"/>
    <w:rsid w:val="00CB3CE8"/>
    <w:rsid w:val="00CB3DAC"/>
    <w:rsid w:val="00CB3FE1"/>
    <w:rsid w:val="00CB3FE3"/>
    <w:rsid w:val="00CB409F"/>
    <w:rsid w:val="00CB413E"/>
    <w:rsid w:val="00CB42E4"/>
    <w:rsid w:val="00CB42E6"/>
    <w:rsid w:val="00CB446B"/>
    <w:rsid w:val="00CB44B9"/>
    <w:rsid w:val="00CB44DB"/>
    <w:rsid w:val="00CB456B"/>
    <w:rsid w:val="00CB456E"/>
    <w:rsid w:val="00CB45C6"/>
    <w:rsid w:val="00CB4660"/>
    <w:rsid w:val="00CB4D00"/>
    <w:rsid w:val="00CB4E28"/>
    <w:rsid w:val="00CB4FD1"/>
    <w:rsid w:val="00CB506B"/>
    <w:rsid w:val="00CB5156"/>
    <w:rsid w:val="00CB55D9"/>
    <w:rsid w:val="00CB562C"/>
    <w:rsid w:val="00CB565C"/>
    <w:rsid w:val="00CB5802"/>
    <w:rsid w:val="00CB5855"/>
    <w:rsid w:val="00CB5898"/>
    <w:rsid w:val="00CB5A19"/>
    <w:rsid w:val="00CB5ACA"/>
    <w:rsid w:val="00CB5C33"/>
    <w:rsid w:val="00CB5C80"/>
    <w:rsid w:val="00CB5CED"/>
    <w:rsid w:val="00CB5D77"/>
    <w:rsid w:val="00CB5E3B"/>
    <w:rsid w:val="00CB5F24"/>
    <w:rsid w:val="00CB603C"/>
    <w:rsid w:val="00CB618A"/>
    <w:rsid w:val="00CB62AC"/>
    <w:rsid w:val="00CB6430"/>
    <w:rsid w:val="00CB6844"/>
    <w:rsid w:val="00CB68EE"/>
    <w:rsid w:val="00CB6AD2"/>
    <w:rsid w:val="00CB6BA4"/>
    <w:rsid w:val="00CB6BCC"/>
    <w:rsid w:val="00CB6E8B"/>
    <w:rsid w:val="00CB6EDF"/>
    <w:rsid w:val="00CB6F81"/>
    <w:rsid w:val="00CB716C"/>
    <w:rsid w:val="00CB71B7"/>
    <w:rsid w:val="00CB75F5"/>
    <w:rsid w:val="00CB7646"/>
    <w:rsid w:val="00CB782E"/>
    <w:rsid w:val="00CB796F"/>
    <w:rsid w:val="00CB7B5A"/>
    <w:rsid w:val="00CB7B8D"/>
    <w:rsid w:val="00CB7CCF"/>
    <w:rsid w:val="00CC0140"/>
    <w:rsid w:val="00CC016A"/>
    <w:rsid w:val="00CC0301"/>
    <w:rsid w:val="00CC0632"/>
    <w:rsid w:val="00CC063F"/>
    <w:rsid w:val="00CC0BA0"/>
    <w:rsid w:val="00CC0BCC"/>
    <w:rsid w:val="00CC0D94"/>
    <w:rsid w:val="00CC0E6E"/>
    <w:rsid w:val="00CC10B9"/>
    <w:rsid w:val="00CC145F"/>
    <w:rsid w:val="00CC1727"/>
    <w:rsid w:val="00CC1809"/>
    <w:rsid w:val="00CC1B2A"/>
    <w:rsid w:val="00CC1B55"/>
    <w:rsid w:val="00CC1B64"/>
    <w:rsid w:val="00CC1C26"/>
    <w:rsid w:val="00CC20B4"/>
    <w:rsid w:val="00CC20EF"/>
    <w:rsid w:val="00CC2155"/>
    <w:rsid w:val="00CC2265"/>
    <w:rsid w:val="00CC23E6"/>
    <w:rsid w:val="00CC244C"/>
    <w:rsid w:val="00CC256D"/>
    <w:rsid w:val="00CC2570"/>
    <w:rsid w:val="00CC25A5"/>
    <w:rsid w:val="00CC2822"/>
    <w:rsid w:val="00CC2962"/>
    <w:rsid w:val="00CC2BF6"/>
    <w:rsid w:val="00CC2E3F"/>
    <w:rsid w:val="00CC2EC7"/>
    <w:rsid w:val="00CC2FE4"/>
    <w:rsid w:val="00CC317D"/>
    <w:rsid w:val="00CC32D4"/>
    <w:rsid w:val="00CC3420"/>
    <w:rsid w:val="00CC34FF"/>
    <w:rsid w:val="00CC366F"/>
    <w:rsid w:val="00CC3787"/>
    <w:rsid w:val="00CC37D5"/>
    <w:rsid w:val="00CC395B"/>
    <w:rsid w:val="00CC3A5C"/>
    <w:rsid w:val="00CC3B14"/>
    <w:rsid w:val="00CC3B85"/>
    <w:rsid w:val="00CC3D22"/>
    <w:rsid w:val="00CC3D9F"/>
    <w:rsid w:val="00CC3DE7"/>
    <w:rsid w:val="00CC3DFF"/>
    <w:rsid w:val="00CC404F"/>
    <w:rsid w:val="00CC41BF"/>
    <w:rsid w:val="00CC44E7"/>
    <w:rsid w:val="00CC44F6"/>
    <w:rsid w:val="00CC4613"/>
    <w:rsid w:val="00CC476D"/>
    <w:rsid w:val="00CC48A5"/>
    <w:rsid w:val="00CC490F"/>
    <w:rsid w:val="00CC4F3E"/>
    <w:rsid w:val="00CC4F82"/>
    <w:rsid w:val="00CC505B"/>
    <w:rsid w:val="00CC542A"/>
    <w:rsid w:val="00CC55B0"/>
    <w:rsid w:val="00CC5657"/>
    <w:rsid w:val="00CC56E2"/>
    <w:rsid w:val="00CC59A8"/>
    <w:rsid w:val="00CC59D8"/>
    <w:rsid w:val="00CC5A31"/>
    <w:rsid w:val="00CC5AA2"/>
    <w:rsid w:val="00CC5DF5"/>
    <w:rsid w:val="00CC5FE0"/>
    <w:rsid w:val="00CC614C"/>
    <w:rsid w:val="00CC615A"/>
    <w:rsid w:val="00CC61B8"/>
    <w:rsid w:val="00CC6305"/>
    <w:rsid w:val="00CC63C8"/>
    <w:rsid w:val="00CC644C"/>
    <w:rsid w:val="00CC65CA"/>
    <w:rsid w:val="00CC67E5"/>
    <w:rsid w:val="00CC68E3"/>
    <w:rsid w:val="00CC6928"/>
    <w:rsid w:val="00CC69DC"/>
    <w:rsid w:val="00CC69EB"/>
    <w:rsid w:val="00CC6CDC"/>
    <w:rsid w:val="00CC72EC"/>
    <w:rsid w:val="00CC7642"/>
    <w:rsid w:val="00CC76FA"/>
    <w:rsid w:val="00CC7835"/>
    <w:rsid w:val="00CC7AD9"/>
    <w:rsid w:val="00CC7B6D"/>
    <w:rsid w:val="00CC7D58"/>
    <w:rsid w:val="00CD00BD"/>
    <w:rsid w:val="00CD0101"/>
    <w:rsid w:val="00CD02FE"/>
    <w:rsid w:val="00CD038F"/>
    <w:rsid w:val="00CD044A"/>
    <w:rsid w:val="00CD0562"/>
    <w:rsid w:val="00CD08A3"/>
    <w:rsid w:val="00CD0DBE"/>
    <w:rsid w:val="00CD0F2B"/>
    <w:rsid w:val="00CD0FE4"/>
    <w:rsid w:val="00CD14AA"/>
    <w:rsid w:val="00CD1922"/>
    <w:rsid w:val="00CD1C0D"/>
    <w:rsid w:val="00CD1C3E"/>
    <w:rsid w:val="00CD1F6F"/>
    <w:rsid w:val="00CD1F96"/>
    <w:rsid w:val="00CD20F3"/>
    <w:rsid w:val="00CD2316"/>
    <w:rsid w:val="00CD2515"/>
    <w:rsid w:val="00CD254F"/>
    <w:rsid w:val="00CD2955"/>
    <w:rsid w:val="00CD29AF"/>
    <w:rsid w:val="00CD2A42"/>
    <w:rsid w:val="00CD2B32"/>
    <w:rsid w:val="00CD2B5B"/>
    <w:rsid w:val="00CD2BFD"/>
    <w:rsid w:val="00CD2CCD"/>
    <w:rsid w:val="00CD2EA5"/>
    <w:rsid w:val="00CD2EB2"/>
    <w:rsid w:val="00CD2F1E"/>
    <w:rsid w:val="00CD30B6"/>
    <w:rsid w:val="00CD321B"/>
    <w:rsid w:val="00CD3362"/>
    <w:rsid w:val="00CD3454"/>
    <w:rsid w:val="00CD34F2"/>
    <w:rsid w:val="00CD3753"/>
    <w:rsid w:val="00CD3785"/>
    <w:rsid w:val="00CD3A08"/>
    <w:rsid w:val="00CD3CC9"/>
    <w:rsid w:val="00CD3DB4"/>
    <w:rsid w:val="00CD3EC5"/>
    <w:rsid w:val="00CD3F72"/>
    <w:rsid w:val="00CD3F8A"/>
    <w:rsid w:val="00CD3FDC"/>
    <w:rsid w:val="00CD40BD"/>
    <w:rsid w:val="00CD458E"/>
    <w:rsid w:val="00CD45DC"/>
    <w:rsid w:val="00CD470D"/>
    <w:rsid w:val="00CD481D"/>
    <w:rsid w:val="00CD48E3"/>
    <w:rsid w:val="00CD4920"/>
    <w:rsid w:val="00CD4937"/>
    <w:rsid w:val="00CD49B1"/>
    <w:rsid w:val="00CD4A7A"/>
    <w:rsid w:val="00CD4AB2"/>
    <w:rsid w:val="00CD4B62"/>
    <w:rsid w:val="00CD4BDF"/>
    <w:rsid w:val="00CD4DD6"/>
    <w:rsid w:val="00CD4F44"/>
    <w:rsid w:val="00CD4FCB"/>
    <w:rsid w:val="00CD510E"/>
    <w:rsid w:val="00CD53D2"/>
    <w:rsid w:val="00CD53E9"/>
    <w:rsid w:val="00CD5586"/>
    <w:rsid w:val="00CD562D"/>
    <w:rsid w:val="00CD59E6"/>
    <w:rsid w:val="00CD5ADF"/>
    <w:rsid w:val="00CD5AFA"/>
    <w:rsid w:val="00CD5B3A"/>
    <w:rsid w:val="00CD5BD0"/>
    <w:rsid w:val="00CD5C08"/>
    <w:rsid w:val="00CD5CE4"/>
    <w:rsid w:val="00CD5DF5"/>
    <w:rsid w:val="00CD5E75"/>
    <w:rsid w:val="00CD5EF0"/>
    <w:rsid w:val="00CD5F2A"/>
    <w:rsid w:val="00CD5FD0"/>
    <w:rsid w:val="00CD5FF0"/>
    <w:rsid w:val="00CD606D"/>
    <w:rsid w:val="00CD63F2"/>
    <w:rsid w:val="00CD64D9"/>
    <w:rsid w:val="00CD66F1"/>
    <w:rsid w:val="00CD67EC"/>
    <w:rsid w:val="00CD6815"/>
    <w:rsid w:val="00CD6B70"/>
    <w:rsid w:val="00CD6D0A"/>
    <w:rsid w:val="00CD6D1A"/>
    <w:rsid w:val="00CD6FAB"/>
    <w:rsid w:val="00CD70F4"/>
    <w:rsid w:val="00CD7179"/>
    <w:rsid w:val="00CD71F4"/>
    <w:rsid w:val="00CD7450"/>
    <w:rsid w:val="00CD75E9"/>
    <w:rsid w:val="00CD77DE"/>
    <w:rsid w:val="00CD7876"/>
    <w:rsid w:val="00CD79FE"/>
    <w:rsid w:val="00CD7B31"/>
    <w:rsid w:val="00CD7BE1"/>
    <w:rsid w:val="00CD7DEA"/>
    <w:rsid w:val="00CD7F63"/>
    <w:rsid w:val="00CE01F4"/>
    <w:rsid w:val="00CE023A"/>
    <w:rsid w:val="00CE074E"/>
    <w:rsid w:val="00CE07F7"/>
    <w:rsid w:val="00CE08FE"/>
    <w:rsid w:val="00CE099B"/>
    <w:rsid w:val="00CE09CA"/>
    <w:rsid w:val="00CE0C8F"/>
    <w:rsid w:val="00CE0C94"/>
    <w:rsid w:val="00CE0D16"/>
    <w:rsid w:val="00CE0F44"/>
    <w:rsid w:val="00CE0FB4"/>
    <w:rsid w:val="00CE1092"/>
    <w:rsid w:val="00CE10C7"/>
    <w:rsid w:val="00CE1119"/>
    <w:rsid w:val="00CE11AC"/>
    <w:rsid w:val="00CE1458"/>
    <w:rsid w:val="00CE1611"/>
    <w:rsid w:val="00CE1B24"/>
    <w:rsid w:val="00CE1CB4"/>
    <w:rsid w:val="00CE1E8E"/>
    <w:rsid w:val="00CE208D"/>
    <w:rsid w:val="00CE2281"/>
    <w:rsid w:val="00CE22B7"/>
    <w:rsid w:val="00CE2411"/>
    <w:rsid w:val="00CE25F8"/>
    <w:rsid w:val="00CE296E"/>
    <w:rsid w:val="00CE2AAF"/>
    <w:rsid w:val="00CE2ADE"/>
    <w:rsid w:val="00CE2C00"/>
    <w:rsid w:val="00CE2C70"/>
    <w:rsid w:val="00CE2C83"/>
    <w:rsid w:val="00CE2E30"/>
    <w:rsid w:val="00CE2FEF"/>
    <w:rsid w:val="00CE3194"/>
    <w:rsid w:val="00CE3233"/>
    <w:rsid w:val="00CE338B"/>
    <w:rsid w:val="00CE35F0"/>
    <w:rsid w:val="00CE3672"/>
    <w:rsid w:val="00CE3C5E"/>
    <w:rsid w:val="00CE3D28"/>
    <w:rsid w:val="00CE3E26"/>
    <w:rsid w:val="00CE41A9"/>
    <w:rsid w:val="00CE43D9"/>
    <w:rsid w:val="00CE45E5"/>
    <w:rsid w:val="00CE45F1"/>
    <w:rsid w:val="00CE474F"/>
    <w:rsid w:val="00CE47AE"/>
    <w:rsid w:val="00CE4899"/>
    <w:rsid w:val="00CE4CC0"/>
    <w:rsid w:val="00CE4F8E"/>
    <w:rsid w:val="00CE538C"/>
    <w:rsid w:val="00CE55C1"/>
    <w:rsid w:val="00CE565D"/>
    <w:rsid w:val="00CE57C3"/>
    <w:rsid w:val="00CE58A5"/>
    <w:rsid w:val="00CE5D8D"/>
    <w:rsid w:val="00CE60BF"/>
    <w:rsid w:val="00CE61B6"/>
    <w:rsid w:val="00CE6835"/>
    <w:rsid w:val="00CE6C9B"/>
    <w:rsid w:val="00CE6EB4"/>
    <w:rsid w:val="00CE6F67"/>
    <w:rsid w:val="00CE6F80"/>
    <w:rsid w:val="00CE6F9D"/>
    <w:rsid w:val="00CE72D4"/>
    <w:rsid w:val="00CE7355"/>
    <w:rsid w:val="00CE768E"/>
    <w:rsid w:val="00CE79F4"/>
    <w:rsid w:val="00CE7BBC"/>
    <w:rsid w:val="00CE7CAC"/>
    <w:rsid w:val="00CE7F5E"/>
    <w:rsid w:val="00CF0062"/>
    <w:rsid w:val="00CF00D1"/>
    <w:rsid w:val="00CF012B"/>
    <w:rsid w:val="00CF019C"/>
    <w:rsid w:val="00CF03EA"/>
    <w:rsid w:val="00CF0578"/>
    <w:rsid w:val="00CF0A4A"/>
    <w:rsid w:val="00CF0AC6"/>
    <w:rsid w:val="00CF0C77"/>
    <w:rsid w:val="00CF0CBA"/>
    <w:rsid w:val="00CF0E19"/>
    <w:rsid w:val="00CF0E3C"/>
    <w:rsid w:val="00CF0E9B"/>
    <w:rsid w:val="00CF0EC7"/>
    <w:rsid w:val="00CF0F1E"/>
    <w:rsid w:val="00CF0F31"/>
    <w:rsid w:val="00CF107F"/>
    <w:rsid w:val="00CF1083"/>
    <w:rsid w:val="00CF11AD"/>
    <w:rsid w:val="00CF123A"/>
    <w:rsid w:val="00CF128C"/>
    <w:rsid w:val="00CF15F5"/>
    <w:rsid w:val="00CF169E"/>
    <w:rsid w:val="00CF16DD"/>
    <w:rsid w:val="00CF191F"/>
    <w:rsid w:val="00CF1A05"/>
    <w:rsid w:val="00CF1A0A"/>
    <w:rsid w:val="00CF1A37"/>
    <w:rsid w:val="00CF1B9A"/>
    <w:rsid w:val="00CF1C60"/>
    <w:rsid w:val="00CF1D86"/>
    <w:rsid w:val="00CF1FA9"/>
    <w:rsid w:val="00CF26EA"/>
    <w:rsid w:val="00CF296D"/>
    <w:rsid w:val="00CF29B0"/>
    <w:rsid w:val="00CF2AEE"/>
    <w:rsid w:val="00CF2C8D"/>
    <w:rsid w:val="00CF2D9E"/>
    <w:rsid w:val="00CF2E4C"/>
    <w:rsid w:val="00CF2F3C"/>
    <w:rsid w:val="00CF2FE3"/>
    <w:rsid w:val="00CF30E3"/>
    <w:rsid w:val="00CF32A3"/>
    <w:rsid w:val="00CF33A2"/>
    <w:rsid w:val="00CF3414"/>
    <w:rsid w:val="00CF3511"/>
    <w:rsid w:val="00CF3615"/>
    <w:rsid w:val="00CF3796"/>
    <w:rsid w:val="00CF392C"/>
    <w:rsid w:val="00CF3A31"/>
    <w:rsid w:val="00CF3AB6"/>
    <w:rsid w:val="00CF3BB3"/>
    <w:rsid w:val="00CF4258"/>
    <w:rsid w:val="00CF446F"/>
    <w:rsid w:val="00CF44A2"/>
    <w:rsid w:val="00CF45B0"/>
    <w:rsid w:val="00CF45E9"/>
    <w:rsid w:val="00CF46BF"/>
    <w:rsid w:val="00CF4771"/>
    <w:rsid w:val="00CF477C"/>
    <w:rsid w:val="00CF48F0"/>
    <w:rsid w:val="00CF49A9"/>
    <w:rsid w:val="00CF4AC4"/>
    <w:rsid w:val="00CF4C02"/>
    <w:rsid w:val="00CF4CC0"/>
    <w:rsid w:val="00CF4DC7"/>
    <w:rsid w:val="00CF4EC6"/>
    <w:rsid w:val="00CF4FA5"/>
    <w:rsid w:val="00CF506E"/>
    <w:rsid w:val="00CF50AC"/>
    <w:rsid w:val="00CF5174"/>
    <w:rsid w:val="00CF52AC"/>
    <w:rsid w:val="00CF52BF"/>
    <w:rsid w:val="00CF5528"/>
    <w:rsid w:val="00CF55AC"/>
    <w:rsid w:val="00CF55BE"/>
    <w:rsid w:val="00CF5754"/>
    <w:rsid w:val="00CF5C0F"/>
    <w:rsid w:val="00CF602A"/>
    <w:rsid w:val="00CF6158"/>
    <w:rsid w:val="00CF616F"/>
    <w:rsid w:val="00CF66AD"/>
    <w:rsid w:val="00CF69F1"/>
    <w:rsid w:val="00CF6C66"/>
    <w:rsid w:val="00CF6C9F"/>
    <w:rsid w:val="00CF6F27"/>
    <w:rsid w:val="00CF70CB"/>
    <w:rsid w:val="00CF729A"/>
    <w:rsid w:val="00CF7819"/>
    <w:rsid w:val="00CF78B3"/>
    <w:rsid w:val="00CF7A9C"/>
    <w:rsid w:val="00CF7AFD"/>
    <w:rsid w:val="00CF7B7C"/>
    <w:rsid w:val="00CF7C3C"/>
    <w:rsid w:val="00CF7D1E"/>
    <w:rsid w:val="00CF7F99"/>
    <w:rsid w:val="00D0006E"/>
    <w:rsid w:val="00D00304"/>
    <w:rsid w:val="00D003F7"/>
    <w:rsid w:val="00D004EC"/>
    <w:rsid w:val="00D0063F"/>
    <w:rsid w:val="00D00798"/>
    <w:rsid w:val="00D00804"/>
    <w:rsid w:val="00D00909"/>
    <w:rsid w:val="00D009DE"/>
    <w:rsid w:val="00D00BC0"/>
    <w:rsid w:val="00D00C73"/>
    <w:rsid w:val="00D00F2D"/>
    <w:rsid w:val="00D012EB"/>
    <w:rsid w:val="00D01314"/>
    <w:rsid w:val="00D0147B"/>
    <w:rsid w:val="00D0166B"/>
    <w:rsid w:val="00D0170B"/>
    <w:rsid w:val="00D01863"/>
    <w:rsid w:val="00D01ADF"/>
    <w:rsid w:val="00D01B5B"/>
    <w:rsid w:val="00D01C1C"/>
    <w:rsid w:val="00D01C84"/>
    <w:rsid w:val="00D01D01"/>
    <w:rsid w:val="00D01D3C"/>
    <w:rsid w:val="00D01D8C"/>
    <w:rsid w:val="00D020D1"/>
    <w:rsid w:val="00D02195"/>
    <w:rsid w:val="00D02233"/>
    <w:rsid w:val="00D02245"/>
    <w:rsid w:val="00D02413"/>
    <w:rsid w:val="00D0273C"/>
    <w:rsid w:val="00D02740"/>
    <w:rsid w:val="00D027B2"/>
    <w:rsid w:val="00D02828"/>
    <w:rsid w:val="00D0285F"/>
    <w:rsid w:val="00D029A4"/>
    <w:rsid w:val="00D029BA"/>
    <w:rsid w:val="00D029F1"/>
    <w:rsid w:val="00D02B4A"/>
    <w:rsid w:val="00D02C7A"/>
    <w:rsid w:val="00D02F74"/>
    <w:rsid w:val="00D031D3"/>
    <w:rsid w:val="00D03668"/>
    <w:rsid w:val="00D036FF"/>
    <w:rsid w:val="00D0377F"/>
    <w:rsid w:val="00D037F7"/>
    <w:rsid w:val="00D03A4A"/>
    <w:rsid w:val="00D03AB8"/>
    <w:rsid w:val="00D03ABB"/>
    <w:rsid w:val="00D03E17"/>
    <w:rsid w:val="00D03F03"/>
    <w:rsid w:val="00D0401A"/>
    <w:rsid w:val="00D04185"/>
    <w:rsid w:val="00D0461B"/>
    <w:rsid w:val="00D0467E"/>
    <w:rsid w:val="00D046B1"/>
    <w:rsid w:val="00D04942"/>
    <w:rsid w:val="00D04A9E"/>
    <w:rsid w:val="00D04B3B"/>
    <w:rsid w:val="00D04C18"/>
    <w:rsid w:val="00D04ECF"/>
    <w:rsid w:val="00D04FBE"/>
    <w:rsid w:val="00D04FED"/>
    <w:rsid w:val="00D04FF0"/>
    <w:rsid w:val="00D04FF7"/>
    <w:rsid w:val="00D0507A"/>
    <w:rsid w:val="00D05148"/>
    <w:rsid w:val="00D052E9"/>
    <w:rsid w:val="00D05709"/>
    <w:rsid w:val="00D05812"/>
    <w:rsid w:val="00D05915"/>
    <w:rsid w:val="00D05B58"/>
    <w:rsid w:val="00D05E48"/>
    <w:rsid w:val="00D05EC3"/>
    <w:rsid w:val="00D05EE8"/>
    <w:rsid w:val="00D0606A"/>
    <w:rsid w:val="00D065F6"/>
    <w:rsid w:val="00D06703"/>
    <w:rsid w:val="00D0677E"/>
    <w:rsid w:val="00D06855"/>
    <w:rsid w:val="00D0693F"/>
    <w:rsid w:val="00D06B7A"/>
    <w:rsid w:val="00D06D70"/>
    <w:rsid w:val="00D06DDA"/>
    <w:rsid w:val="00D0711E"/>
    <w:rsid w:val="00D071D7"/>
    <w:rsid w:val="00D072D5"/>
    <w:rsid w:val="00D07428"/>
    <w:rsid w:val="00D0755A"/>
    <w:rsid w:val="00D07610"/>
    <w:rsid w:val="00D07639"/>
    <w:rsid w:val="00D0777C"/>
    <w:rsid w:val="00D07973"/>
    <w:rsid w:val="00D07A60"/>
    <w:rsid w:val="00D07BE4"/>
    <w:rsid w:val="00D07DA2"/>
    <w:rsid w:val="00D07E69"/>
    <w:rsid w:val="00D07F98"/>
    <w:rsid w:val="00D100AE"/>
    <w:rsid w:val="00D100FD"/>
    <w:rsid w:val="00D1017C"/>
    <w:rsid w:val="00D10414"/>
    <w:rsid w:val="00D104B1"/>
    <w:rsid w:val="00D105FC"/>
    <w:rsid w:val="00D107B0"/>
    <w:rsid w:val="00D10836"/>
    <w:rsid w:val="00D10871"/>
    <w:rsid w:val="00D10D2A"/>
    <w:rsid w:val="00D10D3F"/>
    <w:rsid w:val="00D10D4F"/>
    <w:rsid w:val="00D10E54"/>
    <w:rsid w:val="00D10F3E"/>
    <w:rsid w:val="00D1104E"/>
    <w:rsid w:val="00D11145"/>
    <w:rsid w:val="00D11188"/>
    <w:rsid w:val="00D11234"/>
    <w:rsid w:val="00D113AC"/>
    <w:rsid w:val="00D114C4"/>
    <w:rsid w:val="00D1167C"/>
    <w:rsid w:val="00D116BC"/>
    <w:rsid w:val="00D11734"/>
    <w:rsid w:val="00D11818"/>
    <w:rsid w:val="00D11A58"/>
    <w:rsid w:val="00D11AF8"/>
    <w:rsid w:val="00D11B19"/>
    <w:rsid w:val="00D11C05"/>
    <w:rsid w:val="00D11C1B"/>
    <w:rsid w:val="00D11D0F"/>
    <w:rsid w:val="00D11FB1"/>
    <w:rsid w:val="00D11FBE"/>
    <w:rsid w:val="00D12005"/>
    <w:rsid w:val="00D12569"/>
    <w:rsid w:val="00D126BE"/>
    <w:rsid w:val="00D1280C"/>
    <w:rsid w:val="00D128C5"/>
    <w:rsid w:val="00D12A2C"/>
    <w:rsid w:val="00D12A52"/>
    <w:rsid w:val="00D12AF8"/>
    <w:rsid w:val="00D12C80"/>
    <w:rsid w:val="00D12CD1"/>
    <w:rsid w:val="00D12EA1"/>
    <w:rsid w:val="00D13077"/>
    <w:rsid w:val="00D13098"/>
    <w:rsid w:val="00D1310B"/>
    <w:rsid w:val="00D1335D"/>
    <w:rsid w:val="00D134CF"/>
    <w:rsid w:val="00D137D0"/>
    <w:rsid w:val="00D13A4C"/>
    <w:rsid w:val="00D13AB8"/>
    <w:rsid w:val="00D13B92"/>
    <w:rsid w:val="00D13E63"/>
    <w:rsid w:val="00D144F9"/>
    <w:rsid w:val="00D147BB"/>
    <w:rsid w:val="00D14A0F"/>
    <w:rsid w:val="00D14AE1"/>
    <w:rsid w:val="00D14B55"/>
    <w:rsid w:val="00D14BE2"/>
    <w:rsid w:val="00D14F3E"/>
    <w:rsid w:val="00D15015"/>
    <w:rsid w:val="00D152B8"/>
    <w:rsid w:val="00D152CB"/>
    <w:rsid w:val="00D15341"/>
    <w:rsid w:val="00D15498"/>
    <w:rsid w:val="00D1554C"/>
    <w:rsid w:val="00D15674"/>
    <w:rsid w:val="00D157F8"/>
    <w:rsid w:val="00D15834"/>
    <w:rsid w:val="00D15E50"/>
    <w:rsid w:val="00D15EA7"/>
    <w:rsid w:val="00D15F6E"/>
    <w:rsid w:val="00D16084"/>
    <w:rsid w:val="00D161E2"/>
    <w:rsid w:val="00D161F2"/>
    <w:rsid w:val="00D162F4"/>
    <w:rsid w:val="00D16392"/>
    <w:rsid w:val="00D166C4"/>
    <w:rsid w:val="00D16733"/>
    <w:rsid w:val="00D167FF"/>
    <w:rsid w:val="00D16988"/>
    <w:rsid w:val="00D16A7E"/>
    <w:rsid w:val="00D16AA7"/>
    <w:rsid w:val="00D16D0D"/>
    <w:rsid w:val="00D16D44"/>
    <w:rsid w:val="00D16D4C"/>
    <w:rsid w:val="00D16E9E"/>
    <w:rsid w:val="00D16FA6"/>
    <w:rsid w:val="00D16FBA"/>
    <w:rsid w:val="00D17258"/>
    <w:rsid w:val="00D172F6"/>
    <w:rsid w:val="00D1767A"/>
    <w:rsid w:val="00D17A3B"/>
    <w:rsid w:val="00D17A6B"/>
    <w:rsid w:val="00D17A93"/>
    <w:rsid w:val="00D17BD6"/>
    <w:rsid w:val="00D17BFF"/>
    <w:rsid w:val="00D17CBA"/>
    <w:rsid w:val="00D17E44"/>
    <w:rsid w:val="00D17ED8"/>
    <w:rsid w:val="00D200EF"/>
    <w:rsid w:val="00D20584"/>
    <w:rsid w:val="00D205BC"/>
    <w:rsid w:val="00D207A1"/>
    <w:rsid w:val="00D20A65"/>
    <w:rsid w:val="00D20A80"/>
    <w:rsid w:val="00D20AF9"/>
    <w:rsid w:val="00D20C25"/>
    <w:rsid w:val="00D20EFC"/>
    <w:rsid w:val="00D21087"/>
    <w:rsid w:val="00D210C4"/>
    <w:rsid w:val="00D214AB"/>
    <w:rsid w:val="00D2151B"/>
    <w:rsid w:val="00D215B7"/>
    <w:rsid w:val="00D21833"/>
    <w:rsid w:val="00D21BFC"/>
    <w:rsid w:val="00D21C02"/>
    <w:rsid w:val="00D21D4B"/>
    <w:rsid w:val="00D21F68"/>
    <w:rsid w:val="00D22013"/>
    <w:rsid w:val="00D2206D"/>
    <w:rsid w:val="00D220A5"/>
    <w:rsid w:val="00D2220F"/>
    <w:rsid w:val="00D225B2"/>
    <w:rsid w:val="00D2295A"/>
    <w:rsid w:val="00D229E2"/>
    <w:rsid w:val="00D22AA2"/>
    <w:rsid w:val="00D22B4F"/>
    <w:rsid w:val="00D22C8F"/>
    <w:rsid w:val="00D22E1C"/>
    <w:rsid w:val="00D22E77"/>
    <w:rsid w:val="00D22ED0"/>
    <w:rsid w:val="00D23150"/>
    <w:rsid w:val="00D23169"/>
    <w:rsid w:val="00D23215"/>
    <w:rsid w:val="00D23A46"/>
    <w:rsid w:val="00D23E7A"/>
    <w:rsid w:val="00D24057"/>
    <w:rsid w:val="00D240BA"/>
    <w:rsid w:val="00D24397"/>
    <w:rsid w:val="00D2449C"/>
    <w:rsid w:val="00D24613"/>
    <w:rsid w:val="00D246F4"/>
    <w:rsid w:val="00D247FC"/>
    <w:rsid w:val="00D248AC"/>
    <w:rsid w:val="00D24939"/>
    <w:rsid w:val="00D24956"/>
    <w:rsid w:val="00D24A50"/>
    <w:rsid w:val="00D24CBE"/>
    <w:rsid w:val="00D24D87"/>
    <w:rsid w:val="00D24DA5"/>
    <w:rsid w:val="00D24DC1"/>
    <w:rsid w:val="00D24F0B"/>
    <w:rsid w:val="00D25015"/>
    <w:rsid w:val="00D2501E"/>
    <w:rsid w:val="00D25289"/>
    <w:rsid w:val="00D25352"/>
    <w:rsid w:val="00D25370"/>
    <w:rsid w:val="00D25624"/>
    <w:rsid w:val="00D257A0"/>
    <w:rsid w:val="00D258E6"/>
    <w:rsid w:val="00D25924"/>
    <w:rsid w:val="00D25A83"/>
    <w:rsid w:val="00D25B11"/>
    <w:rsid w:val="00D260A8"/>
    <w:rsid w:val="00D26357"/>
    <w:rsid w:val="00D26699"/>
    <w:rsid w:val="00D2682A"/>
    <w:rsid w:val="00D2686F"/>
    <w:rsid w:val="00D268FE"/>
    <w:rsid w:val="00D26E56"/>
    <w:rsid w:val="00D26F64"/>
    <w:rsid w:val="00D27067"/>
    <w:rsid w:val="00D27403"/>
    <w:rsid w:val="00D275D8"/>
    <w:rsid w:val="00D27607"/>
    <w:rsid w:val="00D276A7"/>
    <w:rsid w:val="00D27783"/>
    <w:rsid w:val="00D277D0"/>
    <w:rsid w:val="00D27D1E"/>
    <w:rsid w:val="00D27E59"/>
    <w:rsid w:val="00D27EE9"/>
    <w:rsid w:val="00D27F64"/>
    <w:rsid w:val="00D27FDF"/>
    <w:rsid w:val="00D3047C"/>
    <w:rsid w:val="00D30523"/>
    <w:rsid w:val="00D30537"/>
    <w:rsid w:val="00D30623"/>
    <w:rsid w:val="00D30777"/>
    <w:rsid w:val="00D30B65"/>
    <w:rsid w:val="00D30EFC"/>
    <w:rsid w:val="00D31034"/>
    <w:rsid w:val="00D31195"/>
    <w:rsid w:val="00D311D3"/>
    <w:rsid w:val="00D3123F"/>
    <w:rsid w:val="00D316FA"/>
    <w:rsid w:val="00D31870"/>
    <w:rsid w:val="00D319B3"/>
    <w:rsid w:val="00D31D6D"/>
    <w:rsid w:val="00D31E82"/>
    <w:rsid w:val="00D31EF3"/>
    <w:rsid w:val="00D320DA"/>
    <w:rsid w:val="00D3246C"/>
    <w:rsid w:val="00D3255E"/>
    <w:rsid w:val="00D326A6"/>
    <w:rsid w:val="00D32A1E"/>
    <w:rsid w:val="00D32A26"/>
    <w:rsid w:val="00D32BF2"/>
    <w:rsid w:val="00D32D50"/>
    <w:rsid w:val="00D32DC2"/>
    <w:rsid w:val="00D32E2A"/>
    <w:rsid w:val="00D32E9F"/>
    <w:rsid w:val="00D32EB9"/>
    <w:rsid w:val="00D32FA9"/>
    <w:rsid w:val="00D33261"/>
    <w:rsid w:val="00D33277"/>
    <w:rsid w:val="00D33434"/>
    <w:rsid w:val="00D3343C"/>
    <w:rsid w:val="00D335E8"/>
    <w:rsid w:val="00D3360C"/>
    <w:rsid w:val="00D3374F"/>
    <w:rsid w:val="00D33A1F"/>
    <w:rsid w:val="00D33B63"/>
    <w:rsid w:val="00D33C84"/>
    <w:rsid w:val="00D33CEB"/>
    <w:rsid w:val="00D33F00"/>
    <w:rsid w:val="00D33F82"/>
    <w:rsid w:val="00D340B4"/>
    <w:rsid w:val="00D3412D"/>
    <w:rsid w:val="00D34761"/>
    <w:rsid w:val="00D34C4B"/>
    <w:rsid w:val="00D34DDF"/>
    <w:rsid w:val="00D350DB"/>
    <w:rsid w:val="00D350F6"/>
    <w:rsid w:val="00D35381"/>
    <w:rsid w:val="00D3540C"/>
    <w:rsid w:val="00D35664"/>
    <w:rsid w:val="00D358BD"/>
    <w:rsid w:val="00D358EA"/>
    <w:rsid w:val="00D35A53"/>
    <w:rsid w:val="00D35C57"/>
    <w:rsid w:val="00D35D6E"/>
    <w:rsid w:val="00D35F98"/>
    <w:rsid w:val="00D360CE"/>
    <w:rsid w:val="00D36125"/>
    <w:rsid w:val="00D3627D"/>
    <w:rsid w:val="00D362F5"/>
    <w:rsid w:val="00D3631B"/>
    <w:rsid w:val="00D364EC"/>
    <w:rsid w:val="00D3659A"/>
    <w:rsid w:val="00D36742"/>
    <w:rsid w:val="00D369A5"/>
    <w:rsid w:val="00D36B4F"/>
    <w:rsid w:val="00D37652"/>
    <w:rsid w:val="00D37795"/>
    <w:rsid w:val="00D378FE"/>
    <w:rsid w:val="00D37D63"/>
    <w:rsid w:val="00D37E1B"/>
    <w:rsid w:val="00D37E5F"/>
    <w:rsid w:val="00D37F38"/>
    <w:rsid w:val="00D40219"/>
    <w:rsid w:val="00D4025C"/>
    <w:rsid w:val="00D40650"/>
    <w:rsid w:val="00D4066A"/>
    <w:rsid w:val="00D4067E"/>
    <w:rsid w:val="00D407E3"/>
    <w:rsid w:val="00D40A3B"/>
    <w:rsid w:val="00D40A5F"/>
    <w:rsid w:val="00D40BDF"/>
    <w:rsid w:val="00D40C11"/>
    <w:rsid w:val="00D40C37"/>
    <w:rsid w:val="00D410B7"/>
    <w:rsid w:val="00D4128C"/>
    <w:rsid w:val="00D413D4"/>
    <w:rsid w:val="00D415F0"/>
    <w:rsid w:val="00D4163F"/>
    <w:rsid w:val="00D4169C"/>
    <w:rsid w:val="00D418A1"/>
    <w:rsid w:val="00D4198B"/>
    <w:rsid w:val="00D41A2E"/>
    <w:rsid w:val="00D41D6A"/>
    <w:rsid w:val="00D41E16"/>
    <w:rsid w:val="00D41E46"/>
    <w:rsid w:val="00D4207E"/>
    <w:rsid w:val="00D420AF"/>
    <w:rsid w:val="00D420BF"/>
    <w:rsid w:val="00D421CD"/>
    <w:rsid w:val="00D42620"/>
    <w:rsid w:val="00D4280D"/>
    <w:rsid w:val="00D42872"/>
    <w:rsid w:val="00D429DA"/>
    <w:rsid w:val="00D429DB"/>
    <w:rsid w:val="00D42A6F"/>
    <w:rsid w:val="00D42BF1"/>
    <w:rsid w:val="00D42CB4"/>
    <w:rsid w:val="00D42D0E"/>
    <w:rsid w:val="00D42EA7"/>
    <w:rsid w:val="00D42FA3"/>
    <w:rsid w:val="00D42FC2"/>
    <w:rsid w:val="00D42FC7"/>
    <w:rsid w:val="00D43191"/>
    <w:rsid w:val="00D43457"/>
    <w:rsid w:val="00D4352A"/>
    <w:rsid w:val="00D43727"/>
    <w:rsid w:val="00D43B2F"/>
    <w:rsid w:val="00D43C7F"/>
    <w:rsid w:val="00D43C98"/>
    <w:rsid w:val="00D43CBF"/>
    <w:rsid w:val="00D43CE3"/>
    <w:rsid w:val="00D43D18"/>
    <w:rsid w:val="00D43E7C"/>
    <w:rsid w:val="00D43F3F"/>
    <w:rsid w:val="00D43FE9"/>
    <w:rsid w:val="00D4425E"/>
    <w:rsid w:val="00D443E8"/>
    <w:rsid w:val="00D44B0C"/>
    <w:rsid w:val="00D44D65"/>
    <w:rsid w:val="00D44E38"/>
    <w:rsid w:val="00D44F9F"/>
    <w:rsid w:val="00D45011"/>
    <w:rsid w:val="00D45253"/>
    <w:rsid w:val="00D4528A"/>
    <w:rsid w:val="00D452AC"/>
    <w:rsid w:val="00D45314"/>
    <w:rsid w:val="00D45408"/>
    <w:rsid w:val="00D4543B"/>
    <w:rsid w:val="00D45612"/>
    <w:rsid w:val="00D458FF"/>
    <w:rsid w:val="00D459F8"/>
    <w:rsid w:val="00D45B46"/>
    <w:rsid w:val="00D45B60"/>
    <w:rsid w:val="00D45D4B"/>
    <w:rsid w:val="00D45E00"/>
    <w:rsid w:val="00D460B0"/>
    <w:rsid w:val="00D4682A"/>
    <w:rsid w:val="00D468B4"/>
    <w:rsid w:val="00D46A79"/>
    <w:rsid w:val="00D46B91"/>
    <w:rsid w:val="00D46C0A"/>
    <w:rsid w:val="00D46C70"/>
    <w:rsid w:val="00D47016"/>
    <w:rsid w:val="00D47239"/>
    <w:rsid w:val="00D4733E"/>
    <w:rsid w:val="00D47467"/>
    <w:rsid w:val="00D47754"/>
    <w:rsid w:val="00D47947"/>
    <w:rsid w:val="00D47A18"/>
    <w:rsid w:val="00D47A1D"/>
    <w:rsid w:val="00D47B8C"/>
    <w:rsid w:val="00D47BB2"/>
    <w:rsid w:val="00D47BD8"/>
    <w:rsid w:val="00D47C74"/>
    <w:rsid w:val="00D47D31"/>
    <w:rsid w:val="00D47DB8"/>
    <w:rsid w:val="00D47F04"/>
    <w:rsid w:val="00D50164"/>
    <w:rsid w:val="00D50297"/>
    <w:rsid w:val="00D5069E"/>
    <w:rsid w:val="00D506FD"/>
    <w:rsid w:val="00D50DC5"/>
    <w:rsid w:val="00D50FE2"/>
    <w:rsid w:val="00D510B0"/>
    <w:rsid w:val="00D510C3"/>
    <w:rsid w:val="00D51108"/>
    <w:rsid w:val="00D5113D"/>
    <w:rsid w:val="00D511C4"/>
    <w:rsid w:val="00D51341"/>
    <w:rsid w:val="00D515AE"/>
    <w:rsid w:val="00D516B5"/>
    <w:rsid w:val="00D516C7"/>
    <w:rsid w:val="00D51832"/>
    <w:rsid w:val="00D51B32"/>
    <w:rsid w:val="00D51D5B"/>
    <w:rsid w:val="00D51DC4"/>
    <w:rsid w:val="00D52014"/>
    <w:rsid w:val="00D520EA"/>
    <w:rsid w:val="00D5253D"/>
    <w:rsid w:val="00D525BC"/>
    <w:rsid w:val="00D52676"/>
    <w:rsid w:val="00D52818"/>
    <w:rsid w:val="00D528C6"/>
    <w:rsid w:val="00D52C00"/>
    <w:rsid w:val="00D52C87"/>
    <w:rsid w:val="00D52D14"/>
    <w:rsid w:val="00D52D8C"/>
    <w:rsid w:val="00D52ED2"/>
    <w:rsid w:val="00D52F4E"/>
    <w:rsid w:val="00D52FC0"/>
    <w:rsid w:val="00D53153"/>
    <w:rsid w:val="00D53208"/>
    <w:rsid w:val="00D53337"/>
    <w:rsid w:val="00D53392"/>
    <w:rsid w:val="00D533F6"/>
    <w:rsid w:val="00D534CB"/>
    <w:rsid w:val="00D5372F"/>
    <w:rsid w:val="00D53802"/>
    <w:rsid w:val="00D53922"/>
    <w:rsid w:val="00D53A8C"/>
    <w:rsid w:val="00D53BB1"/>
    <w:rsid w:val="00D53D5A"/>
    <w:rsid w:val="00D53D6C"/>
    <w:rsid w:val="00D53E28"/>
    <w:rsid w:val="00D53EDE"/>
    <w:rsid w:val="00D53FF9"/>
    <w:rsid w:val="00D541FE"/>
    <w:rsid w:val="00D54225"/>
    <w:rsid w:val="00D5455A"/>
    <w:rsid w:val="00D54878"/>
    <w:rsid w:val="00D5487C"/>
    <w:rsid w:val="00D54909"/>
    <w:rsid w:val="00D5496F"/>
    <w:rsid w:val="00D54B14"/>
    <w:rsid w:val="00D54C5B"/>
    <w:rsid w:val="00D54D08"/>
    <w:rsid w:val="00D54EE4"/>
    <w:rsid w:val="00D54F3B"/>
    <w:rsid w:val="00D554A8"/>
    <w:rsid w:val="00D5560B"/>
    <w:rsid w:val="00D5562F"/>
    <w:rsid w:val="00D55801"/>
    <w:rsid w:val="00D55936"/>
    <w:rsid w:val="00D55A96"/>
    <w:rsid w:val="00D55C1F"/>
    <w:rsid w:val="00D55C5F"/>
    <w:rsid w:val="00D55CA0"/>
    <w:rsid w:val="00D55DDB"/>
    <w:rsid w:val="00D55E78"/>
    <w:rsid w:val="00D55F13"/>
    <w:rsid w:val="00D56428"/>
    <w:rsid w:val="00D564FA"/>
    <w:rsid w:val="00D564FE"/>
    <w:rsid w:val="00D56513"/>
    <w:rsid w:val="00D565B1"/>
    <w:rsid w:val="00D56803"/>
    <w:rsid w:val="00D56A3D"/>
    <w:rsid w:val="00D56A6E"/>
    <w:rsid w:val="00D56EC5"/>
    <w:rsid w:val="00D56F45"/>
    <w:rsid w:val="00D56F68"/>
    <w:rsid w:val="00D56FB9"/>
    <w:rsid w:val="00D57031"/>
    <w:rsid w:val="00D57166"/>
    <w:rsid w:val="00D57304"/>
    <w:rsid w:val="00D575F2"/>
    <w:rsid w:val="00D57755"/>
    <w:rsid w:val="00D577B5"/>
    <w:rsid w:val="00D578B9"/>
    <w:rsid w:val="00D578E9"/>
    <w:rsid w:val="00D57A94"/>
    <w:rsid w:val="00D57B9C"/>
    <w:rsid w:val="00D57E72"/>
    <w:rsid w:val="00D600BE"/>
    <w:rsid w:val="00D600E3"/>
    <w:rsid w:val="00D60161"/>
    <w:rsid w:val="00D601B9"/>
    <w:rsid w:val="00D60574"/>
    <w:rsid w:val="00D6099E"/>
    <w:rsid w:val="00D609EF"/>
    <w:rsid w:val="00D60ABA"/>
    <w:rsid w:val="00D60C81"/>
    <w:rsid w:val="00D61063"/>
    <w:rsid w:val="00D6159D"/>
    <w:rsid w:val="00D61792"/>
    <w:rsid w:val="00D61C37"/>
    <w:rsid w:val="00D61ECE"/>
    <w:rsid w:val="00D61F93"/>
    <w:rsid w:val="00D6224E"/>
    <w:rsid w:val="00D622F4"/>
    <w:rsid w:val="00D623D3"/>
    <w:rsid w:val="00D623F2"/>
    <w:rsid w:val="00D62403"/>
    <w:rsid w:val="00D6240B"/>
    <w:rsid w:val="00D624EB"/>
    <w:rsid w:val="00D62695"/>
    <w:rsid w:val="00D626DA"/>
    <w:rsid w:val="00D6271B"/>
    <w:rsid w:val="00D62751"/>
    <w:rsid w:val="00D627BF"/>
    <w:rsid w:val="00D6297D"/>
    <w:rsid w:val="00D62C82"/>
    <w:rsid w:val="00D62F38"/>
    <w:rsid w:val="00D63085"/>
    <w:rsid w:val="00D6315A"/>
    <w:rsid w:val="00D632C4"/>
    <w:rsid w:val="00D6331D"/>
    <w:rsid w:val="00D6344A"/>
    <w:rsid w:val="00D63520"/>
    <w:rsid w:val="00D63530"/>
    <w:rsid w:val="00D63707"/>
    <w:rsid w:val="00D638CE"/>
    <w:rsid w:val="00D63967"/>
    <w:rsid w:val="00D63D28"/>
    <w:rsid w:val="00D63DD8"/>
    <w:rsid w:val="00D63E52"/>
    <w:rsid w:val="00D63E9F"/>
    <w:rsid w:val="00D63EA5"/>
    <w:rsid w:val="00D63EBD"/>
    <w:rsid w:val="00D63F7D"/>
    <w:rsid w:val="00D64226"/>
    <w:rsid w:val="00D6422B"/>
    <w:rsid w:val="00D6422E"/>
    <w:rsid w:val="00D6427C"/>
    <w:rsid w:val="00D64374"/>
    <w:rsid w:val="00D6469F"/>
    <w:rsid w:val="00D646CF"/>
    <w:rsid w:val="00D648D3"/>
    <w:rsid w:val="00D64ADA"/>
    <w:rsid w:val="00D64AE6"/>
    <w:rsid w:val="00D64B84"/>
    <w:rsid w:val="00D64C75"/>
    <w:rsid w:val="00D65020"/>
    <w:rsid w:val="00D6519F"/>
    <w:rsid w:val="00D651EE"/>
    <w:rsid w:val="00D652E6"/>
    <w:rsid w:val="00D6534C"/>
    <w:rsid w:val="00D65389"/>
    <w:rsid w:val="00D6555F"/>
    <w:rsid w:val="00D65779"/>
    <w:rsid w:val="00D6594A"/>
    <w:rsid w:val="00D65B1E"/>
    <w:rsid w:val="00D65BF4"/>
    <w:rsid w:val="00D65C66"/>
    <w:rsid w:val="00D65CA6"/>
    <w:rsid w:val="00D65DA7"/>
    <w:rsid w:val="00D65EA1"/>
    <w:rsid w:val="00D65EE7"/>
    <w:rsid w:val="00D65F5A"/>
    <w:rsid w:val="00D65FA6"/>
    <w:rsid w:val="00D661B3"/>
    <w:rsid w:val="00D66219"/>
    <w:rsid w:val="00D662DE"/>
    <w:rsid w:val="00D662F8"/>
    <w:rsid w:val="00D6639D"/>
    <w:rsid w:val="00D66402"/>
    <w:rsid w:val="00D66478"/>
    <w:rsid w:val="00D66672"/>
    <w:rsid w:val="00D66827"/>
    <w:rsid w:val="00D668A8"/>
    <w:rsid w:val="00D66976"/>
    <w:rsid w:val="00D66BC4"/>
    <w:rsid w:val="00D66C14"/>
    <w:rsid w:val="00D66F07"/>
    <w:rsid w:val="00D66F47"/>
    <w:rsid w:val="00D66F5F"/>
    <w:rsid w:val="00D66F99"/>
    <w:rsid w:val="00D67074"/>
    <w:rsid w:val="00D6708E"/>
    <w:rsid w:val="00D671BB"/>
    <w:rsid w:val="00D6720E"/>
    <w:rsid w:val="00D6721C"/>
    <w:rsid w:val="00D6748D"/>
    <w:rsid w:val="00D67602"/>
    <w:rsid w:val="00D67832"/>
    <w:rsid w:val="00D678FC"/>
    <w:rsid w:val="00D67A4A"/>
    <w:rsid w:val="00D67B08"/>
    <w:rsid w:val="00D67D12"/>
    <w:rsid w:val="00D67D3E"/>
    <w:rsid w:val="00D67E98"/>
    <w:rsid w:val="00D67EF1"/>
    <w:rsid w:val="00D7007D"/>
    <w:rsid w:val="00D700EB"/>
    <w:rsid w:val="00D701CD"/>
    <w:rsid w:val="00D7025E"/>
    <w:rsid w:val="00D702BE"/>
    <w:rsid w:val="00D7039C"/>
    <w:rsid w:val="00D7059D"/>
    <w:rsid w:val="00D7083B"/>
    <w:rsid w:val="00D70998"/>
    <w:rsid w:val="00D709BB"/>
    <w:rsid w:val="00D70A2F"/>
    <w:rsid w:val="00D70AFF"/>
    <w:rsid w:val="00D70CC3"/>
    <w:rsid w:val="00D71029"/>
    <w:rsid w:val="00D710B2"/>
    <w:rsid w:val="00D7117F"/>
    <w:rsid w:val="00D71183"/>
    <w:rsid w:val="00D7185D"/>
    <w:rsid w:val="00D7186F"/>
    <w:rsid w:val="00D71925"/>
    <w:rsid w:val="00D71CD2"/>
    <w:rsid w:val="00D71E91"/>
    <w:rsid w:val="00D71F11"/>
    <w:rsid w:val="00D72002"/>
    <w:rsid w:val="00D720AD"/>
    <w:rsid w:val="00D72331"/>
    <w:rsid w:val="00D723C5"/>
    <w:rsid w:val="00D72613"/>
    <w:rsid w:val="00D7271D"/>
    <w:rsid w:val="00D72779"/>
    <w:rsid w:val="00D72A1E"/>
    <w:rsid w:val="00D72A4B"/>
    <w:rsid w:val="00D72AB5"/>
    <w:rsid w:val="00D72ADF"/>
    <w:rsid w:val="00D731C0"/>
    <w:rsid w:val="00D73216"/>
    <w:rsid w:val="00D73238"/>
    <w:rsid w:val="00D7329A"/>
    <w:rsid w:val="00D732D7"/>
    <w:rsid w:val="00D733BD"/>
    <w:rsid w:val="00D733C8"/>
    <w:rsid w:val="00D7362A"/>
    <w:rsid w:val="00D73659"/>
    <w:rsid w:val="00D73A2E"/>
    <w:rsid w:val="00D73B72"/>
    <w:rsid w:val="00D73D15"/>
    <w:rsid w:val="00D73F83"/>
    <w:rsid w:val="00D74040"/>
    <w:rsid w:val="00D74051"/>
    <w:rsid w:val="00D74852"/>
    <w:rsid w:val="00D748E9"/>
    <w:rsid w:val="00D74A26"/>
    <w:rsid w:val="00D74AB7"/>
    <w:rsid w:val="00D74B3C"/>
    <w:rsid w:val="00D74C72"/>
    <w:rsid w:val="00D75174"/>
    <w:rsid w:val="00D7528F"/>
    <w:rsid w:val="00D7536A"/>
    <w:rsid w:val="00D75428"/>
    <w:rsid w:val="00D75544"/>
    <w:rsid w:val="00D7559F"/>
    <w:rsid w:val="00D75792"/>
    <w:rsid w:val="00D75968"/>
    <w:rsid w:val="00D75AF2"/>
    <w:rsid w:val="00D75D2C"/>
    <w:rsid w:val="00D75EDC"/>
    <w:rsid w:val="00D7620B"/>
    <w:rsid w:val="00D762CC"/>
    <w:rsid w:val="00D763E3"/>
    <w:rsid w:val="00D763FB"/>
    <w:rsid w:val="00D76516"/>
    <w:rsid w:val="00D76538"/>
    <w:rsid w:val="00D767BA"/>
    <w:rsid w:val="00D76820"/>
    <w:rsid w:val="00D768BF"/>
    <w:rsid w:val="00D769D6"/>
    <w:rsid w:val="00D76A2A"/>
    <w:rsid w:val="00D76B15"/>
    <w:rsid w:val="00D76B53"/>
    <w:rsid w:val="00D76BD5"/>
    <w:rsid w:val="00D76C0F"/>
    <w:rsid w:val="00D76D39"/>
    <w:rsid w:val="00D76DA1"/>
    <w:rsid w:val="00D76F08"/>
    <w:rsid w:val="00D7703E"/>
    <w:rsid w:val="00D773BF"/>
    <w:rsid w:val="00D77496"/>
    <w:rsid w:val="00D7765E"/>
    <w:rsid w:val="00D77973"/>
    <w:rsid w:val="00D77B6B"/>
    <w:rsid w:val="00D77B80"/>
    <w:rsid w:val="00D77BA4"/>
    <w:rsid w:val="00D77CC2"/>
    <w:rsid w:val="00D77D3F"/>
    <w:rsid w:val="00D77D43"/>
    <w:rsid w:val="00D77FA4"/>
    <w:rsid w:val="00D8022E"/>
    <w:rsid w:val="00D804C7"/>
    <w:rsid w:val="00D804C8"/>
    <w:rsid w:val="00D806F9"/>
    <w:rsid w:val="00D80740"/>
    <w:rsid w:val="00D80752"/>
    <w:rsid w:val="00D807DC"/>
    <w:rsid w:val="00D80934"/>
    <w:rsid w:val="00D80987"/>
    <w:rsid w:val="00D80ADA"/>
    <w:rsid w:val="00D80BBC"/>
    <w:rsid w:val="00D80C07"/>
    <w:rsid w:val="00D80C4B"/>
    <w:rsid w:val="00D80D35"/>
    <w:rsid w:val="00D80D8C"/>
    <w:rsid w:val="00D8107E"/>
    <w:rsid w:val="00D81173"/>
    <w:rsid w:val="00D8118A"/>
    <w:rsid w:val="00D8143B"/>
    <w:rsid w:val="00D8148A"/>
    <w:rsid w:val="00D816D3"/>
    <w:rsid w:val="00D8182A"/>
    <w:rsid w:val="00D81B22"/>
    <w:rsid w:val="00D81B48"/>
    <w:rsid w:val="00D81BF7"/>
    <w:rsid w:val="00D81CDA"/>
    <w:rsid w:val="00D81CFB"/>
    <w:rsid w:val="00D81E0C"/>
    <w:rsid w:val="00D82156"/>
    <w:rsid w:val="00D8215C"/>
    <w:rsid w:val="00D821A2"/>
    <w:rsid w:val="00D821EB"/>
    <w:rsid w:val="00D82215"/>
    <w:rsid w:val="00D82BEA"/>
    <w:rsid w:val="00D82CC7"/>
    <w:rsid w:val="00D82E24"/>
    <w:rsid w:val="00D82F1D"/>
    <w:rsid w:val="00D82F8F"/>
    <w:rsid w:val="00D83321"/>
    <w:rsid w:val="00D83366"/>
    <w:rsid w:val="00D83408"/>
    <w:rsid w:val="00D83440"/>
    <w:rsid w:val="00D83579"/>
    <w:rsid w:val="00D836DD"/>
    <w:rsid w:val="00D8372B"/>
    <w:rsid w:val="00D83804"/>
    <w:rsid w:val="00D83B76"/>
    <w:rsid w:val="00D83B9B"/>
    <w:rsid w:val="00D83CFC"/>
    <w:rsid w:val="00D83EA9"/>
    <w:rsid w:val="00D83F40"/>
    <w:rsid w:val="00D8468C"/>
    <w:rsid w:val="00D84B6C"/>
    <w:rsid w:val="00D84E2D"/>
    <w:rsid w:val="00D84EB6"/>
    <w:rsid w:val="00D84EDF"/>
    <w:rsid w:val="00D85453"/>
    <w:rsid w:val="00D85454"/>
    <w:rsid w:val="00D854E4"/>
    <w:rsid w:val="00D85583"/>
    <w:rsid w:val="00D855E7"/>
    <w:rsid w:val="00D8587A"/>
    <w:rsid w:val="00D85A7B"/>
    <w:rsid w:val="00D85B25"/>
    <w:rsid w:val="00D85C4B"/>
    <w:rsid w:val="00D860A2"/>
    <w:rsid w:val="00D86118"/>
    <w:rsid w:val="00D862DE"/>
    <w:rsid w:val="00D86524"/>
    <w:rsid w:val="00D86597"/>
    <w:rsid w:val="00D868A2"/>
    <w:rsid w:val="00D869BA"/>
    <w:rsid w:val="00D86B65"/>
    <w:rsid w:val="00D86B98"/>
    <w:rsid w:val="00D86BC6"/>
    <w:rsid w:val="00D86C40"/>
    <w:rsid w:val="00D86CDE"/>
    <w:rsid w:val="00D86DAD"/>
    <w:rsid w:val="00D86EC0"/>
    <w:rsid w:val="00D86F7E"/>
    <w:rsid w:val="00D87193"/>
    <w:rsid w:val="00D87293"/>
    <w:rsid w:val="00D87490"/>
    <w:rsid w:val="00D8751F"/>
    <w:rsid w:val="00D875B5"/>
    <w:rsid w:val="00D875FD"/>
    <w:rsid w:val="00D87639"/>
    <w:rsid w:val="00D876A2"/>
    <w:rsid w:val="00D87707"/>
    <w:rsid w:val="00D87813"/>
    <w:rsid w:val="00D87832"/>
    <w:rsid w:val="00D8787F"/>
    <w:rsid w:val="00D878D7"/>
    <w:rsid w:val="00D8792E"/>
    <w:rsid w:val="00D87951"/>
    <w:rsid w:val="00D87B05"/>
    <w:rsid w:val="00D87B91"/>
    <w:rsid w:val="00D87D68"/>
    <w:rsid w:val="00D87FBE"/>
    <w:rsid w:val="00D9009E"/>
    <w:rsid w:val="00D90155"/>
    <w:rsid w:val="00D9031C"/>
    <w:rsid w:val="00D90325"/>
    <w:rsid w:val="00D90359"/>
    <w:rsid w:val="00D90A34"/>
    <w:rsid w:val="00D90A56"/>
    <w:rsid w:val="00D90B50"/>
    <w:rsid w:val="00D90B69"/>
    <w:rsid w:val="00D90E52"/>
    <w:rsid w:val="00D90EB6"/>
    <w:rsid w:val="00D91061"/>
    <w:rsid w:val="00D9108C"/>
    <w:rsid w:val="00D91150"/>
    <w:rsid w:val="00D913DD"/>
    <w:rsid w:val="00D91505"/>
    <w:rsid w:val="00D91515"/>
    <w:rsid w:val="00D91883"/>
    <w:rsid w:val="00D91894"/>
    <w:rsid w:val="00D91E95"/>
    <w:rsid w:val="00D91FF8"/>
    <w:rsid w:val="00D921CA"/>
    <w:rsid w:val="00D92325"/>
    <w:rsid w:val="00D92692"/>
    <w:rsid w:val="00D927AA"/>
    <w:rsid w:val="00D92C0C"/>
    <w:rsid w:val="00D92CC0"/>
    <w:rsid w:val="00D92D47"/>
    <w:rsid w:val="00D92E96"/>
    <w:rsid w:val="00D92F60"/>
    <w:rsid w:val="00D931A4"/>
    <w:rsid w:val="00D93558"/>
    <w:rsid w:val="00D93AAA"/>
    <w:rsid w:val="00D93CD1"/>
    <w:rsid w:val="00D93D45"/>
    <w:rsid w:val="00D93E9D"/>
    <w:rsid w:val="00D93EC1"/>
    <w:rsid w:val="00D9417C"/>
    <w:rsid w:val="00D942FA"/>
    <w:rsid w:val="00D9432B"/>
    <w:rsid w:val="00D9456F"/>
    <w:rsid w:val="00D946A0"/>
    <w:rsid w:val="00D9492A"/>
    <w:rsid w:val="00D94F03"/>
    <w:rsid w:val="00D9500A"/>
    <w:rsid w:val="00D9507F"/>
    <w:rsid w:val="00D95112"/>
    <w:rsid w:val="00D951B0"/>
    <w:rsid w:val="00D95299"/>
    <w:rsid w:val="00D954BB"/>
    <w:rsid w:val="00D954E2"/>
    <w:rsid w:val="00D95531"/>
    <w:rsid w:val="00D955E3"/>
    <w:rsid w:val="00D9598B"/>
    <w:rsid w:val="00D95B28"/>
    <w:rsid w:val="00D95B6F"/>
    <w:rsid w:val="00D95C75"/>
    <w:rsid w:val="00D95DC3"/>
    <w:rsid w:val="00D95DF6"/>
    <w:rsid w:val="00D95EBC"/>
    <w:rsid w:val="00D95ED9"/>
    <w:rsid w:val="00D96256"/>
    <w:rsid w:val="00D964B9"/>
    <w:rsid w:val="00D96547"/>
    <w:rsid w:val="00D965FE"/>
    <w:rsid w:val="00D96693"/>
    <w:rsid w:val="00D9673F"/>
    <w:rsid w:val="00D9683B"/>
    <w:rsid w:val="00D96EE8"/>
    <w:rsid w:val="00D96EF7"/>
    <w:rsid w:val="00D96F3A"/>
    <w:rsid w:val="00D96FE7"/>
    <w:rsid w:val="00D97034"/>
    <w:rsid w:val="00D971F3"/>
    <w:rsid w:val="00D9759A"/>
    <w:rsid w:val="00D97C53"/>
    <w:rsid w:val="00D97E73"/>
    <w:rsid w:val="00DA011C"/>
    <w:rsid w:val="00DA0187"/>
    <w:rsid w:val="00DA02C4"/>
    <w:rsid w:val="00DA02E9"/>
    <w:rsid w:val="00DA0307"/>
    <w:rsid w:val="00DA0656"/>
    <w:rsid w:val="00DA0722"/>
    <w:rsid w:val="00DA07D4"/>
    <w:rsid w:val="00DA0833"/>
    <w:rsid w:val="00DA0898"/>
    <w:rsid w:val="00DA0922"/>
    <w:rsid w:val="00DA09FA"/>
    <w:rsid w:val="00DA0ABF"/>
    <w:rsid w:val="00DA0BC7"/>
    <w:rsid w:val="00DA0EEF"/>
    <w:rsid w:val="00DA0FD7"/>
    <w:rsid w:val="00DA10AE"/>
    <w:rsid w:val="00DA128A"/>
    <w:rsid w:val="00DA14DD"/>
    <w:rsid w:val="00DA153C"/>
    <w:rsid w:val="00DA165D"/>
    <w:rsid w:val="00DA1788"/>
    <w:rsid w:val="00DA1791"/>
    <w:rsid w:val="00DA17CC"/>
    <w:rsid w:val="00DA1967"/>
    <w:rsid w:val="00DA19DF"/>
    <w:rsid w:val="00DA19E9"/>
    <w:rsid w:val="00DA1FE9"/>
    <w:rsid w:val="00DA23AA"/>
    <w:rsid w:val="00DA26B9"/>
    <w:rsid w:val="00DA28C2"/>
    <w:rsid w:val="00DA296C"/>
    <w:rsid w:val="00DA29DB"/>
    <w:rsid w:val="00DA2A38"/>
    <w:rsid w:val="00DA2DDC"/>
    <w:rsid w:val="00DA309C"/>
    <w:rsid w:val="00DA3159"/>
    <w:rsid w:val="00DA3249"/>
    <w:rsid w:val="00DA3390"/>
    <w:rsid w:val="00DA3454"/>
    <w:rsid w:val="00DA3584"/>
    <w:rsid w:val="00DA36CA"/>
    <w:rsid w:val="00DA3868"/>
    <w:rsid w:val="00DA39EF"/>
    <w:rsid w:val="00DA3A1B"/>
    <w:rsid w:val="00DA3BAF"/>
    <w:rsid w:val="00DA3F9E"/>
    <w:rsid w:val="00DA3FD0"/>
    <w:rsid w:val="00DA408E"/>
    <w:rsid w:val="00DA41D1"/>
    <w:rsid w:val="00DA42EC"/>
    <w:rsid w:val="00DA4365"/>
    <w:rsid w:val="00DA472C"/>
    <w:rsid w:val="00DA4819"/>
    <w:rsid w:val="00DA4977"/>
    <w:rsid w:val="00DA4B05"/>
    <w:rsid w:val="00DA4B6F"/>
    <w:rsid w:val="00DA4C96"/>
    <w:rsid w:val="00DA4DDC"/>
    <w:rsid w:val="00DA527D"/>
    <w:rsid w:val="00DA542B"/>
    <w:rsid w:val="00DA56AD"/>
    <w:rsid w:val="00DA56FC"/>
    <w:rsid w:val="00DA5849"/>
    <w:rsid w:val="00DA58F0"/>
    <w:rsid w:val="00DA5AE9"/>
    <w:rsid w:val="00DA5DAC"/>
    <w:rsid w:val="00DA5E40"/>
    <w:rsid w:val="00DA5F26"/>
    <w:rsid w:val="00DA5FCD"/>
    <w:rsid w:val="00DA61A5"/>
    <w:rsid w:val="00DA621E"/>
    <w:rsid w:val="00DA6322"/>
    <w:rsid w:val="00DA6548"/>
    <w:rsid w:val="00DA66FA"/>
    <w:rsid w:val="00DA6756"/>
    <w:rsid w:val="00DA6A08"/>
    <w:rsid w:val="00DA6DD8"/>
    <w:rsid w:val="00DA6EC5"/>
    <w:rsid w:val="00DA6ECE"/>
    <w:rsid w:val="00DA7039"/>
    <w:rsid w:val="00DA7527"/>
    <w:rsid w:val="00DA792A"/>
    <w:rsid w:val="00DA7D4F"/>
    <w:rsid w:val="00DB0134"/>
    <w:rsid w:val="00DB02F8"/>
    <w:rsid w:val="00DB0320"/>
    <w:rsid w:val="00DB0521"/>
    <w:rsid w:val="00DB05B9"/>
    <w:rsid w:val="00DB0611"/>
    <w:rsid w:val="00DB06CD"/>
    <w:rsid w:val="00DB07E5"/>
    <w:rsid w:val="00DB0934"/>
    <w:rsid w:val="00DB0998"/>
    <w:rsid w:val="00DB0A4C"/>
    <w:rsid w:val="00DB0C38"/>
    <w:rsid w:val="00DB0C8A"/>
    <w:rsid w:val="00DB0DD6"/>
    <w:rsid w:val="00DB1159"/>
    <w:rsid w:val="00DB11A8"/>
    <w:rsid w:val="00DB138C"/>
    <w:rsid w:val="00DB1486"/>
    <w:rsid w:val="00DB157F"/>
    <w:rsid w:val="00DB1725"/>
    <w:rsid w:val="00DB18A6"/>
    <w:rsid w:val="00DB1924"/>
    <w:rsid w:val="00DB1AA6"/>
    <w:rsid w:val="00DB1D46"/>
    <w:rsid w:val="00DB1DA5"/>
    <w:rsid w:val="00DB1DD9"/>
    <w:rsid w:val="00DB214B"/>
    <w:rsid w:val="00DB2283"/>
    <w:rsid w:val="00DB22F7"/>
    <w:rsid w:val="00DB230B"/>
    <w:rsid w:val="00DB24AA"/>
    <w:rsid w:val="00DB24E1"/>
    <w:rsid w:val="00DB26F6"/>
    <w:rsid w:val="00DB2792"/>
    <w:rsid w:val="00DB2796"/>
    <w:rsid w:val="00DB29F4"/>
    <w:rsid w:val="00DB2DC6"/>
    <w:rsid w:val="00DB2F04"/>
    <w:rsid w:val="00DB2F43"/>
    <w:rsid w:val="00DB2FDB"/>
    <w:rsid w:val="00DB3124"/>
    <w:rsid w:val="00DB32F7"/>
    <w:rsid w:val="00DB3533"/>
    <w:rsid w:val="00DB36B1"/>
    <w:rsid w:val="00DB3892"/>
    <w:rsid w:val="00DB39B1"/>
    <w:rsid w:val="00DB3A0D"/>
    <w:rsid w:val="00DB3B01"/>
    <w:rsid w:val="00DB3CA0"/>
    <w:rsid w:val="00DB4183"/>
    <w:rsid w:val="00DB42D1"/>
    <w:rsid w:val="00DB43D5"/>
    <w:rsid w:val="00DB44EF"/>
    <w:rsid w:val="00DB4864"/>
    <w:rsid w:val="00DB4969"/>
    <w:rsid w:val="00DB4B0C"/>
    <w:rsid w:val="00DB4B40"/>
    <w:rsid w:val="00DB4E1E"/>
    <w:rsid w:val="00DB4E8B"/>
    <w:rsid w:val="00DB4F9A"/>
    <w:rsid w:val="00DB5111"/>
    <w:rsid w:val="00DB51EB"/>
    <w:rsid w:val="00DB5267"/>
    <w:rsid w:val="00DB5404"/>
    <w:rsid w:val="00DB5625"/>
    <w:rsid w:val="00DB572D"/>
    <w:rsid w:val="00DB5868"/>
    <w:rsid w:val="00DB5874"/>
    <w:rsid w:val="00DB5ADD"/>
    <w:rsid w:val="00DB5C4F"/>
    <w:rsid w:val="00DB5CCE"/>
    <w:rsid w:val="00DB5D7B"/>
    <w:rsid w:val="00DB5DB7"/>
    <w:rsid w:val="00DB5DC4"/>
    <w:rsid w:val="00DB5DCB"/>
    <w:rsid w:val="00DB5E8D"/>
    <w:rsid w:val="00DB5F2F"/>
    <w:rsid w:val="00DB5F50"/>
    <w:rsid w:val="00DB60C4"/>
    <w:rsid w:val="00DB611A"/>
    <w:rsid w:val="00DB6196"/>
    <w:rsid w:val="00DB61F1"/>
    <w:rsid w:val="00DB652B"/>
    <w:rsid w:val="00DB6549"/>
    <w:rsid w:val="00DB65B6"/>
    <w:rsid w:val="00DB6746"/>
    <w:rsid w:val="00DB690E"/>
    <w:rsid w:val="00DB6A8E"/>
    <w:rsid w:val="00DB6CE1"/>
    <w:rsid w:val="00DB6CFB"/>
    <w:rsid w:val="00DB6DB6"/>
    <w:rsid w:val="00DB70DD"/>
    <w:rsid w:val="00DB7253"/>
    <w:rsid w:val="00DB73F1"/>
    <w:rsid w:val="00DB7417"/>
    <w:rsid w:val="00DB7438"/>
    <w:rsid w:val="00DB7510"/>
    <w:rsid w:val="00DB754C"/>
    <w:rsid w:val="00DB7563"/>
    <w:rsid w:val="00DB77C3"/>
    <w:rsid w:val="00DB7BA0"/>
    <w:rsid w:val="00DB7DFA"/>
    <w:rsid w:val="00DC005C"/>
    <w:rsid w:val="00DC01C5"/>
    <w:rsid w:val="00DC05F0"/>
    <w:rsid w:val="00DC093C"/>
    <w:rsid w:val="00DC0AC6"/>
    <w:rsid w:val="00DC0D62"/>
    <w:rsid w:val="00DC0FFE"/>
    <w:rsid w:val="00DC105E"/>
    <w:rsid w:val="00DC1244"/>
    <w:rsid w:val="00DC131A"/>
    <w:rsid w:val="00DC141F"/>
    <w:rsid w:val="00DC156D"/>
    <w:rsid w:val="00DC16D2"/>
    <w:rsid w:val="00DC1CB6"/>
    <w:rsid w:val="00DC1CDC"/>
    <w:rsid w:val="00DC1FEC"/>
    <w:rsid w:val="00DC223D"/>
    <w:rsid w:val="00DC25B6"/>
    <w:rsid w:val="00DC25C4"/>
    <w:rsid w:val="00DC27B0"/>
    <w:rsid w:val="00DC27B4"/>
    <w:rsid w:val="00DC2878"/>
    <w:rsid w:val="00DC2A6C"/>
    <w:rsid w:val="00DC2B7F"/>
    <w:rsid w:val="00DC2CCF"/>
    <w:rsid w:val="00DC2DCC"/>
    <w:rsid w:val="00DC2F36"/>
    <w:rsid w:val="00DC2FB1"/>
    <w:rsid w:val="00DC2FBD"/>
    <w:rsid w:val="00DC346E"/>
    <w:rsid w:val="00DC352D"/>
    <w:rsid w:val="00DC3682"/>
    <w:rsid w:val="00DC3798"/>
    <w:rsid w:val="00DC382A"/>
    <w:rsid w:val="00DC38C3"/>
    <w:rsid w:val="00DC3C44"/>
    <w:rsid w:val="00DC3DE3"/>
    <w:rsid w:val="00DC3E5D"/>
    <w:rsid w:val="00DC3E95"/>
    <w:rsid w:val="00DC3ED6"/>
    <w:rsid w:val="00DC3F1D"/>
    <w:rsid w:val="00DC403F"/>
    <w:rsid w:val="00DC4051"/>
    <w:rsid w:val="00DC40D6"/>
    <w:rsid w:val="00DC4262"/>
    <w:rsid w:val="00DC45A2"/>
    <w:rsid w:val="00DC45F5"/>
    <w:rsid w:val="00DC4B7E"/>
    <w:rsid w:val="00DC4C5F"/>
    <w:rsid w:val="00DC51E5"/>
    <w:rsid w:val="00DC531E"/>
    <w:rsid w:val="00DC55C1"/>
    <w:rsid w:val="00DC58C1"/>
    <w:rsid w:val="00DC5A3A"/>
    <w:rsid w:val="00DC5B45"/>
    <w:rsid w:val="00DC5DF9"/>
    <w:rsid w:val="00DC5F77"/>
    <w:rsid w:val="00DC6110"/>
    <w:rsid w:val="00DC6171"/>
    <w:rsid w:val="00DC61D5"/>
    <w:rsid w:val="00DC6316"/>
    <w:rsid w:val="00DC683E"/>
    <w:rsid w:val="00DC687E"/>
    <w:rsid w:val="00DC6B13"/>
    <w:rsid w:val="00DC6B53"/>
    <w:rsid w:val="00DC6BB0"/>
    <w:rsid w:val="00DC6BE0"/>
    <w:rsid w:val="00DC6D04"/>
    <w:rsid w:val="00DC6D13"/>
    <w:rsid w:val="00DC6FAB"/>
    <w:rsid w:val="00DC70F1"/>
    <w:rsid w:val="00DC72E7"/>
    <w:rsid w:val="00DC73BA"/>
    <w:rsid w:val="00DC754C"/>
    <w:rsid w:val="00DC77B5"/>
    <w:rsid w:val="00DC782F"/>
    <w:rsid w:val="00DC7AA2"/>
    <w:rsid w:val="00DC7C4A"/>
    <w:rsid w:val="00DC7D96"/>
    <w:rsid w:val="00DC7E76"/>
    <w:rsid w:val="00DC7F4F"/>
    <w:rsid w:val="00DD02C8"/>
    <w:rsid w:val="00DD044A"/>
    <w:rsid w:val="00DD0484"/>
    <w:rsid w:val="00DD0A4D"/>
    <w:rsid w:val="00DD0DC8"/>
    <w:rsid w:val="00DD102E"/>
    <w:rsid w:val="00DD15E6"/>
    <w:rsid w:val="00DD1626"/>
    <w:rsid w:val="00DD183F"/>
    <w:rsid w:val="00DD18C8"/>
    <w:rsid w:val="00DD1A49"/>
    <w:rsid w:val="00DD1C34"/>
    <w:rsid w:val="00DD1C56"/>
    <w:rsid w:val="00DD1CAE"/>
    <w:rsid w:val="00DD1D05"/>
    <w:rsid w:val="00DD1E72"/>
    <w:rsid w:val="00DD2144"/>
    <w:rsid w:val="00DD22B3"/>
    <w:rsid w:val="00DD2344"/>
    <w:rsid w:val="00DD23EA"/>
    <w:rsid w:val="00DD290F"/>
    <w:rsid w:val="00DD291F"/>
    <w:rsid w:val="00DD2B86"/>
    <w:rsid w:val="00DD2C0F"/>
    <w:rsid w:val="00DD2C5E"/>
    <w:rsid w:val="00DD2D9F"/>
    <w:rsid w:val="00DD30BE"/>
    <w:rsid w:val="00DD310B"/>
    <w:rsid w:val="00DD3225"/>
    <w:rsid w:val="00DD32E0"/>
    <w:rsid w:val="00DD3421"/>
    <w:rsid w:val="00DD3632"/>
    <w:rsid w:val="00DD39D6"/>
    <w:rsid w:val="00DD3E18"/>
    <w:rsid w:val="00DD3F55"/>
    <w:rsid w:val="00DD41C5"/>
    <w:rsid w:val="00DD4201"/>
    <w:rsid w:val="00DD439E"/>
    <w:rsid w:val="00DD4624"/>
    <w:rsid w:val="00DD4631"/>
    <w:rsid w:val="00DD468F"/>
    <w:rsid w:val="00DD475C"/>
    <w:rsid w:val="00DD4B09"/>
    <w:rsid w:val="00DD4F10"/>
    <w:rsid w:val="00DD4F30"/>
    <w:rsid w:val="00DD5168"/>
    <w:rsid w:val="00DD5316"/>
    <w:rsid w:val="00DD546C"/>
    <w:rsid w:val="00DD5644"/>
    <w:rsid w:val="00DD5AC3"/>
    <w:rsid w:val="00DD5BB5"/>
    <w:rsid w:val="00DD5BDF"/>
    <w:rsid w:val="00DD5D35"/>
    <w:rsid w:val="00DD5EF9"/>
    <w:rsid w:val="00DD5FB0"/>
    <w:rsid w:val="00DD6116"/>
    <w:rsid w:val="00DD619E"/>
    <w:rsid w:val="00DD6306"/>
    <w:rsid w:val="00DD63AA"/>
    <w:rsid w:val="00DD63E2"/>
    <w:rsid w:val="00DD642C"/>
    <w:rsid w:val="00DD64B1"/>
    <w:rsid w:val="00DD6712"/>
    <w:rsid w:val="00DD6A38"/>
    <w:rsid w:val="00DD6BBF"/>
    <w:rsid w:val="00DD70D7"/>
    <w:rsid w:val="00DD718E"/>
    <w:rsid w:val="00DD71A7"/>
    <w:rsid w:val="00DD7209"/>
    <w:rsid w:val="00DD72E1"/>
    <w:rsid w:val="00DD73C7"/>
    <w:rsid w:val="00DD7620"/>
    <w:rsid w:val="00DD7724"/>
    <w:rsid w:val="00DD779A"/>
    <w:rsid w:val="00DD77D1"/>
    <w:rsid w:val="00DD790D"/>
    <w:rsid w:val="00DD7A94"/>
    <w:rsid w:val="00DD7BF3"/>
    <w:rsid w:val="00DD7CAE"/>
    <w:rsid w:val="00DD7E44"/>
    <w:rsid w:val="00DD7FF7"/>
    <w:rsid w:val="00DE008A"/>
    <w:rsid w:val="00DE00A9"/>
    <w:rsid w:val="00DE0110"/>
    <w:rsid w:val="00DE016D"/>
    <w:rsid w:val="00DE0176"/>
    <w:rsid w:val="00DE02E5"/>
    <w:rsid w:val="00DE0351"/>
    <w:rsid w:val="00DE03F6"/>
    <w:rsid w:val="00DE0596"/>
    <w:rsid w:val="00DE05B8"/>
    <w:rsid w:val="00DE05E6"/>
    <w:rsid w:val="00DE060C"/>
    <w:rsid w:val="00DE082F"/>
    <w:rsid w:val="00DE09E3"/>
    <w:rsid w:val="00DE0A56"/>
    <w:rsid w:val="00DE0D72"/>
    <w:rsid w:val="00DE115F"/>
    <w:rsid w:val="00DE1284"/>
    <w:rsid w:val="00DE1342"/>
    <w:rsid w:val="00DE1382"/>
    <w:rsid w:val="00DE140D"/>
    <w:rsid w:val="00DE1434"/>
    <w:rsid w:val="00DE1753"/>
    <w:rsid w:val="00DE18AE"/>
    <w:rsid w:val="00DE18D8"/>
    <w:rsid w:val="00DE19D9"/>
    <w:rsid w:val="00DE1AB5"/>
    <w:rsid w:val="00DE1C1C"/>
    <w:rsid w:val="00DE1C68"/>
    <w:rsid w:val="00DE1DD4"/>
    <w:rsid w:val="00DE1F90"/>
    <w:rsid w:val="00DE1FC6"/>
    <w:rsid w:val="00DE2025"/>
    <w:rsid w:val="00DE2039"/>
    <w:rsid w:val="00DE210F"/>
    <w:rsid w:val="00DE2189"/>
    <w:rsid w:val="00DE225D"/>
    <w:rsid w:val="00DE258D"/>
    <w:rsid w:val="00DE2599"/>
    <w:rsid w:val="00DE25F2"/>
    <w:rsid w:val="00DE268F"/>
    <w:rsid w:val="00DE2B9F"/>
    <w:rsid w:val="00DE2D94"/>
    <w:rsid w:val="00DE2EB4"/>
    <w:rsid w:val="00DE322B"/>
    <w:rsid w:val="00DE35C0"/>
    <w:rsid w:val="00DE36C6"/>
    <w:rsid w:val="00DE38A1"/>
    <w:rsid w:val="00DE3BBB"/>
    <w:rsid w:val="00DE3CCF"/>
    <w:rsid w:val="00DE3D30"/>
    <w:rsid w:val="00DE3F5D"/>
    <w:rsid w:val="00DE42A9"/>
    <w:rsid w:val="00DE4383"/>
    <w:rsid w:val="00DE4846"/>
    <w:rsid w:val="00DE48C1"/>
    <w:rsid w:val="00DE493F"/>
    <w:rsid w:val="00DE4A1F"/>
    <w:rsid w:val="00DE4EB3"/>
    <w:rsid w:val="00DE53E2"/>
    <w:rsid w:val="00DE5590"/>
    <w:rsid w:val="00DE570E"/>
    <w:rsid w:val="00DE5905"/>
    <w:rsid w:val="00DE5951"/>
    <w:rsid w:val="00DE5A1A"/>
    <w:rsid w:val="00DE5C7D"/>
    <w:rsid w:val="00DE5CF9"/>
    <w:rsid w:val="00DE5D95"/>
    <w:rsid w:val="00DE5E92"/>
    <w:rsid w:val="00DE5FCE"/>
    <w:rsid w:val="00DE6157"/>
    <w:rsid w:val="00DE64AD"/>
    <w:rsid w:val="00DE6875"/>
    <w:rsid w:val="00DE68DE"/>
    <w:rsid w:val="00DE6910"/>
    <w:rsid w:val="00DE6969"/>
    <w:rsid w:val="00DE6AA2"/>
    <w:rsid w:val="00DE6CE5"/>
    <w:rsid w:val="00DE6E31"/>
    <w:rsid w:val="00DE6EFF"/>
    <w:rsid w:val="00DE6FA6"/>
    <w:rsid w:val="00DE701C"/>
    <w:rsid w:val="00DE7138"/>
    <w:rsid w:val="00DE714B"/>
    <w:rsid w:val="00DE726B"/>
    <w:rsid w:val="00DE741F"/>
    <w:rsid w:val="00DE74B6"/>
    <w:rsid w:val="00DE7543"/>
    <w:rsid w:val="00DE75A0"/>
    <w:rsid w:val="00DE7769"/>
    <w:rsid w:val="00DE7789"/>
    <w:rsid w:val="00DE778C"/>
    <w:rsid w:val="00DE77C3"/>
    <w:rsid w:val="00DE7917"/>
    <w:rsid w:val="00DE7A10"/>
    <w:rsid w:val="00DE7BD3"/>
    <w:rsid w:val="00DE7CB5"/>
    <w:rsid w:val="00DE7DB3"/>
    <w:rsid w:val="00DF00B5"/>
    <w:rsid w:val="00DF02DE"/>
    <w:rsid w:val="00DF0476"/>
    <w:rsid w:val="00DF053D"/>
    <w:rsid w:val="00DF05B3"/>
    <w:rsid w:val="00DF072D"/>
    <w:rsid w:val="00DF082F"/>
    <w:rsid w:val="00DF08AC"/>
    <w:rsid w:val="00DF0BF6"/>
    <w:rsid w:val="00DF0C2B"/>
    <w:rsid w:val="00DF0D2B"/>
    <w:rsid w:val="00DF0FD1"/>
    <w:rsid w:val="00DF15E5"/>
    <w:rsid w:val="00DF171E"/>
    <w:rsid w:val="00DF18D0"/>
    <w:rsid w:val="00DF19B8"/>
    <w:rsid w:val="00DF1E13"/>
    <w:rsid w:val="00DF1ECA"/>
    <w:rsid w:val="00DF2186"/>
    <w:rsid w:val="00DF2365"/>
    <w:rsid w:val="00DF2608"/>
    <w:rsid w:val="00DF2687"/>
    <w:rsid w:val="00DF2C09"/>
    <w:rsid w:val="00DF2F13"/>
    <w:rsid w:val="00DF305F"/>
    <w:rsid w:val="00DF30E1"/>
    <w:rsid w:val="00DF3396"/>
    <w:rsid w:val="00DF3466"/>
    <w:rsid w:val="00DF355A"/>
    <w:rsid w:val="00DF37BE"/>
    <w:rsid w:val="00DF3DA4"/>
    <w:rsid w:val="00DF3E6E"/>
    <w:rsid w:val="00DF3FBB"/>
    <w:rsid w:val="00DF4019"/>
    <w:rsid w:val="00DF407D"/>
    <w:rsid w:val="00DF4285"/>
    <w:rsid w:val="00DF4513"/>
    <w:rsid w:val="00DF456E"/>
    <w:rsid w:val="00DF48CA"/>
    <w:rsid w:val="00DF49DC"/>
    <w:rsid w:val="00DF4A1A"/>
    <w:rsid w:val="00DF4B3A"/>
    <w:rsid w:val="00DF4C45"/>
    <w:rsid w:val="00DF4FEA"/>
    <w:rsid w:val="00DF5606"/>
    <w:rsid w:val="00DF561F"/>
    <w:rsid w:val="00DF56E8"/>
    <w:rsid w:val="00DF57E5"/>
    <w:rsid w:val="00DF5920"/>
    <w:rsid w:val="00DF5AC8"/>
    <w:rsid w:val="00DF5ADA"/>
    <w:rsid w:val="00DF6187"/>
    <w:rsid w:val="00DF62F9"/>
    <w:rsid w:val="00DF6477"/>
    <w:rsid w:val="00DF64B0"/>
    <w:rsid w:val="00DF6626"/>
    <w:rsid w:val="00DF668D"/>
    <w:rsid w:val="00DF66C8"/>
    <w:rsid w:val="00DF6723"/>
    <w:rsid w:val="00DF6740"/>
    <w:rsid w:val="00DF6747"/>
    <w:rsid w:val="00DF67FB"/>
    <w:rsid w:val="00DF6825"/>
    <w:rsid w:val="00DF69CE"/>
    <w:rsid w:val="00DF6A44"/>
    <w:rsid w:val="00DF6A4D"/>
    <w:rsid w:val="00DF6CC0"/>
    <w:rsid w:val="00DF701F"/>
    <w:rsid w:val="00DF7065"/>
    <w:rsid w:val="00DF70D0"/>
    <w:rsid w:val="00DF7714"/>
    <w:rsid w:val="00DF78A5"/>
    <w:rsid w:val="00DF78A7"/>
    <w:rsid w:val="00DF7A25"/>
    <w:rsid w:val="00DF7ABE"/>
    <w:rsid w:val="00DF7BBB"/>
    <w:rsid w:val="00DF7D49"/>
    <w:rsid w:val="00DF7E2E"/>
    <w:rsid w:val="00E000D0"/>
    <w:rsid w:val="00E001D1"/>
    <w:rsid w:val="00E009AA"/>
    <w:rsid w:val="00E00A63"/>
    <w:rsid w:val="00E00AA8"/>
    <w:rsid w:val="00E00AF3"/>
    <w:rsid w:val="00E00B63"/>
    <w:rsid w:val="00E013E4"/>
    <w:rsid w:val="00E01593"/>
    <w:rsid w:val="00E01D07"/>
    <w:rsid w:val="00E02155"/>
    <w:rsid w:val="00E021D8"/>
    <w:rsid w:val="00E02359"/>
    <w:rsid w:val="00E02738"/>
    <w:rsid w:val="00E028C4"/>
    <w:rsid w:val="00E033CE"/>
    <w:rsid w:val="00E035F1"/>
    <w:rsid w:val="00E03922"/>
    <w:rsid w:val="00E03A8D"/>
    <w:rsid w:val="00E03BE4"/>
    <w:rsid w:val="00E03E3C"/>
    <w:rsid w:val="00E03E7A"/>
    <w:rsid w:val="00E0411A"/>
    <w:rsid w:val="00E04356"/>
    <w:rsid w:val="00E04583"/>
    <w:rsid w:val="00E046F0"/>
    <w:rsid w:val="00E04733"/>
    <w:rsid w:val="00E047A4"/>
    <w:rsid w:val="00E04891"/>
    <w:rsid w:val="00E04A60"/>
    <w:rsid w:val="00E04A73"/>
    <w:rsid w:val="00E04ADD"/>
    <w:rsid w:val="00E04BDB"/>
    <w:rsid w:val="00E04CB8"/>
    <w:rsid w:val="00E04FF9"/>
    <w:rsid w:val="00E051BF"/>
    <w:rsid w:val="00E051D4"/>
    <w:rsid w:val="00E051F1"/>
    <w:rsid w:val="00E054BB"/>
    <w:rsid w:val="00E05695"/>
    <w:rsid w:val="00E05760"/>
    <w:rsid w:val="00E05890"/>
    <w:rsid w:val="00E058DC"/>
    <w:rsid w:val="00E059EA"/>
    <w:rsid w:val="00E05A46"/>
    <w:rsid w:val="00E05A8E"/>
    <w:rsid w:val="00E05E96"/>
    <w:rsid w:val="00E06408"/>
    <w:rsid w:val="00E064F3"/>
    <w:rsid w:val="00E06592"/>
    <w:rsid w:val="00E065DD"/>
    <w:rsid w:val="00E0667F"/>
    <w:rsid w:val="00E06847"/>
    <w:rsid w:val="00E06904"/>
    <w:rsid w:val="00E06ADD"/>
    <w:rsid w:val="00E06C2B"/>
    <w:rsid w:val="00E06C5B"/>
    <w:rsid w:val="00E06ED2"/>
    <w:rsid w:val="00E06ED9"/>
    <w:rsid w:val="00E07396"/>
    <w:rsid w:val="00E0745C"/>
    <w:rsid w:val="00E07547"/>
    <w:rsid w:val="00E075DE"/>
    <w:rsid w:val="00E0770B"/>
    <w:rsid w:val="00E07866"/>
    <w:rsid w:val="00E07875"/>
    <w:rsid w:val="00E07A6E"/>
    <w:rsid w:val="00E07DD1"/>
    <w:rsid w:val="00E1004B"/>
    <w:rsid w:val="00E1017F"/>
    <w:rsid w:val="00E102C9"/>
    <w:rsid w:val="00E107EE"/>
    <w:rsid w:val="00E1092A"/>
    <w:rsid w:val="00E10B85"/>
    <w:rsid w:val="00E10F0B"/>
    <w:rsid w:val="00E11395"/>
    <w:rsid w:val="00E1143B"/>
    <w:rsid w:val="00E11635"/>
    <w:rsid w:val="00E1178B"/>
    <w:rsid w:val="00E117BB"/>
    <w:rsid w:val="00E118C2"/>
    <w:rsid w:val="00E11ABA"/>
    <w:rsid w:val="00E11AE8"/>
    <w:rsid w:val="00E11B6F"/>
    <w:rsid w:val="00E11BC8"/>
    <w:rsid w:val="00E11E8C"/>
    <w:rsid w:val="00E11EDC"/>
    <w:rsid w:val="00E1221C"/>
    <w:rsid w:val="00E12427"/>
    <w:rsid w:val="00E1276D"/>
    <w:rsid w:val="00E12822"/>
    <w:rsid w:val="00E12A44"/>
    <w:rsid w:val="00E12B7D"/>
    <w:rsid w:val="00E12C5C"/>
    <w:rsid w:val="00E12C62"/>
    <w:rsid w:val="00E1308A"/>
    <w:rsid w:val="00E1313E"/>
    <w:rsid w:val="00E13182"/>
    <w:rsid w:val="00E13366"/>
    <w:rsid w:val="00E13608"/>
    <w:rsid w:val="00E1392F"/>
    <w:rsid w:val="00E13C16"/>
    <w:rsid w:val="00E13D79"/>
    <w:rsid w:val="00E13F0E"/>
    <w:rsid w:val="00E13FE7"/>
    <w:rsid w:val="00E140A4"/>
    <w:rsid w:val="00E14156"/>
    <w:rsid w:val="00E143C0"/>
    <w:rsid w:val="00E1443B"/>
    <w:rsid w:val="00E144E8"/>
    <w:rsid w:val="00E14566"/>
    <w:rsid w:val="00E14A56"/>
    <w:rsid w:val="00E14A68"/>
    <w:rsid w:val="00E14C4A"/>
    <w:rsid w:val="00E14F18"/>
    <w:rsid w:val="00E153FA"/>
    <w:rsid w:val="00E15436"/>
    <w:rsid w:val="00E15438"/>
    <w:rsid w:val="00E15442"/>
    <w:rsid w:val="00E154DF"/>
    <w:rsid w:val="00E155DE"/>
    <w:rsid w:val="00E15882"/>
    <w:rsid w:val="00E15B73"/>
    <w:rsid w:val="00E15BE2"/>
    <w:rsid w:val="00E15BF7"/>
    <w:rsid w:val="00E15C2E"/>
    <w:rsid w:val="00E15E6C"/>
    <w:rsid w:val="00E15E83"/>
    <w:rsid w:val="00E15F50"/>
    <w:rsid w:val="00E1616D"/>
    <w:rsid w:val="00E163E9"/>
    <w:rsid w:val="00E1641C"/>
    <w:rsid w:val="00E16660"/>
    <w:rsid w:val="00E1695A"/>
    <w:rsid w:val="00E16B1D"/>
    <w:rsid w:val="00E16DD8"/>
    <w:rsid w:val="00E16E60"/>
    <w:rsid w:val="00E16F1D"/>
    <w:rsid w:val="00E1709A"/>
    <w:rsid w:val="00E17281"/>
    <w:rsid w:val="00E17487"/>
    <w:rsid w:val="00E17627"/>
    <w:rsid w:val="00E176CD"/>
    <w:rsid w:val="00E17890"/>
    <w:rsid w:val="00E17990"/>
    <w:rsid w:val="00E17AB7"/>
    <w:rsid w:val="00E17AFE"/>
    <w:rsid w:val="00E17B6D"/>
    <w:rsid w:val="00E17C3F"/>
    <w:rsid w:val="00E17DEA"/>
    <w:rsid w:val="00E17FFA"/>
    <w:rsid w:val="00E201F7"/>
    <w:rsid w:val="00E20554"/>
    <w:rsid w:val="00E206C3"/>
    <w:rsid w:val="00E207C7"/>
    <w:rsid w:val="00E208CB"/>
    <w:rsid w:val="00E208D7"/>
    <w:rsid w:val="00E20973"/>
    <w:rsid w:val="00E20CA2"/>
    <w:rsid w:val="00E20E11"/>
    <w:rsid w:val="00E20E97"/>
    <w:rsid w:val="00E215A0"/>
    <w:rsid w:val="00E21926"/>
    <w:rsid w:val="00E21A8F"/>
    <w:rsid w:val="00E21EF1"/>
    <w:rsid w:val="00E220D4"/>
    <w:rsid w:val="00E22124"/>
    <w:rsid w:val="00E22242"/>
    <w:rsid w:val="00E22249"/>
    <w:rsid w:val="00E223A5"/>
    <w:rsid w:val="00E2249B"/>
    <w:rsid w:val="00E225A3"/>
    <w:rsid w:val="00E2299C"/>
    <w:rsid w:val="00E229F1"/>
    <w:rsid w:val="00E22A4A"/>
    <w:rsid w:val="00E22E12"/>
    <w:rsid w:val="00E2325A"/>
    <w:rsid w:val="00E2338E"/>
    <w:rsid w:val="00E23474"/>
    <w:rsid w:val="00E23551"/>
    <w:rsid w:val="00E23558"/>
    <w:rsid w:val="00E23728"/>
    <w:rsid w:val="00E23738"/>
    <w:rsid w:val="00E237DC"/>
    <w:rsid w:val="00E2387A"/>
    <w:rsid w:val="00E239A0"/>
    <w:rsid w:val="00E23A50"/>
    <w:rsid w:val="00E23A8F"/>
    <w:rsid w:val="00E23B17"/>
    <w:rsid w:val="00E23D07"/>
    <w:rsid w:val="00E23E74"/>
    <w:rsid w:val="00E24040"/>
    <w:rsid w:val="00E24114"/>
    <w:rsid w:val="00E2425B"/>
    <w:rsid w:val="00E24438"/>
    <w:rsid w:val="00E2443F"/>
    <w:rsid w:val="00E2449B"/>
    <w:rsid w:val="00E24B9C"/>
    <w:rsid w:val="00E24D02"/>
    <w:rsid w:val="00E24D82"/>
    <w:rsid w:val="00E25131"/>
    <w:rsid w:val="00E25542"/>
    <w:rsid w:val="00E25554"/>
    <w:rsid w:val="00E25707"/>
    <w:rsid w:val="00E2583E"/>
    <w:rsid w:val="00E25AEE"/>
    <w:rsid w:val="00E25C28"/>
    <w:rsid w:val="00E25CA6"/>
    <w:rsid w:val="00E25CAB"/>
    <w:rsid w:val="00E25E55"/>
    <w:rsid w:val="00E26088"/>
    <w:rsid w:val="00E264D2"/>
    <w:rsid w:val="00E2661D"/>
    <w:rsid w:val="00E26621"/>
    <w:rsid w:val="00E26784"/>
    <w:rsid w:val="00E26CE8"/>
    <w:rsid w:val="00E26D66"/>
    <w:rsid w:val="00E26D9C"/>
    <w:rsid w:val="00E2700C"/>
    <w:rsid w:val="00E27155"/>
    <w:rsid w:val="00E272F7"/>
    <w:rsid w:val="00E27359"/>
    <w:rsid w:val="00E27464"/>
    <w:rsid w:val="00E27653"/>
    <w:rsid w:val="00E27971"/>
    <w:rsid w:val="00E27AD5"/>
    <w:rsid w:val="00E27B40"/>
    <w:rsid w:val="00E27D57"/>
    <w:rsid w:val="00E27E0B"/>
    <w:rsid w:val="00E301DB"/>
    <w:rsid w:val="00E303C7"/>
    <w:rsid w:val="00E3048D"/>
    <w:rsid w:val="00E30519"/>
    <w:rsid w:val="00E3051E"/>
    <w:rsid w:val="00E305D9"/>
    <w:rsid w:val="00E30690"/>
    <w:rsid w:val="00E3088C"/>
    <w:rsid w:val="00E308C8"/>
    <w:rsid w:val="00E30958"/>
    <w:rsid w:val="00E30AA1"/>
    <w:rsid w:val="00E30D56"/>
    <w:rsid w:val="00E30E15"/>
    <w:rsid w:val="00E310B2"/>
    <w:rsid w:val="00E31359"/>
    <w:rsid w:val="00E31412"/>
    <w:rsid w:val="00E3172E"/>
    <w:rsid w:val="00E3180D"/>
    <w:rsid w:val="00E31897"/>
    <w:rsid w:val="00E31C71"/>
    <w:rsid w:val="00E31CC3"/>
    <w:rsid w:val="00E31D81"/>
    <w:rsid w:val="00E31DA3"/>
    <w:rsid w:val="00E31E83"/>
    <w:rsid w:val="00E31E8B"/>
    <w:rsid w:val="00E31E8E"/>
    <w:rsid w:val="00E32011"/>
    <w:rsid w:val="00E32041"/>
    <w:rsid w:val="00E320CD"/>
    <w:rsid w:val="00E321FF"/>
    <w:rsid w:val="00E32220"/>
    <w:rsid w:val="00E3238C"/>
    <w:rsid w:val="00E325C9"/>
    <w:rsid w:val="00E326C2"/>
    <w:rsid w:val="00E327FF"/>
    <w:rsid w:val="00E328E4"/>
    <w:rsid w:val="00E32979"/>
    <w:rsid w:val="00E32B92"/>
    <w:rsid w:val="00E32C27"/>
    <w:rsid w:val="00E32CE2"/>
    <w:rsid w:val="00E32D1A"/>
    <w:rsid w:val="00E32FE2"/>
    <w:rsid w:val="00E330DF"/>
    <w:rsid w:val="00E33263"/>
    <w:rsid w:val="00E334CF"/>
    <w:rsid w:val="00E33796"/>
    <w:rsid w:val="00E33A6B"/>
    <w:rsid w:val="00E33A9B"/>
    <w:rsid w:val="00E33CF9"/>
    <w:rsid w:val="00E34066"/>
    <w:rsid w:val="00E3424C"/>
    <w:rsid w:val="00E3466F"/>
    <w:rsid w:val="00E34793"/>
    <w:rsid w:val="00E348E1"/>
    <w:rsid w:val="00E34A2D"/>
    <w:rsid w:val="00E34B8D"/>
    <w:rsid w:val="00E34CD9"/>
    <w:rsid w:val="00E34D2C"/>
    <w:rsid w:val="00E34E7F"/>
    <w:rsid w:val="00E3500F"/>
    <w:rsid w:val="00E35149"/>
    <w:rsid w:val="00E352CC"/>
    <w:rsid w:val="00E35355"/>
    <w:rsid w:val="00E3564E"/>
    <w:rsid w:val="00E35665"/>
    <w:rsid w:val="00E357EA"/>
    <w:rsid w:val="00E35ACE"/>
    <w:rsid w:val="00E35ADE"/>
    <w:rsid w:val="00E35BCF"/>
    <w:rsid w:val="00E35CF9"/>
    <w:rsid w:val="00E360BF"/>
    <w:rsid w:val="00E3621A"/>
    <w:rsid w:val="00E362F1"/>
    <w:rsid w:val="00E36403"/>
    <w:rsid w:val="00E36458"/>
    <w:rsid w:val="00E36791"/>
    <w:rsid w:val="00E367F0"/>
    <w:rsid w:val="00E368F2"/>
    <w:rsid w:val="00E36B26"/>
    <w:rsid w:val="00E36B74"/>
    <w:rsid w:val="00E36BD1"/>
    <w:rsid w:val="00E36C85"/>
    <w:rsid w:val="00E36D11"/>
    <w:rsid w:val="00E36D3B"/>
    <w:rsid w:val="00E36D94"/>
    <w:rsid w:val="00E3717D"/>
    <w:rsid w:val="00E372AE"/>
    <w:rsid w:val="00E373A9"/>
    <w:rsid w:val="00E37433"/>
    <w:rsid w:val="00E3744A"/>
    <w:rsid w:val="00E374EB"/>
    <w:rsid w:val="00E376E0"/>
    <w:rsid w:val="00E377E4"/>
    <w:rsid w:val="00E37CC8"/>
    <w:rsid w:val="00E37D63"/>
    <w:rsid w:val="00E37F11"/>
    <w:rsid w:val="00E37F7C"/>
    <w:rsid w:val="00E37F9E"/>
    <w:rsid w:val="00E37FBD"/>
    <w:rsid w:val="00E4002E"/>
    <w:rsid w:val="00E40081"/>
    <w:rsid w:val="00E4029E"/>
    <w:rsid w:val="00E4039A"/>
    <w:rsid w:val="00E40555"/>
    <w:rsid w:val="00E40641"/>
    <w:rsid w:val="00E4078E"/>
    <w:rsid w:val="00E40AA8"/>
    <w:rsid w:val="00E40B9F"/>
    <w:rsid w:val="00E40C1B"/>
    <w:rsid w:val="00E40C99"/>
    <w:rsid w:val="00E40CC3"/>
    <w:rsid w:val="00E40CC5"/>
    <w:rsid w:val="00E40FCB"/>
    <w:rsid w:val="00E41052"/>
    <w:rsid w:val="00E410AF"/>
    <w:rsid w:val="00E411B1"/>
    <w:rsid w:val="00E41556"/>
    <w:rsid w:val="00E416C6"/>
    <w:rsid w:val="00E418D4"/>
    <w:rsid w:val="00E41923"/>
    <w:rsid w:val="00E4193D"/>
    <w:rsid w:val="00E41983"/>
    <w:rsid w:val="00E419F3"/>
    <w:rsid w:val="00E41A9A"/>
    <w:rsid w:val="00E41B36"/>
    <w:rsid w:val="00E41BAC"/>
    <w:rsid w:val="00E41D14"/>
    <w:rsid w:val="00E41D1D"/>
    <w:rsid w:val="00E41EB5"/>
    <w:rsid w:val="00E41FED"/>
    <w:rsid w:val="00E4206A"/>
    <w:rsid w:val="00E42127"/>
    <w:rsid w:val="00E4215D"/>
    <w:rsid w:val="00E4217B"/>
    <w:rsid w:val="00E421FA"/>
    <w:rsid w:val="00E42265"/>
    <w:rsid w:val="00E4238C"/>
    <w:rsid w:val="00E4240C"/>
    <w:rsid w:val="00E424ED"/>
    <w:rsid w:val="00E42581"/>
    <w:rsid w:val="00E42591"/>
    <w:rsid w:val="00E4276C"/>
    <w:rsid w:val="00E42978"/>
    <w:rsid w:val="00E42D26"/>
    <w:rsid w:val="00E42E08"/>
    <w:rsid w:val="00E42E39"/>
    <w:rsid w:val="00E4316A"/>
    <w:rsid w:val="00E431A1"/>
    <w:rsid w:val="00E43403"/>
    <w:rsid w:val="00E4340A"/>
    <w:rsid w:val="00E436A3"/>
    <w:rsid w:val="00E43BC5"/>
    <w:rsid w:val="00E43D21"/>
    <w:rsid w:val="00E43E31"/>
    <w:rsid w:val="00E43E4C"/>
    <w:rsid w:val="00E43F7F"/>
    <w:rsid w:val="00E43FBC"/>
    <w:rsid w:val="00E44102"/>
    <w:rsid w:val="00E4412A"/>
    <w:rsid w:val="00E44167"/>
    <w:rsid w:val="00E444DD"/>
    <w:rsid w:val="00E44522"/>
    <w:rsid w:val="00E445F3"/>
    <w:rsid w:val="00E44644"/>
    <w:rsid w:val="00E447B1"/>
    <w:rsid w:val="00E44A27"/>
    <w:rsid w:val="00E44AAE"/>
    <w:rsid w:val="00E44AE8"/>
    <w:rsid w:val="00E44AF9"/>
    <w:rsid w:val="00E44C21"/>
    <w:rsid w:val="00E44C26"/>
    <w:rsid w:val="00E44E8E"/>
    <w:rsid w:val="00E44ECB"/>
    <w:rsid w:val="00E44FD0"/>
    <w:rsid w:val="00E451E3"/>
    <w:rsid w:val="00E45463"/>
    <w:rsid w:val="00E4564F"/>
    <w:rsid w:val="00E456AC"/>
    <w:rsid w:val="00E456F4"/>
    <w:rsid w:val="00E459DA"/>
    <w:rsid w:val="00E45A38"/>
    <w:rsid w:val="00E45BCD"/>
    <w:rsid w:val="00E45BE0"/>
    <w:rsid w:val="00E45EDA"/>
    <w:rsid w:val="00E45F53"/>
    <w:rsid w:val="00E45FA9"/>
    <w:rsid w:val="00E460CF"/>
    <w:rsid w:val="00E461B0"/>
    <w:rsid w:val="00E462CF"/>
    <w:rsid w:val="00E46312"/>
    <w:rsid w:val="00E464E9"/>
    <w:rsid w:val="00E46635"/>
    <w:rsid w:val="00E46A14"/>
    <w:rsid w:val="00E46ACE"/>
    <w:rsid w:val="00E46D30"/>
    <w:rsid w:val="00E46DC9"/>
    <w:rsid w:val="00E46E82"/>
    <w:rsid w:val="00E46EC7"/>
    <w:rsid w:val="00E46ECF"/>
    <w:rsid w:val="00E47036"/>
    <w:rsid w:val="00E47213"/>
    <w:rsid w:val="00E4765D"/>
    <w:rsid w:val="00E4781D"/>
    <w:rsid w:val="00E47829"/>
    <w:rsid w:val="00E47833"/>
    <w:rsid w:val="00E47922"/>
    <w:rsid w:val="00E47987"/>
    <w:rsid w:val="00E47F32"/>
    <w:rsid w:val="00E47F78"/>
    <w:rsid w:val="00E47F8C"/>
    <w:rsid w:val="00E50119"/>
    <w:rsid w:val="00E5034C"/>
    <w:rsid w:val="00E5058B"/>
    <w:rsid w:val="00E50854"/>
    <w:rsid w:val="00E50E93"/>
    <w:rsid w:val="00E51123"/>
    <w:rsid w:val="00E51182"/>
    <w:rsid w:val="00E51264"/>
    <w:rsid w:val="00E51330"/>
    <w:rsid w:val="00E514D5"/>
    <w:rsid w:val="00E516BF"/>
    <w:rsid w:val="00E517C8"/>
    <w:rsid w:val="00E517CD"/>
    <w:rsid w:val="00E51833"/>
    <w:rsid w:val="00E51B5C"/>
    <w:rsid w:val="00E51B8A"/>
    <w:rsid w:val="00E51BB6"/>
    <w:rsid w:val="00E51CD3"/>
    <w:rsid w:val="00E51D8F"/>
    <w:rsid w:val="00E528F6"/>
    <w:rsid w:val="00E52978"/>
    <w:rsid w:val="00E5298E"/>
    <w:rsid w:val="00E52E84"/>
    <w:rsid w:val="00E53178"/>
    <w:rsid w:val="00E5328E"/>
    <w:rsid w:val="00E5342C"/>
    <w:rsid w:val="00E5394D"/>
    <w:rsid w:val="00E53D2C"/>
    <w:rsid w:val="00E53DA8"/>
    <w:rsid w:val="00E53F3A"/>
    <w:rsid w:val="00E540D2"/>
    <w:rsid w:val="00E54129"/>
    <w:rsid w:val="00E543DE"/>
    <w:rsid w:val="00E5463C"/>
    <w:rsid w:val="00E546A7"/>
    <w:rsid w:val="00E54E1A"/>
    <w:rsid w:val="00E54E58"/>
    <w:rsid w:val="00E54E86"/>
    <w:rsid w:val="00E54FEC"/>
    <w:rsid w:val="00E5507E"/>
    <w:rsid w:val="00E5521C"/>
    <w:rsid w:val="00E555AF"/>
    <w:rsid w:val="00E55782"/>
    <w:rsid w:val="00E557D6"/>
    <w:rsid w:val="00E55851"/>
    <w:rsid w:val="00E55D63"/>
    <w:rsid w:val="00E55E5F"/>
    <w:rsid w:val="00E55EB3"/>
    <w:rsid w:val="00E55F7B"/>
    <w:rsid w:val="00E56192"/>
    <w:rsid w:val="00E5630E"/>
    <w:rsid w:val="00E566B9"/>
    <w:rsid w:val="00E567DE"/>
    <w:rsid w:val="00E569E0"/>
    <w:rsid w:val="00E56A68"/>
    <w:rsid w:val="00E56B77"/>
    <w:rsid w:val="00E56C9E"/>
    <w:rsid w:val="00E56D88"/>
    <w:rsid w:val="00E56F1E"/>
    <w:rsid w:val="00E56F22"/>
    <w:rsid w:val="00E57067"/>
    <w:rsid w:val="00E570A0"/>
    <w:rsid w:val="00E579F5"/>
    <w:rsid w:val="00E57AFE"/>
    <w:rsid w:val="00E57D5F"/>
    <w:rsid w:val="00E57DB1"/>
    <w:rsid w:val="00E57DEF"/>
    <w:rsid w:val="00E57E45"/>
    <w:rsid w:val="00E57ED2"/>
    <w:rsid w:val="00E60077"/>
    <w:rsid w:val="00E602D5"/>
    <w:rsid w:val="00E603D3"/>
    <w:rsid w:val="00E60421"/>
    <w:rsid w:val="00E605C3"/>
    <w:rsid w:val="00E6063D"/>
    <w:rsid w:val="00E606CF"/>
    <w:rsid w:val="00E60747"/>
    <w:rsid w:val="00E6085D"/>
    <w:rsid w:val="00E60989"/>
    <w:rsid w:val="00E60A28"/>
    <w:rsid w:val="00E60AAF"/>
    <w:rsid w:val="00E60AB0"/>
    <w:rsid w:val="00E60BC2"/>
    <w:rsid w:val="00E60C54"/>
    <w:rsid w:val="00E60D0D"/>
    <w:rsid w:val="00E60DF8"/>
    <w:rsid w:val="00E61137"/>
    <w:rsid w:val="00E61160"/>
    <w:rsid w:val="00E61169"/>
    <w:rsid w:val="00E6127C"/>
    <w:rsid w:val="00E61351"/>
    <w:rsid w:val="00E613C0"/>
    <w:rsid w:val="00E61577"/>
    <w:rsid w:val="00E615D3"/>
    <w:rsid w:val="00E615E3"/>
    <w:rsid w:val="00E618FD"/>
    <w:rsid w:val="00E6191F"/>
    <w:rsid w:val="00E61A62"/>
    <w:rsid w:val="00E61C06"/>
    <w:rsid w:val="00E61CA1"/>
    <w:rsid w:val="00E61DD8"/>
    <w:rsid w:val="00E61E3C"/>
    <w:rsid w:val="00E61EAF"/>
    <w:rsid w:val="00E620C6"/>
    <w:rsid w:val="00E622A1"/>
    <w:rsid w:val="00E622E2"/>
    <w:rsid w:val="00E62342"/>
    <w:rsid w:val="00E62486"/>
    <w:rsid w:val="00E6263B"/>
    <w:rsid w:val="00E62997"/>
    <w:rsid w:val="00E629FA"/>
    <w:rsid w:val="00E62D2C"/>
    <w:rsid w:val="00E630F3"/>
    <w:rsid w:val="00E631B4"/>
    <w:rsid w:val="00E631FB"/>
    <w:rsid w:val="00E63234"/>
    <w:rsid w:val="00E63238"/>
    <w:rsid w:val="00E63304"/>
    <w:rsid w:val="00E63376"/>
    <w:rsid w:val="00E63461"/>
    <w:rsid w:val="00E6353B"/>
    <w:rsid w:val="00E637AD"/>
    <w:rsid w:val="00E6383D"/>
    <w:rsid w:val="00E63A57"/>
    <w:rsid w:val="00E63B26"/>
    <w:rsid w:val="00E63B27"/>
    <w:rsid w:val="00E63DF6"/>
    <w:rsid w:val="00E63E0B"/>
    <w:rsid w:val="00E63E4C"/>
    <w:rsid w:val="00E643A6"/>
    <w:rsid w:val="00E643FA"/>
    <w:rsid w:val="00E6454A"/>
    <w:rsid w:val="00E647C6"/>
    <w:rsid w:val="00E64AB1"/>
    <w:rsid w:val="00E64C30"/>
    <w:rsid w:val="00E64CD4"/>
    <w:rsid w:val="00E64F4E"/>
    <w:rsid w:val="00E64F7D"/>
    <w:rsid w:val="00E650C7"/>
    <w:rsid w:val="00E6523F"/>
    <w:rsid w:val="00E65345"/>
    <w:rsid w:val="00E653ED"/>
    <w:rsid w:val="00E65795"/>
    <w:rsid w:val="00E65A4F"/>
    <w:rsid w:val="00E65D90"/>
    <w:rsid w:val="00E65EE9"/>
    <w:rsid w:val="00E65FC3"/>
    <w:rsid w:val="00E661F3"/>
    <w:rsid w:val="00E662A8"/>
    <w:rsid w:val="00E66352"/>
    <w:rsid w:val="00E6643F"/>
    <w:rsid w:val="00E66447"/>
    <w:rsid w:val="00E6666E"/>
    <w:rsid w:val="00E6672A"/>
    <w:rsid w:val="00E6682E"/>
    <w:rsid w:val="00E66955"/>
    <w:rsid w:val="00E6699C"/>
    <w:rsid w:val="00E669EF"/>
    <w:rsid w:val="00E66A0B"/>
    <w:rsid w:val="00E66A44"/>
    <w:rsid w:val="00E66A95"/>
    <w:rsid w:val="00E66ABD"/>
    <w:rsid w:val="00E66DC9"/>
    <w:rsid w:val="00E66EA1"/>
    <w:rsid w:val="00E67088"/>
    <w:rsid w:val="00E670C6"/>
    <w:rsid w:val="00E67170"/>
    <w:rsid w:val="00E672E7"/>
    <w:rsid w:val="00E67591"/>
    <w:rsid w:val="00E676C0"/>
    <w:rsid w:val="00E676DB"/>
    <w:rsid w:val="00E6779C"/>
    <w:rsid w:val="00E677E1"/>
    <w:rsid w:val="00E67CA5"/>
    <w:rsid w:val="00E70042"/>
    <w:rsid w:val="00E700AF"/>
    <w:rsid w:val="00E701CA"/>
    <w:rsid w:val="00E703B7"/>
    <w:rsid w:val="00E70490"/>
    <w:rsid w:val="00E7062F"/>
    <w:rsid w:val="00E70851"/>
    <w:rsid w:val="00E70960"/>
    <w:rsid w:val="00E70D80"/>
    <w:rsid w:val="00E70F50"/>
    <w:rsid w:val="00E71013"/>
    <w:rsid w:val="00E71177"/>
    <w:rsid w:val="00E711F1"/>
    <w:rsid w:val="00E711F9"/>
    <w:rsid w:val="00E7129F"/>
    <w:rsid w:val="00E71307"/>
    <w:rsid w:val="00E713ED"/>
    <w:rsid w:val="00E71400"/>
    <w:rsid w:val="00E7140B"/>
    <w:rsid w:val="00E715A9"/>
    <w:rsid w:val="00E715FE"/>
    <w:rsid w:val="00E71640"/>
    <w:rsid w:val="00E7177A"/>
    <w:rsid w:val="00E71A63"/>
    <w:rsid w:val="00E71D1E"/>
    <w:rsid w:val="00E71E26"/>
    <w:rsid w:val="00E722B9"/>
    <w:rsid w:val="00E72420"/>
    <w:rsid w:val="00E728CC"/>
    <w:rsid w:val="00E72E38"/>
    <w:rsid w:val="00E7307B"/>
    <w:rsid w:val="00E73159"/>
    <w:rsid w:val="00E7321F"/>
    <w:rsid w:val="00E7326B"/>
    <w:rsid w:val="00E7338D"/>
    <w:rsid w:val="00E73476"/>
    <w:rsid w:val="00E73498"/>
    <w:rsid w:val="00E73716"/>
    <w:rsid w:val="00E7373A"/>
    <w:rsid w:val="00E7385C"/>
    <w:rsid w:val="00E73885"/>
    <w:rsid w:val="00E73967"/>
    <w:rsid w:val="00E73995"/>
    <w:rsid w:val="00E74233"/>
    <w:rsid w:val="00E742F7"/>
    <w:rsid w:val="00E74413"/>
    <w:rsid w:val="00E744B1"/>
    <w:rsid w:val="00E74684"/>
    <w:rsid w:val="00E746CF"/>
    <w:rsid w:val="00E7479C"/>
    <w:rsid w:val="00E748B6"/>
    <w:rsid w:val="00E74CFC"/>
    <w:rsid w:val="00E74E23"/>
    <w:rsid w:val="00E74E72"/>
    <w:rsid w:val="00E75234"/>
    <w:rsid w:val="00E752D9"/>
    <w:rsid w:val="00E756EF"/>
    <w:rsid w:val="00E757E8"/>
    <w:rsid w:val="00E75888"/>
    <w:rsid w:val="00E75897"/>
    <w:rsid w:val="00E758F7"/>
    <w:rsid w:val="00E75DA9"/>
    <w:rsid w:val="00E760A2"/>
    <w:rsid w:val="00E760F8"/>
    <w:rsid w:val="00E7611C"/>
    <w:rsid w:val="00E761E5"/>
    <w:rsid w:val="00E761FB"/>
    <w:rsid w:val="00E7634B"/>
    <w:rsid w:val="00E7666D"/>
    <w:rsid w:val="00E7667E"/>
    <w:rsid w:val="00E766D6"/>
    <w:rsid w:val="00E76771"/>
    <w:rsid w:val="00E76866"/>
    <w:rsid w:val="00E768FE"/>
    <w:rsid w:val="00E76AC3"/>
    <w:rsid w:val="00E76B0D"/>
    <w:rsid w:val="00E76BCC"/>
    <w:rsid w:val="00E76BE6"/>
    <w:rsid w:val="00E76C7A"/>
    <w:rsid w:val="00E76CFD"/>
    <w:rsid w:val="00E76D23"/>
    <w:rsid w:val="00E76D48"/>
    <w:rsid w:val="00E77284"/>
    <w:rsid w:val="00E77523"/>
    <w:rsid w:val="00E7755F"/>
    <w:rsid w:val="00E778D5"/>
    <w:rsid w:val="00E77A5C"/>
    <w:rsid w:val="00E77DDA"/>
    <w:rsid w:val="00E80435"/>
    <w:rsid w:val="00E80947"/>
    <w:rsid w:val="00E809EF"/>
    <w:rsid w:val="00E80AA2"/>
    <w:rsid w:val="00E8126C"/>
    <w:rsid w:val="00E8152C"/>
    <w:rsid w:val="00E8158B"/>
    <w:rsid w:val="00E818D9"/>
    <w:rsid w:val="00E820E4"/>
    <w:rsid w:val="00E8228F"/>
    <w:rsid w:val="00E82586"/>
    <w:rsid w:val="00E82651"/>
    <w:rsid w:val="00E8269E"/>
    <w:rsid w:val="00E826E2"/>
    <w:rsid w:val="00E8293E"/>
    <w:rsid w:val="00E829FB"/>
    <w:rsid w:val="00E82AD6"/>
    <w:rsid w:val="00E82BF3"/>
    <w:rsid w:val="00E830A8"/>
    <w:rsid w:val="00E83375"/>
    <w:rsid w:val="00E8349A"/>
    <w:rsid w:val="00E834BF"/>
    <w:rsid w:val="00E83579"/>
    <w:rsid w:val="00E83643"/>
    <w:rsid w:val="00E83741"/>
    <w:rsid w:val="00E83803"/>
    <w:rsid w:val="00E83846"/>
    <w:rsid w:val="00E8387E"/>
    <w:rsid w:val="00E8388B"/>
    <w:rsid w:val="00E838DA"/>
    <w:rsid w:val="00E839C4"/>
    <w:rsid w:val="00E83C0E"/>
    <w:rsid w:val="00E83D75"/>
    <w:rsid w:val="00E83FB3"/>
    <w:rsid w:val="00E83FC3"/>
    <w:rsid w:val="00E840E9"/>
    <w:rsid w:val="00E84195"/>
    <w:rsid w:val="00E8424D"/>
    <w:rsid w:val="00E8435E"/>
    <w:rsid w:val="00E843B9"/>
    <w:rsid w:val="00E844C8"/>
    <w:rsid w:val="00E845A8"/>
    <w:rsid w:val="00E846C2"/>
    <w:rsid w:val="00E84897"/>
    <w:rsid w:val="00E848AC"/>
    <w:rsid w:val="00E84A29"/>
    <w:rsid w:val="00E84C02"/>
    <w:rsid w:val="00E84E08"/>
    <w:rsid w:val="00E84E28"/>
    <w:rsid w:val="00E84FAC"/>
    <w:rsid w:val="00E851F0"/>
    <w:rsid w:val="00E85757"/>
    <w:rsid w:val="00E8584F"/>
    <w:rsid w:val="00E85897"/>
    <w:rsid w:val="00E85D8C"/>
    <w:rsid w:val="00E85DB9"/>
    <w:rsid w:val="00E8636D"/>
    <w:rsid w:val="00E86502"/>
    <w:rsid w:val="00E86513"/>
    <w:rsid w:val="00E86557"/>
    <w:rsid w:val="00E8658E"/>
    <w:rsid w:val="00E86935"/>
    <w:rsid w:val="00E86A62"/>
    <w:rsid w:val="00E86BF1"/>
    <w:rsid w:val="00E86DE2"/>
    <w:rsid w:val="00E86ECD"/>
    <w:rsid w:val="00E871C5"/>
    <w:rsid w:val="00E87220"/>
    <w:rsid w:val="00E87407"/>
    <w:rsid w:val="00E8767F"/>
    <w:rsid w:val="00E878C5"/>
    <w:rsid w:val="00E878CC"/>
    <w:rsid w:val="00E87B0A"/>
    <w:rsid w:val="00E87BB7"/>
    <w:rsid w:val="00E87C0D"/>
    <w:rsid w:val="00E87D0B"/>
    <w:rsid w:val="00E87D6F"/>
    <w:rsid w:val="00E87FDF"/>
    <w:rsid w:val="00E87FE6"/>
    <w:rsid w:val="00E900A1"/>
    <w:rsid w:val="00E90322"/>
    <w:rsid w:val="00E90420"/>
    <w:rsid w:val="00E9059E"/>
    <w:rsid w:val="00E905C6"/>
    <w:rsid w:val="00E905F7"/>
    <w:rsid w:val="00E90600"/>
    <w:rsid w:val="00E90684"/>
    <w:rsid w:val="00E906D6"/>
    <w:rsid w:val="00E906DA"/>
    <w:rsid w:val="00E90D34"/>
    <w:rsid w:val="00E90D74"/>
    <w:rsid w:val="00E90E5D"/>
    <w:rsid w:val="00E90F0C"/>
    <w:rsid w:val="00E911EE"/>
    <w:rsid w:val="00E91462"/>
    <w:rsid w:val="00E9166A"/>
    <w:rsid w:val="00E916AE"/>
    <w:rsid w:val="00E91870"/>
    <w:rsid w:val="00E919EB"/>
    <w:rsid w:val="00E91A32"/>
    <w:rsid w:val="00E91B2A"/>
    <w:rsid w:val="00E91E54"/>
    <w:rsid w:val="00E91E70"/>
    <w:rsid w:val="00E91F0F"/>
    <w:rsid w:val="00E9206A"/>
    <w:rsid w:val="00E92094"/>
    <w:rsid w:val="00E92211"/>
    <w:rsid w:val="00E92449"/>
    <w:rsid w:val="00E9255C"/>
    <w:rsid w:val="00E925E1"/>
    <w:rsid w:val="00E92896"/>
    <w:rsid w:val="00E92C22"/>
    <w:rsid w:val="00E92D29"/>
    <w:rsid w:val="00E92DFF"/>
    <w:rsid w:val="00E92E0B"/>
    <w:rsid w:val="00E931B6"/>
    <w:rsid w:val="00E932BC"/>
    <w:rsid w:val="00E93314"/>
    <w:rsid w:val="00E93392"/>
    <w:rsid w:val="00E93431"/>
    <w:rsid w:val="00E9356E"/>
    <w:rsid w:val="00E9367D"/>
    <w:rsid w:val="00E936B4"/>
    <w:rsid w:val="00E93957"/>
    <w:rsid w:val="00E93C53"/>
    <w:rsid w:val="00E93E50"/>
    <w:rsid w:val="00E93FB6"/>
    <w:rsid w:val="00E94190"/>
    <w:rsid w:val="00E943ED"/>
    <w:rsid w:val="00E944AE"/>
    <w:rsid w:val="00E944CA"/>
    <w:rsid w:val="00E9465D"/>
    <w:rsid w:val="00E9480D"/>
    <w:rsid w:val="00E94B0F"/>
    <w:rsid w:val="00E94CE7"/>
    <w:rsid w:val="00E94E89"/>
    <w:rsid w:val="00E95027"/>
    <w:rsid w:val="00E9506A"/>
    <w:rsid w:val="00E95128"/>
    <w:rsid w:val="00E95243"/>
    <w:rsid w:val="00E95619"/>
    <w:rsid w:val="00E9567F"/>
    <w:rsid w:val="00E95683"/>
    <w:rsid w:val="00E95710"/>
    <w:rsid w:val="00E9577B"/>
    <w:rsid w:val="00E95842"/>
    <w:rsid w:val="00E95970"/>
    <w:rsid w:val="00E959EC"/>
    <w:rsid w:val="00E95B31"/>
    <w:rsid w:val="00E95B85"/>
    <w:rsid w:val="00E95BA5"/>
    <w:rsid w:val="00E95BD2"/>
    <w:rsid w:val="00E95D9A"/>
    <w:rsid w:val="00E95E97"/>
    <w:rsid w:val="00E95F83"/>
    <w:rsid w:val="00E96054"/>
    <w:rsid w:val="00E96312"/>
    <w:rsid w:val="00E9644F"/>
    <w:rsid w:val="00E96805"/>
    <w:rsid w:val="00E96B8B"/>
    <w:rsid w:val="00E96B99"/>
    <w:rsid w:val="00E96C16"/>
    <w:rsid w:val="00E96C1B"/>
    <w:rsid w:val="00E96C80"/>
    <w:rsid w:val="00E96C85"/>
    <w:rsid w:val="00E96CD7"/>
    <w:rsid w:val="00E96F19"/>
    <w:rsid w:val="00E9702F"/>
    <w:rsid w:val="00E9735F"/>
    <w:rsid w:val="00E974DD"/>
    <w:rsid w:val="00E97571"/>
    <w:rsid w:val="00E975B1"/>
    <w:rsid w:val="00E97CAC"/>
    <w:rsid w:val="00E97D0E"/>
    <w:rsid w:val="00E97D1A"/>
    <w:rsid w:val="00EA018F"/>
    <w:rsid w:val="00EA01C9"/>
    <w:rsid w:val="00EA02A5"/>
    <w:rsid w:val="00EA02DF"/>
    <w:rsid w:val="00EA03B3"/>
    <w:rsid w:val="00EA0400"/>
    <w:rsid w:val="00EA043B"/>
    <w:rsid w:val="00EA0565"/>
    <w:rsid w:val="00EA0716"/>
    <w:rsid w:val="00EA091B"/>
    <w:rsid w:val="00EA0957"/>
    <w:rsid w:val="00EA0968"/>
    <w:rsid w:val="00EA0C45"/>
    <w:rsid w:val="00EA0D8E"/>
    <w:rsid w:val="00EA0DF9"/>
    <w:rsid w:val="00EA0F1A"/>
    <w:rsid w:val="00EA101A"/>
    <w:rsid w:val="00EA1112"/>
    <w:rsid w:val="00EA11CE"/>
    <w:rsid w:val="00EA1359"/>
    <w:rsid w:val="00EA15AB"/>
    <w:rsid w:val="00EA163F"/>
    <w:rsid w:val="00EA171A"/>
    <w:rsid w:val="00EA17FC"/>
    <w:rsid w:val="00EA1834"/>
    <w:rsid w:val="00EA1A93"/>
    <w:rsid w:val="00EA1B74"/>
    <w:rsid w:val="00EA1D2B"/>
    <w:rsid w:val="00EA1DD3"/>
    <w:rsid w:val="00EA1FF3"/>
    <w:rsid w:val="00EA244D"/>
    <w:rsid w:val="00EA282F"/>
    <w:rsid w:val="00EA2A81"/>
    <w:rsid w:val="00EA2ECE"/>
    <w:rsid w:val="00EA2EFC"/>
    <w:rsid w:val="00EA2F52"/>
    <w:rsid w:val="00EA31DE"/>
    <w:rsid w:val="00EA3527"/>
    <w:rsid w:val="00EA357F"/>
    <w:rsid w:val="00EA3852"/>
    <w:rsid w:val="00EA3867"/>
    <w:rsid w:val="00EA387E"/>
    <w:rsid w:val="00EA398F"/>
    <w:rsid w:val="00EA39B1"/>
    <w:rsid w:val="00EA3A95"/>
    <w:rsid w:val="00EA3DCF"/>
    <w:rsid w:val="00EA3E2B"/>
    <w:rsid w:val="00EA402E"/>
    <w:rsid w:val="00EA43E5"/>
    <w:rsid w:val="00EA467B"/>
    <w:rsid w:val="00EA46B2"/>
    <w:rsid w:val="00EA471A"/>
    <w:rsid w:val="00EA4A09"/>
    <w:rsid w:val="00EA4BED"/>
    <w:rsid w:val="00EA4D81"/>
    <w:rsid w:val="00EA4E5A"/>
    <w:rsid w:val="00EA5186"/>
    <w:rsid w:val="00EA51BA"/>
    <w:rsid w:val="00EA528F"/>
    <w:rsid w:val="00EA52C5"/>
    <w:rsid w:val="00EA560B"/>
    <w:rsid w:val="00EA5728"/>
    <w:rsid w:val="00EA5A57"/>
    <w:rsid w:val="00EA5B1C"/>
    <w:rsid w:val="00EA5BAE"/>
    <w:rsid w:val="00EA5BB5"/>
    <w:rsid w:val="00EA5C54"/>
    <w:rsid w:val="00EA5D73"/>
    <w:rsid w:val="00EA5DC4"/>
    <w:rsid w:val="00EA5E85"/>
    <w:rsid w:val="00EA6136"/>
    <w:rsid w:val="00EA65C2"/>
    <w:rsid w:val="00EA6664"/>
    <w:rsid w:val="00EA6682"/>
    <w:rsid w:val="00EA69F6"/>
    <w:rsid w:val="00EA6ABD"/>
    <w:rsid w:val="00EA6C3B"/>
    <w:rsid w:val="00EA6C46"/>
    <w:rsid w:val="00EA703F"/>
    <w:rsid w:val="00EA7387"/>
    <w:rsid w:val="00EA73FB"/>
    <w:rsid w:val="00EA74F4"/>
    <w:rsid w:val="00EA79D2"/>
    <w:rsid w:val="00EA7A9B"/>
    <w:rsid w:val="00EA7BA0"/>
    <w:rsid w:val="00EA7CB1"/>
    <w:rsid w:val="00EB0068"/>
    <w:rsid w:val="00EB0266"/>
    <w:rsid w:val="00EB02DE"/>
    <w:rsid w:val="00EB0556"/>
    <w:rsid w:val="00EB05B2"/>
    <w:rsid w:val="00EB05C6"/>
    <w:rsid w:val="00EB062C"/>
    <w:rsid w:val="00EB0816"/>
    <w:rsid w:val="00EB08C9"/>
    <w:rsid w:val="00EB08FE"/>
    <w:rsid w:val="00EB0A53"/>
    <w:rsid w:val="00EB0AE6"/>
    <w:rsid w:val="00EB0E35"/>
    <w:rsid w:val="00EB0EE5"/>
    <w:rsid w:val="00EB0F0B"/>
    <w:rsid w:val="00EB1083"/>
    <w:rsid w:val="00EB12F8"/>
    <w:rsid w:val="00EB1451"/>
    <w:rsid w:val="00EB14F1"/>
    <w:rsid w:val="00EB1532"/>
    <w:rsid w:val="00EB1588"/>
    <w:rsid w:val="00EB1612"/>
    <w:rsid w:val="00EB18A8"/>
    <w:rsid w:val="00EB1960"/>
    <w:rsid w:val="00EB196C"/>
    <w:rsid w:val="00EB19C8"/>
    <w:rsid w:val="00EB1C08"/>
    <w:rsid w:val="00EB1D98"/>
    <w:rsid w:val="00EB1DF7"/>
    <w:rsid w:val="00EB1EA3"/>
    <w:rsid w:val="00EB1F7A"/>
    <w:rsid w:val="00EB21B4"/>
    <w:rsid w:val="00EB22B9"/>
    <w:rsid w:val="00EB250E"/>
    <w:rsid w:val="00EB2531"/>
    <w:rsid w:val="00EB2554"/>
    <w:rsid w:val="00EB2608"/>
    <w:rsid w:val="00EB270B"/>
    <w:rsid w:val="00EB2842"/>
    <w:rsid w:val="00EB28AB"/>
    <w:rsid w:val="00EB2A4C"/>
    <w:rsid w:val="00EB2C7F"/>
    <w:rsid w:val="00EB2EC3"/>
    <w:rsid w:val="00EB2EC9"/>
    <w:rsid w:val="00EB2EEC"/>
    <w:rsid w:val="00EB2F25"/>
    <w:rsid w:val="00EB3046"/>
    <w:rsid w:val="00EB3364"/>
    <w:rsid w:val="00EB3542"/>
    <w:rsid w:val="00EB36DE"/>
    <w:rsid w:val="00EB37CA"/>
    <w:rsid w:val="00EB37EE"/>
    <w:rsid w:val="00EB3867"/>
    <w:rsid w:val="00EB3ADF"/>
    <w:rsid w:val="00EB3BBF"/>
    <w:rsid w:val="00EB3D1A"/>
    <w:rsid w:val="00EB3FE2"/>
    <w:rsid w:val="00EB41C5"/>
    <w:rsid w:val="00EB4200"/>
    <w:rsid w:val="00EB4483"/>
    <w:rsid w:val="00EB44E4"/>
    <w:rsid w:val="00EB451B"/>
    <w:rsid w:val="00EB4706"/>
    <w:rsid w:val="00EB4846"/>
    <w:rsid w:val="00EB4B6A"/>
    <w:rsid w:val="00EB4BBC"/>
    <w:rsid w:val="00EB4D5B"/>
    <w:rsid w:val="00EB4E67"/>
    <w:rsid w:val="00EB4E6F"/>
    <w:rsid w:val="00EB4EA9"/>
    <w:rsid w:val="00EB50A1"/>
    <w:rsid w:val="00EB521D"/>
    <w:rsid w:val="00EB537D"/>
    <w:rsid w:val="00EB5783"/>
    <w:rsid w:val="00EB57FD"/>
    <w:rsid w:val="00EB5D7B"/>
    <w:rsid w:val="00EB5DB9"/>
    <w:rsid w:val="00EB5E88"/>
    <w:rsid w:val="00EB60F6"/>
    <w:rsid w:val="00EB61CC"/>
    <w:rsid w:val="00EB6531"/>
    <w:rsid w:val="00EB6AE5"/>
    <w:rsid w:val="00EB6BF1"/>
    <w:rsid w:val="00EB6D5F"/>
    <w:rsid w:val="00EB6EB6"/>
    <w:rsid w:val="00EB70B9"/>
    <w:rsid w:val="00EB72A1"/>
    <w:rsid w:val="00EB73B5"/>
    <w:rsid w:val="00EB7581"/>
    <w:rsid w:val="00EB7675"/>
    <w:rsid w:val="00EB775A"/>
    <w:rsid w:val="00EB7A6E"/>
    <w:rsid w:val="00EB7B02"/>
    <w:rsid w:val="00EB7FBF"/>
    <w:rsid w:val="00EC0080"/>
    <w:rsid w:val="00EC0453"/>
    <w:rsid w:val="00EC05AB"/>
    <w:rsid w:val="00EC0E66"/>
    <w:rsid w:val="00EC0EC6"/>
    <w:rsid w:val="00EC0F5E"/>
    <w:rsid w:val="00EC106D"/>
    <w:rsid w:val="00EC10E9"/>
    <w:rsid w:val="00EC130A"/>
    <w:rsid w:val="00EC136C"/>
    <w:rsid w:val="00EC1418"/>
    <w:rsid w:val="00EC1456"/>
    <w:rsid w:val="00EC149D"/>
    <w:rsid w:val="00EC15E0"/>
    <w:rsid w:val="00EC162F"/>
    <w:rsid w:val="00EC16F2"/>
    <w:rsid w:val="00EC18FE"/>
    <w:rsid w:val="00EC1925"/>
    <w:rsid w:val="00EC1AB7"/>
    <w:rsid w:val="00EC1C8A"/>
    <w:rsid w:val="00EC1CD7"/>
    <w:rsid w:val="00EC1D58"/>
    <w:rsid w:val="00EC1E5E"/>
    <w:rsid w:val="00EC1FD3"/>
    <w:rsid w:val="00EC2016"/>
    <w:rsid w:val="00EC2191"/>
    <w:rsid w:val="00EC25FA"/>
    <w:rsid w:val="00EC26E4"/>
    <w:rsid w:val="00EC297C"/>
    <w:rsid w:val="00EC2ACB"/>
    <w:rsid w:val="00EC2F72"/>
    <w:rsid w:val="00EC3204"/>
    <w:rsid w:val="00EC33DA"/>
    <w:rsid w:val="00EC33F3"/>
    <w:rsid w:val="00EC347B"/>
    <w:rsid w:val="00EC35C8"/>
    <w:rsid w:val="00EC3733"/>
    <w:rsid w:val="00EC37C0"/>
    <w:rsid w:val="00EC38CD"/>
    <w:rsid w:val="00EC3C80"/>
    <w:rsid w:val="00EC3D22"/>
    <w:rsid w:val="00EC415B"/>
    <w:rsid w:val="00EC423E"/>
    <w:rsid w:val="00EC4334"/>
    <w:rsid w:val="00EC43AA"/>
    <w:rsid w:val="00EC47EB"/>
    <w:rsid w:val="00EC4871"/>
    <w:rsid w:val="00EC49B1"/>
    <w:rsid w:val="00EC4DCF"/>
    <w:rsid w:val="00EC4F9C"/>
    <w:rsid w:val="00EC50AD"/>
    <w:rsid w:val="00EC5101"/>
    <w:rsid w:val="00EC5165"/>
    <w:rsid w:val="00EC51B4"/>
    <w:rsid w:val="00EC53C1"/>
    <w:rsid w:val="00EC550F"/>
    <w:rsid w:val="00EC5741"/>
    <w:rsid w:val="00EC585E"/>
    <w:rsid w:val="00EC5962"/>
    <w:rsid w:val="00EC5985"/>
    <w:rsid w:val="00EC59C9"/>
    <w:rsid w:val="00EC5A14"/>
    <w:rsid w:val="00EC5A7E"/>
    <w:rsid w:val="00EC5AD7"/>
    <w:rsid w:val="00EC5C4B"/>
    <w:rsid w:val="00EC5D8F"/>
    <w:rsid w:val="00EC5E65"/>
    <w:rsid w:val="00EC6227"/>
    <w:rsid w:val="00EC650D"/>
    <w:rsid w:val="00EC6720"/>
    <w:rsid w:val="00EC692C"/>
    <w:rsid w:val="00EC69FB"/>
    <w:rsid w:val="00EC6AC1"/>
    <w:rsid w:val="00EC6ACA"/>
    <w:rsid w:val="00EC6B03"/>
    <w:rsid w:val="00EC6EE0"/>
    <w:rsid w:val="00EC70C1"/>
    <w:rsid w:val="00EC710A"/>
    <w:rsid w:val="00EC7220"/>
    <w:rsid w:val="00EC7406"/>
    <w:rsid w:val="00EC751B"/>
    <w:rsid w:val="00EC752F"/>
    <w:rsid w:val="00EC7570"/>
    <w:rsid w:val="00EC776B"/>
    <w:rsid w:val="00EC79D7"/>
    <w:rsid w:val="00EC7A07"/>
    <w:rsid w:val="00EC7D1B"/>
    <w:rsid w:val="00ED0118"/>
    <w:rsid w:val="00ED03D0"/>
    <w:rsid w:val="00ED0488"/>
    <w:rsid w:val="00ED06DD"/>
    <w:rsid w:val="00ED0AAF"/>
    <w:rsid w:val="00ED0E02"/>
    <w:rsid w:val="00ED0F6E"/>
    <w:rsid w:val="00ED128E"/>
    <w:rsid w:val="00ED136D"/>
    <w:rsid w:val="00ED15BA"/>
    <w:rsid w:val="00ED1686"/>
    <w:rsid w:val="00ED17B3"/>
    <w:rsid w:val="00ED1803"/>
    <w:rsid w:val="00ED19C8"/>
    <w:rsid w:val="00ED1BB7"/>
    <w:rsid w:val="00ED1D78"/>
    <w:rsid w:val="00ED200B"/>
    <w:rsid w:val="00ED2047"/>
    <w:rsid w:val="00ED21DA"/>
    <w:rsid w:val="00ED2489"/>
    <w:rsid w:val="00ED24F0"/>
    <w:rsid w:val="00ED253E"/>
    <w:rsid w:val="00ED25F1"/>
    <w:rsid w:val="00ED2639"/>
    <w:rsid w:val="00ED27AB"/>
    <w:rsid w:val="00ED27F8"/>
    <w:rsid w:val="00ED2ECA"/>
    <w:rsid w:val="00ED345B"/>
    <w:rsid w:val="00ED3E4F"/>
    <w:rsid w:val="00ED3F33"/>
    <w:rsid w:val="00ED4110"/>
    <w:rsid w:val="00ED41E4"/>
    <w:rsid w:val="00ED41FA"/>
    <w:rsid w:val="00ED4201"/>
    <w:rsid w:val="00ED4393"/>
    <w:rsid w:val="00ED4454"/>
    <w:rsid w:val="00ED4513"/>
    <w:rsid w:val="00ED458A"/>
    <w:rsid w:val="00ED47F7"/>
    <w:rsid w:val="00ED4F2E"/>
    <w:rsid w:val="00ED50F5"/>
    <w:rsid w:val="00ED5140"/>
    <w:rsid w:val="00ED5274"/>
    <w:rsid w:val="00ED53D8"/>
    <w:rsid w:val="00ED55AC"/>
    <w:rsid w:val="00ED58BC"/>
    <w:rsid w:val="00ED5C29"/>
    <w:rsid w:val="00ED5D0D"/>
    <w:rsid w:val="00ED5EE8"/>
    <w:rsid w:val="00ED5F4A"/>
    <w:rsid w:val="00ED6034"/>
    <w:rsid w:val="00ED6049"/>
    <w:rsid w:val="00ED6071"/>
    <w:rsid w:val="00ED6088"/>
    <w:rsid w:val="00ED6117"/>
    <w:rsid w:val="00ED6121"/>
    <w:rsid w:val="00ED6422"/>
    <w:rsid w:val="00ED650F"/>
    <w:rsid w:val="00ED6617"/>
    <w:rsid w:val="00ED66C0"/>
    <w:rsid w:val="00ED6884"/>
    <w:rsid w:val="00ED6AE3"/>
    <w:rsid w:val="00ED6B2A"/>
    <w:rsid w:val="00ED6B8D"/>
    <w:rsid w:val="00ED6CCE"/>
    <w:rsid w:val="00ED6DC6"/>
    <w:rsid w:val="00ED74F5"/>
    <w:rsid w:val="00ED7563"/>
    <w:rsid w:val="00ED75EF"/>
    <w:rsid w:val="00ED774F"/>
    <w:rsid w:val="00ED7AE8"/>
    <w:rsid w:val="00ED7C34"/>
    <w:rsid w:val="00ED7EB8"/>
    <w:rsid w:val="00ED7ED5"/>
    <w:rsid w:val="00ED7F99"/>
    <w:rsid w:val="00EE028E"/>
    <w:rsid w:val="00EE02DE"/>
    <w:rsid w:val="00EE0302"/>
    <w:rsid w:val="00EE0353"/>
    <w:rsid w:val="00EE06C0"/>
    <w:rsid w:val="00EE0783"/>
    <w:rsid w:val="00EE07B9"/>
    <w:rsid w:val="00EE0AB5"/>
    <w:rsid w:val="00EE0B21"/>
    <w:rsid w:val="00EE0CEC"/>
    <w:rsid w:val="00EE0DB2"/>
    <w:rsid w:val="00EE0E02"/>
    <w:rsid w:val="00EE119D"/>
    <w:rsid w:val="00EE1272"/>
    <w:rsid w:val="00EE136D"/>
    <w:rsid w:val="00EE1420"/>
    <w:rsid w:val="00EE15D9"/>
    <w:rsid w:val="00EE182D"/>
    <w:rsid w:val="00EE19EF"/>
    <w:rsid w:val="00EE1A04"/>
    <w:rsid w:val="00EE1A99"/>
    <w:rsid w:val="00EE1B96"/>
    <w:rsid w:val="00EE1BA2"/>
    <w:rsid w:val="00EE1CFE"/>
    <w:rsid w:val="00EE2064"/>
    <w:rsid w:val="00EE22B4"/>
    <w:rsid w:val="00EE2325"/>
    <w:rsid w:val="00EE2328"/>
    <w:rsid w:val="00EE243B"/>
    <w:rsid w:val="00EE2661"/>
    <w:rsid w:val="00EE289D"/>
    <w:rsid w:val="00EE2AA1"/>
    <w:rsid w:val="00EE2AFB"/>
    <w:rsid w:val="00EE2E16"/>
    <w:rsid w:val="00EE2F47"/>
    <w:rsid w:val="00EE30E2"/>
    <w:rsid w:val="00EE3186"/>
    <w:rsid w:val="00EE3368"/>
    <w:rsid w:val="00EE33A8"/>
    <w:rsid w:val="00EE33CB"/>
    <w:rsid w:val="00EE35B5"/>
    <w:rsid w:val="00EE36CC"/>
    <w:rsid w:val="00EE3C69"/>
    <w:rsid w:val="00EE417C"/>
    <w:rsid w:val="00EE424E"/>
    <w:rsid w:val="00EE42E3"/>
    <w:rsid w:val="00EE4485"/>
    <w:rsid w:val="00EE465E"/>
    <w:rsid w:val="00EE46E5"/>
    <w:rsid w:val="00EE4999"/>
    <w:rsid w:val="00EE49D0"/>
    <w:rsid w:val="00EE4A54"/>
    <w:rsid w:val="00EE4BA2"/>
    <w:rsid w:val="00EE4E6A"/>
    <w:rsid w:val="00EE504D"/>
    <w:rsid w:val="00EE51B0"/>
    <w:rsid w:val="00EE53E2"/>
    <w:rsid w:val="00EE544D"/>
    <w:rsid w:val="00EE5583"/>
    <w:rsid w:val="00EE5807"/>
    <w:rsid w:val="00EE5817"/>
    <w:rsid w:val="00EE581C"/>
    <w:rsid w:val="00EE58B5"/>
    <w:rsid w:val="00EE5BC8"/>
    <w:rsid w:val="00EE5D92"/>
    <w:rsid w:val="00EE5EA5"/>
    <w:rsid w:val="00EE5F70"/>
    <w:rsid w:val="00EE6139"/>
    <w:rsid w:val="00EE618B"/>
    <w:rsid w:val="00EE632F"/>
    <w:rsid w:val="00EE6399"/>
    <w:rsid w:val="00EE63B9"/>
    <w:rsid w:val="00EE65C4"/>
    <w:rsid w:val="00EE67C0"/>
    <w:rsid w:val="00EE6ABE"/>
    <w:rsid w:val="00EE6B29"/>
    <w:rsid w:val="00EE6D36"/>
    <w:rsid w:val="00EE6D51"/>
    <w:rsid w:val="00EE6E01"/>
    <w:rsid w:val="00EE6E4D"/>
    <w:rsid w:val="00EE6F5B"/>
    <w:rsid w:val="00EE7042"/>
    <w:rsid w:val="00EE7128"/>
    <w:rsid w:val="00EE715F"/>
    <w:rsid w:val="00EE71F1"/>
    <w:rsid w:val="00EE73C4"/>
    <w:rsid w:val="00EE7479"/>
    <w:rsid w:val="00EE74A3"/>
    <w:rsid w:val="00EE74D3"/>
    <w:rsid w:val="00EE74D5"/>
    <w:rsid w:val="00EE75B6"/>
    <w:rsid w:val="00EE79B5"/>
    <w:rsid w:val="00EE7A9F"/>
    <w:rsid w:val="00EE7BE1"/>
    <w:rsid w:val="00EE7C2E"/>
    <w:rsid w:val="00EE7CC8"/>
    <w:rsid w:val="00EE7D78"/>
    <w:rsid w:val="00EF00C7"/>
    <w:rsid w:val="00EF018A"/>
    <w:rsid w:val="00EF02C5"/>
    <w:rsid w:val="00EF0339"/>
    <w:rsid w:val="00EF036F"/>
    <w:rsid w:val="00EF0457"/>
    <w:rsid w:val="00EF0475"/>
    <w:rsid w:val="00EF054F"/>
    <w:rsid w:val="00EF085C"/>
    <w:rsid w:val="00EF086D"/>
    <w:rsid w:val="00EF09B6"/>
    <w:rsid w:val="00EF0BC7"/>
    <w:rsid w:val="00EF0BD3"/>
    <w:rsid w:val="00EF0C37"/>
    <w:rsid w:val="00EF0CF4"/>
    <w:rsid w:val="00EF0D15"/>
    <w:rsid w:val="00EF0F03"/>
    <w:rsid w:val="00EF0F24"/>
    <w:rsid w:val="00EF0F60"/>
    <w:rsid w:val="00EF1176"/>
    <w:rsid w:val="00EF12EA"/>
    <w:rsid w:val="00EF1354"/>
    <w:rsid w:val="00EF169E"/>
    <w:rsid w:val="00EF1D47"/>
    <w:rsid w:val="00EF2032"/>
    <w:rsid w:val="00EF21D7"/>
    <w:rsid w:val="00EF2252"/>
    <w:rsid w:val="00EF25D5"/>
    <w:rsid w:val="00EF2610"/>
    <w:rsid w:val="00EF2822"/>
    <w:rsid w:val="00EF28C1"/>
    <w:rsid w:val="00EF2A47"/>
    <w:rsid w:val="00EF2CB9"/>
    <w:rsid w:val="00EF2DAC"/>
    <w:rsid w:val="00EF2DE7"/>
    <w:rsid w:val="00EF2EDB"/>
    <w:rsid w:val="00EF2F57"/>
    <w:rsid w:val="00EF318D"/>
    <w:rsid w:val="00EF3528"/>
    <w:rsid w:val="00EF36F3"/>
    <w:rsid w:val="00EF3901"/>
    <w:rsid w:val="00EF3BE3"/>
    <w:rsid w:val="00EF3ED7"/>
    <w:rsid w:val="00EF3F42"/>
    <w:rsid w:val="00EF40FA"/>
    <w:rsid w:val="00EF4198"/>
    <w:rsid w:val="00EF41AB"/>
    <w:rsid w:val="00EF41FF"/>
    <w:rsid w:val="00EF46F7"/>
    <w:rsid w:val="00EF472F"/>
    <w:rsid w:val="00EF4A45"/>
    <w:rsid w:val="00EF4A97"/>
    <w:rsid w:val="00EF4BD4"/>
    <w:rsid w:val="00EF4EFB"/>
    <w:rsid w:val="00EF4F18"/>
    <w:rsid w:val="00EF516C"/>
    <w:rsid w:val="00EF5689"/>
    <w:rsid w:val="00EF5829"/>
    <w:rsid w:val="00EF58BC"/>
    <w:rsid w:val="00EF5A8D"/>
    <w:rsid w:val="00EF5ADF"/>
    <w:rsid w:val="00EF5AFF"/>
    <w:rsid w:val="00EF5C5B"/>
    <w:rsid w:val="00EF5C63"/>
    <w:rsid w:val="00EF5E13"/>
    <w:rsid w:val="00EF5EBA"/>
    <w:rsid w:val="00EF6360"/>
    <w:rsid w:val="00EF6B62"/>
    <w:rsid w:val="00EF6B7D"/>
    <w:rsid w:val="00EF6C6E"/>
    <w:rsid w:val="00EF6E23"/>
    <w:rsid w:val="00EF6E9D"/>
    <w:rsid w:val="00EF6FC0"/>
    <w:rsid w:val="00EF72E7"/>
    <w:rsid w:val="00EF746B"/>
    <w:rsid w:val="00EF75DA"/>
    <w:rsid w:val="00EF7675"/>
    <w:rsid w:val="00EF79DC"/>
    <w:rsid w:val="00F0005B"/>
    <w:rsid w:val="00F00088"/>
    <w:rsid w:val="00F0011A"/>
    <w:rsid w:val="00F00142"/>
    <w:rsid w:val="00F0020E"/>
    <w:rsid w:val="00F00388"/>
    <w:rsid w:val="00F003C0"/>
    <w:rsid w:val="00F00407"/>
    <w:rsid w:val="00F0066B"/>
    <w:rsid w:val="00F0066E"/>
    <w:rsid w:val="00F00A51"/>
    <w:rsid w:val="00F00B2C"/>
    <w:rsid w:val="00F00DBF"/>
    <w:rsid w:val="00F00F4A"/>
    <w:rsid w:val="00F00FB9"/>
    <w:rsid w:val="00F0101A"/>
    <w:rsid w:val="00F01021"/>
    <w:rsid w:val="00F010D7"/>
    <w:rsid w:val="00F012FA"/>
    <w:rsid w:val="00F01300"/>
    <w:rsid w:val="00F014E7"/>
    <w:rsid w:val="00F016ED"/>
    <w:rsid w:val="00F01734"/>
    <w:rsid w:val="00F0184D"/>
    <w:rsid w:val="00F01C30"/>
    <w:rsid w:val="00F01D65"/>
    <w:rsid w:val="00F01E62"/>
    <w:rsid w:val="00F01F51"/>
    <w:rsid w:val="00F02114"/>
    <w:rsid w:val="00F02127"/>
    <w:rsid w:val="00F022BD"/>
    <w:rsid w:val="00F02541"/>
    <w:rsid w:val="00F02550"/>
    <w:rsid w:val="00F029A2"/>
    <w:rsid w:val="00F02A49"/>
    <w:rsid w:val="00F02C75"/>
    <w:rsid w:val="00F02D8F"/>
    <w:rsid w:val="00F0317E"/>
    <w:rsid w:val="00F0319D"/>
    <w:rsid w:val="00F031DA"/>
    <w:rsid w:val="00F033B5"/>
    <w:rsid w:val="00F0347A"/>
    <w:rsid w:val="00F03629"/>
    <w:rsid w:val="00F03636"/>
    <w:rsid w:val="00F036A2"/>
    <w:rsid w:val="00F03783"/>
    <w:rsid w:val="00F039F2"/>
    <w:rsid w:val="00F041F3"/>
    <w:rsid w:val="00F042CB"/>
    <w:rsid w:val="00F04502"/>
    <w:rsid w:val="00F04556"/>
    <w:rsid w:val="00F04730"/>
    <w:rsid w:val="00F048B1"/>
    <w:rsid w:val="00F0498D"/>
    <w:rsid w:val="00F04AFD"/>
    <w:rsid w:val="00F04BF1"/>
    <w:rsid w:val="00F04C0A"/>
    <w:rsid w:val="00F04C83"/>
    <w:rsid w:val="00F04ED6"/>
    <w:rsid w:val="00F05199"/>
    <w:rsid w:val="00F0565D"/>
    <w:rsid w:val="00F0572E"/>
    <w:rsid w:val="00F05AA9"/>
    <w:rsid w:val="00F05B41"/>
    <w:rsid w:val="00F05C71"/>
    <w:rsid w:val="00F05E2C"/>
    <w:rsid w:val="00F05E35"/>
    <w:rsid w:val="00F05FCC"/>
    <w:rsid w:val="00F06296"/>
    <w:rsid w:val="00F063DF"/>
    <w:rsid w:val="00F06514"/>
    <w:rsid w:val="00F06546"/>
    <w:rsid w:val="00F065E1"/>
    <w:rsid w:val="00F066A2"/>
    <w:rsid w:val="00F067D6"/>
    <w:rsid w:val="00F0690B"/>
    <w:rsid w:val="00F06915"/>
    <w:rsid w:val="00F0698D"/>
    <w:rsid w:val="00F06B06"/>
    <w:rsid w:val="00F06B21"/>
    <w:rsid w:val="00F06EFF"/>
    <w:rsid w:val="00F06F77"/>
    <w:rsid w:val="00F070A0"/>
    <w:rsid w:val="00F070C6"/>
    <w:rsid w:val="00F07196"/>
    <w:rsid w:val="00F071A7"/>
    <w:rsid w:val="00F07251"/>
    <w:rsid w:val="00F0735A"/>
    <w:rsid w:val="00F0761E"/>
    <w:rsid w:val="00F0766F"/>
    <w:rsid w:val="00F07ADE"/>
    <w:rsid w:val="00F07B5C"/>
    <w:rsid w:val="00F07C55"/>
    <w:rsid w:val="00F07C90"/>
    <w:rsid w:val="00F07EAB"/>
    <w:rsid w:val="00F100C6"/>
    <w:rsid w:val="00F10196"/>
    <w:rsid w:val="00F101F8"/>
    <w:rsid w:val="00F10897"/>
    <w:rsid w:val="00F108CA"/>
    <w:rsid w:val="00F10BAF"/>
    <w:rsid w:val="00F10BB1"/>
    <w:rsid w:val="00F10D17"/>
    <w:rsid w:val="00F10E5C"/>
    <w:rsid w:val="00F10F93"/>
    <w:rsid w:val="00F11208"/>
    <w:rsid w:val="00F112B6"/>
    <w:rsid w:val="00F11363"/>
    <w:rsid w:val="00F11461"/>
    <w:rsid w:val="00F1148C"/>
    <w:rsid w:val="00F11890"/>
    <w:rsid w:val="00F119EF"/>
    <w:rsid w:val="00F11B64"/>
    <w:rsid w:val="00F11DF2"/>
    <w:rsid w:val="00F12107"/>
    <w:rsid w:val="00F121E1"/>
    <w:rsid w:val="00F12253"/>
    <w:rsid w:val="00F12256"/>
    <w:rsid w:val="00F12423"/>
    <w:rsid w:val="00F1299B"/>
    <w:rsid w:val="00F12CB2"/>
    <w:rsid w:val="00F1353E"/>
    <w:rsid w:val="00F135E2"/>
    <w:rsid w:val="00F1365E"/>
    <w:rsid w:val="00F136DD"/>
    <w:rsid w:val="00F13721"/>
    <w:rsid w:val="00F137A8"/>
    <w:rsid w:val="00F137B3"/>
    <w:rsid w:val="00F137EA"/>
    <w:rsid w:val="00F13BBE"/>
    <w:rsid w:val="00F13C3B"/>
    <w:rsid w:val="00F14116"/>
    <w:rsid w:val="00F1420F"/>
    <w:rsid w:val="00F143E9"/>
    <w:rsid w:val="00F143F7"/>
    <w:rsid w:val="00F145C6"/>
    <w:rsid w:val="00F14691"/>
    <w:rsid w:val="00F1484E"/>
    <w:rsid w:val="00F1488E"/>
    <w:rsid w:val="00F1493E"/>
    <w:rsid w:val="00F149D2"/>
    <w:rsid w:val="00F14A4A"/>
    <w:rsid w:val="00F14D49"/>
    <w:rsid w:val="00F14DAA"/>
    <w:rsid w:val="00F14DCC"/>
    <w:rsid w:val="00F1512A"/>
    <w:rsid w:val="00F152D3"/>
    <w:rsid w:val="00F153BE"/>
    <w:rsid w:val="00F153CE"/>
    <w:rsid w:val="00F153D1"/>
    <w:rsid w:val="00F153F3"/>
    <w:rsid w:val="00F15460"/>
    <w:rsid w:val="00F1555E"/>
    <w:rsid w:val="00F1559F"/>
    <w:rsid w:val="00F1577C"/>
    <w:rsid w:val="00F157C7"/>
    <w:rsid w:val="00F157D8"/>
    <w:rsid w:val="00F1590B"/>
    <w:rsid w:val="00F15A1E"/>
    <w:rsid w:val="00F15B56"/>
    <w:rsid w:val="00F15B6E"/>
    <w:rsid w:val="00F15BCC"/>
    <w:rsid w:val="00F15E85"/>
    <w:rsid w:val="00F15F99"/>
    <w:rsid w:val="00F16263"/>
    <w:rsid w:val="00F16811"/>
    <w:rsid w:val="00F169BD"/>
    <w:rsid w:val="00F169C8"/>
    <w:rsid w:val="00F16CD7"/>
    <w:rsid w:val="00F16DA2"/>
    <w:rsid w:val="00F16E09"/>
    <w:rsid w:val="00F1727E"/>
    <w:rsid w:val="00F1729D"/>
    <w:rsid w:val="00F173B1"/>
    <w:rsid w:val="00F17508"/>
    <w:rsid w:val="00F1788E"/>
    <w:rsid w:val="00F17C81"/>
    <w:rsid w:val="00F17D0F"/>
    <w:rsid w:val="00F17E07"/>
    <w:rsid w:val="00F17E17"/>
    <w:rsid w:val="00F17EC8"/>
    <w:rsid w:val="00F17F2A"/>
    <w:rsid w:val="00F17FCA"/>
    <w:rsid w:val="00F20178"/>
    <w:rsid w:val="00F20443"/>
    <w:rsid w:val="00F204D8"/>
    <w:rsid w:val="00F2060F"/>
    <w:rsid w:val="00F2072C"/>
    <w:rsid w:val="00F20A12"/>
    <w:rsid w:val="00F20AE3"/>
    <w:rsid w:val="00F20CE4"/>
    <w:rsid w:val="00F20DAA"/>
    <w:rsid w:val="00F20DBB"/>
    <w:rsid w:val="00F20DBE"/>
    <w:rsid w:val="00F20DD1"/>
    <w:rsid w:val="00F2106F"/>
    <w:rsid w:val="00F21158"/>
    <w:rsid w:val="00F21270"/>
    <w:rsid w:val="00F21387"/>
    <w:rsid w:val="00F21410"/>
    <w:rsid w:val="00F21434"/>
    <w:rsid w:val="00F21444"/>
    <w:rsid w:val="00F21AE4"/>
    <w:rsid w:val="00F21AF3"/>
    <w:rsid w:val="00F22025"/>
    <w:rsid w:val="00F22033"/>
    <w:rsid w:val="00F22100"/>
    <w:rsid w:val="00F221B3"/>
    <w:rsid w:val="00F224D7"/>
    <w:rsid w:val="00F22505"/>
    <w:rsid w:val="00F225FF"/>
    <w:rsid w:val="00F2263B"/>
    <w:rsid w:val="00F227AE"/>
    <w:rsid w:val="00F22A1B"/>
    <w:rsid w:val="00F22AD8"/>
    <w:rsid w:val="00F22DBB"/>
    <w:rsid w:val="00F22EEF"/>
    <w:rsid w:val="00F22F86"/>
    <w:rsid w:val="00F230AC"/>
    <w:rsid w:val="00F230CF"/>
    <w:rsid w:val="00F23346"/>
    <w:rsid w:val="00F234A8"/>
    <w:rsid w:val="00F23648"/>
    <w:rsid w:val="00F236D3"/>
    <w:rsid w:val="00F237E7"/>
    <w:rsid w:val="00F23AB2"/>
    <w:rsid w:val="00F23C27"/>
    <w:rsid w:val="00F23C2F"/>
    <w:rsid w:val="00F23E89"/>
    <w:rsid w:val="00F24176"/>
    <w:rsid w:val="00F24179"/>
    <w:rsid w:val="00F241A1"/>
    <w:rsid w:val="00F24404"/>
    <w:rsid w:val="00F244E2"/>
    <w:rsid w:val="00F24536"/>
    <w:rsid w:val="00F24568"/>
    <w:rsid w:val="00F2461C"/>
    <w:rsid w:val="00F24861"/>
    <w:rsid w:val="00F249CF"/>
    <w:rsid w:val="00F249FA"/>
    <w:rsid w:val="00F24EE9"/>
    <w:rsid w:val="00F24F1C"/>
    <w:rsid w:val="00F25029"/>
    <w:rsid w:val="00F2509C"/>
    <w:rsid w:val="00F25341"/>
    <w:rsid w:val="00F253BD"/>
    <w:rsid w:val="00F2541A"/>
    <w:rsid w:val="00F2554E"/>
    <w:rsid w:val="00F2574A"/>
    <w:rsid w:val="00F2574B"/>
    <w:rsid w:val="00F259E6"/>
    <w:rsid w:val="00F25C14"/>
    <w:rsid w:val="00F25CF6"/>
    <w:rsid w:val="00F25D48"/>
    <w:rsid w:val="00F25E8D"/>
    <w:rsid w:val="00F26069"/>
    <w:rsid w:val="00F2606B"/>
    <w:rsid w:val="00F261F0"/>
    <w:rsid w:val="00F26207"/>
    <w:rsid w:val="00F262F5"/>
    <w:rsid w:val="00F26336"/>
    <w:rsid w:val="00F26352"/>
    <w:rsid w:val="00F26353"/>
    <w:rsid w:val="00F263F1"/>
    <w:rsid w:val="00F266F7"/>
    <w:rsid w:val="00F26747"/>
    <w:rsid w:val="00F26951"/>
    <w:rsid w:val="00F26965"/>
    <w:rsid w:val="00F27299"/>
    <w:rsid w:val="00F272EA"/>
    <w:rsid w:val="00F27370"/>
    <w:rsid w:val="00F274CA"/>
    <w:rsid w:val="00F27545"/>
    <w:rsid w:val="00F27AD5"/>
    <w:rsid w:val="00F27CAB"/>
    <w:rsid w:val="00F27CE7"/>
    <w:rsid w:val="00F27F93"/>
    <w:rsid w:val="00F27FA3"/>
    <w:rsid w:val="00F302C9"/>
    <w:rsid w:val="00F30540"/>
    <w:rsid w:val="00F305B0"/>
    <w:rsid w:val="00F30638"/>
    <w:rsid w:val="00F306B0"/>
    <w:rsid w:val="00F307D1"/>
    <w:rsid w:val="00F30CFD"/>
    <w:rsid w:val="00F31016"/>
    <w:rsid w:val="00F310A6"/>
    <w:rsid w:val="00F31367"/>
    <w:rsid w:val="00F316D1"/>
    <w:rsid w:val="00F31CB1"/>
    <w:rsid w:val="00F31F67"/>
    <w:rsid w:val="00F31F84"/>
    <w:rsid w:val="00F31FCE"/>
    <w:rsid w:val="00F320DC"/>
    <w:rsid w:val="00F32543"/>
    <w:rsid w:val="00F327DE"/>
    <w:rsid w:val="00F32A1F"/>
    <w:rsid w:val="00F32A35"/>
    <w:rsid w:val="00F32BCD"/>
    <w:rsid w:val="00F32ECD"/>
    <w:rsid w:val="00F3339B"/>
    <w:rsid w:val="00F3350D"/>
    <w:rsid w:val="00F33528"/>
    <w:rsid w:val="00F335C4"/>
    <w:rsid w:val="00F33656"/>
    <w:rsid w:val="00F336E2"/>
    <w:rsid w:val="00F338F8"/>
    <w:rsid w:val="00F33AA3"/>
    <w:rsid w:val="00F33AC7"/>
    <w:rsid w:val="00F33C29"/>
    <w:rsid w:val="00F33E3D"/>
    <w:rsid w:val="00F33EFB"/>
    <w:rsid w:val="00F33F7B"/>
    <w:rsid w:val="00F33FCF"/>
    <w:rsid w:val="00F33FE2"/>
    <w:rsid w:val="00F341D9"/>
    <w:rsid w:val="00F3424F"/>
    <w:rsid w:val="00F34284"/>
    <w:rsid w:val="00F34828"/>
    <w:rsid w:val="00F348CC"/>
    <w:rsid w:val="00F3494D"/>
    <w:rsid w:val="00F34A00"/>
    <w:rsid w:val="00F34C52"/>
    <w:rsid w:val="00F34F43"/>
    <w:rsid w:val="00F34FBE"/>
    <w:rsid w:val="00F3503E"/>
    <w:rsid w:val="00F35397"/>
    <w:rsid w:val="00F3540A"/>
    <w:rsid w:val="00F3545C"/>
    <w:rsid w:val="00F35668"/>
    <w:rsid w:val="00F35806"/>
    <w:rsid w:val="00F359B2"/>
    <w:rsid w:val="00F35C3C"/>
    <w:rsid w:val="00F35E58"/>
    <w:rsid w:val="00F35EDC"/>
    <w:rsid w:val="00F3605C"/>
    <w:rsid w:val="00F3614B"/>
    <w:rsid w:val="00F36529"/>
    <w:rsid w:val="00F36D00"/>
    <w:rsid w:val="00F36D12"/>
    <w:rsid w:val="00F36D69"/>
    <w:rsid w:val="00F36F7E"/>
    <w:rsid w:val="00F36FDD"/>
    <w:rsid w:val="00F372BE"/>
    <w:rsid w:val="00F37341"/>
    <w:rsid w:val="00F3758B"/>
    <w:rsid w:val="00F378FF"/>
    <w:rsid w:val="00F37B16"/>
    <w:rsid w:val="00F37CAC"/>
    <w:rsid w:val="00F37FEE"/>
    <w:rsid w:val="00F400FC"/>
    <w:rsid w:val="00F40127"/>
    <w:rsid w:val="00F40263"/>
    <w:rsid w:val="00F40311"/>
    <w:rsid w:val="00F404DB"/>
    <w:rsid w:val="00F40570"/>
    <w:rsid w:val="00F40618"/>
    <w:rsid w:val="00F4085F"/>
    <w:rsid w:val="00F40915"/>
    <w:rsid w:val="00F4091C"/>
    <w:rsid w:val="00F40980"/>
    <w:rsid w:val="00F40AEF"/>
    <w:rsid w:val="00F40B5D"/>
    <w:rsid w:val="00F40B64"/>
    <w:rsid w:val="00F40B7D"/>
    <w:rsid w:val="00F40D30"/>
    <w:rsid w:val="00F40FC8"/>
    <w:rsid w:val="00F412A7"/>
    <w:rsid w:val="00F41459"/>
    <w:rsid w:val="00F414C4"/>
    <w:rsid w:val="00F4155A"/>
    <w:rsid w:val="00F416AE"/>
    <w:rsid w:val="00F416DD"/>
    <w:rsid w:val="00F418D2"/>
    <w:rsid w:val="00F41A9A"/>
    <w:rsid w:val="00F41B10"/>
    <w:rsid w:val="00F41C5B"/>
    <w:rsid w:val="00F41D0A"/>
    <w:rsid w:val="00F41E64"/>
    <w:rsid w:val="00F41EAC"/>
    <w:rsid w:val="00F41F3D"/>
    <w:rsid w:val="00F421CC"/>
    <w:rsid w:val="00F423DE"/>
    <w:rsid w:val="00F425FC"/>
    <w:rsid w:val="00F427AA"/>
    <w:rsid w:val="00F4287F"/>
    <w:rsid w:val="00F42B47"/>
    <w:rsid w:val="00F42C2A"/>
    <w:rsid w:val="00F42F75"/>
    <w:rsid w:val="00F43027"/>
    <w:rsid w:val="00F43093"/>
    <w:rsid w:val="00F430BD"/>
    <w:rsid w:val="00F431A5"/>
    <w:rsid w:val="00F43256"/>
    <w:rsid w:val="00F43393"/>
    <w:rsid w:val="00F434EB"/>
    <w:rsid w:val="00F434EE"/>
    <w:rsid w:val="00F435A2"/>
    <w:rsid w:val="00F4393D"/>
    <w:rsid w:val="00F4396A"/>
    <w:rsid w:val="00F43A38"/>
    <w:rsid w:val="00F43A39"/>
    <w:rsid w:val="00F43E72"/>
    <w:rsid w:val="00F43E79"/>
    <w:rsid w:val="00F43E86"/>
    <w:rsid w:val="00F44146"/>
    <w:rsid w:val="00F4445A"/>
    <w:rsid w:val="00F44640"/>
    <w:rsid w:val="00F44683"/>
    <w:rsid w:val="00F446FC"/>
    <w:rsid w:val="00F4495D"/>
    <w:rsid w:val="00F44BD5"/>
    <w:rsid w:val="00F44C54"/>
    <w:rsid w:val="00F44C5B"/>
    <w:rsid w:val="00F44D46"/>
    <w:rsid w:val="00F44E1E"/>
    <w:rsid w:val="00F44ED8"/>
    <w:rsid w:val="00F45029"/>
    <w:rsid w:val="00F4533A"/>
    <w:rsid w:val="00F45402"/>
    <w:rsid w:val="00F45451"/>
    <w:rsid w:val="00F4558C"/>
    <w:rsid w:val="00F45592"/>
    <w:rsid w:val="00F45600"/>
    <w:rsid w:val="00F45762"/>
    <w:rsid w:val="00F458A1"/>
    <w:rsid w:val="00F45921"/>
    <w:rsid w:val="00F45C2E"/>
    <w:rsid w:val="00F45D6F"/>
    <w:rsid w:val="00F45E61"/>
    <w:rsid w:val="00F45FE8"/>
    <w:rsid w:val="00F46000"/>
    <w:rsid w:val="00F46211"/>
    <w:rsid w:val="00F4636D"/>
    <w:rsid w:val="00F46379"/>
    <w:rsid w:val="00F46488"/>
    <w:rsid w:val="00F465B7"/>
    <w:rsid w:val="00F46692"/>
    <w:rsid w:val="00F46745"/>
    <w:rsid w:val="00F468BE"/>
    <w:rsid w:val="00F469FB"/>
    <w:rsid w:val="00F46A5B"/>
    <w:rsid w:val="00F46ACD"/>
    <w:rsid w:val="00F46ACE"/>
    <w:rsid w:val="00F46B19"/>
    <w:rsid w:val="00F46DC4"/>
    <w:rsid w:val="00F47000"/>
    <w:rsid w:val="00F47081"/>
    <w:rsid w:val="00F470B7"/>
    <w:rsid w:val="00F4726C"/>
    <w:rsid w:val="00F47305"/>
    <w:rsid w:val="00F473E3"/>
    <w:rsid w:val="00F4748E"/>
    <w:rsid w:val="00F474FE"/>
    <w:rsid w:val="00F47546"/>
    <w:rsid w:val="00F478E5"/>
    <w:rsid w:val="00F479FD"/>
    <w:rsid w:val="00F47A1D"/>
    <w:rsid w:val="00F47A94"/>
    <w:rsid w:val="00F47BB5"/>
    <w:rsid w:val="00F47D57"/>
    <w:rsid w:val="00F47F19"/>
    <w:rsid w:val="00F47F67"/>
    <w:rsid w:val="00F505BA"/>
    <w:rsid w:val="00F5069B"/>
    <w:rsid w:val="00F50701"/>
    <w:rsid w:val="00F50B0E"/>
    <w:rsid w:val="00F51079"/>
    <w:rsid w:val="00F51589"/>
    <w:rsid w:val="00F51749"/>
    <w:rsid w:val="00F51965"/>
    <w:rsid w:val="00F51983"/>
    <w:rsid w:val="00F51996"/>
    <w:rsid w:val="00F51BEA"/>
    <w:rsid w:val="00F51C93"/>
    <w:rsid w:val="00F51E51"/>
    <w:rsid w:val="00F52401"/>
    <w:rsid w:val="00F52469"/>
    <w:rsid w:val="00F524EA"/>
    <w:rsid w:val="00F525BB"/>
    <w:rsid w:val="00F527BB"/>
    <w:rsid w:val="00F5292E"/>
    <w:rsid w:val="00F529E6"/>
    <w:rsid w:val="00F52A6D"/>
    <w:rsid w:val="00F52D28"/>
    <w:rsid w:val="00F52DC0"/>
    <w:rsid w:val="00F53008"/>
    <w:rsid w:val="00F531A8"/>
    <w:rsid w:val="00F53203"/>
    <w:rsid w:val="00F5330F"/>
    <w:rsid w:val="00F535AF"/>
    <w:rsid w:val="00F537D8"/>
    <w:rsid w:val="00F53865"/>
    <w:rsid w:val="00F53A4E"/>
    <w:rsid w:val="00F53AE3"/>
    <w:rsid w:val="00F53B03"/>
    <w:rsid w:val="00F53C51"/>
    <w:rsid w:val="00F53F45"/>
    <w:rsid w:val="00F54261"/>
    <w:rsid w:val="00F54284"/>
    <w:rsid w:val="00F5433E"/>
    <w:rsid w:val="00F54525"/>
    <w:rsid w:val="00F5457F"/>
    <w:rsid w:val="00F5460A"/>
    <w:rsid w:val="00F547FA"/>
    <w:rsid w:val="00F54877"/>
    <w:rsid w:val="00F5489D"/>
    <w:rsid w:val="00F54A7F"/>
    <w:rsid w:val="00F5501A"/>
    <w:rsid w:val="00F551CB"/>
    <w:rsid w:val="00F55250"/>
    <w:rsid w:val="00F5533A"/>
    <w:rsid w:val="00F5536A"/>
    <w:rsid w:val="00F5538E"/>
    <w:rsid w:val="00F5545F"/>
    <w:rsid w:val="00F554D5"/>
    <w:rsid w:val="00F5569D"/>
    <w:rsid w:val="00F55AC4"/>
    <w:rsid w:val="00F55BD9"/>
    <w:rsid w:val="00F55D94"/>
    <w:rsid w:val="00F55E57"/>
    <w:rsid w:val="00F55F29"/>
    <w:rsid w:val="00F55F41"/>
    <w:rsid w:val="00F56140"/>
    <w:rsid w:val="00F56199"/>
    <w:rsid w:val="00F5636B"/>
    <w:rsid w:val="00F56578"/>
    <w:rsid w:val="00F5676D"/>
    <w:rsid w:val="00F567EE"/>
    <w:rsid w:val="00F56827"/>
    <w:rsid w:val="00F56B9C"/>
    <w:rsid w:val="00F56DC9"/>
    <w:rsid w:val="00F56E96"/>
    <w:rsid w:val="00F56FAC"/>
    <w:rsid w:val="00F572E8"/>
    <w:rsid w:val="00F57516"/>
    <w:rsid w:val="00F57581"/>
    <w:rsid w:val="00F57692"/>
    <w:rsid w:val="00F57A66"/>
    <w:rsid w:val="00F57B70"/>
    <w:rsid w:val="00F57B81"/>
    <w:rsid w:val="00F57C6A"/>
    <w:rsid w:val="00F57DBA"/>
    <w:rsid w:val="00F57F65"/>
    <w:rsid w:val="00F600AA"/>
    <w:rsid w:val="00F60203"/>
    <w:rsid w:val="00F609C8"/>
    <w:rsid w:val="00F60D8F"/>
    <w:rsid w:val="00F60DC5"/>
    <w:rsid w:val="00F60E6C"/>
    <w:rsid w:val="00F60FAC"/>
    <w:rsid w:val="00F612E1"/>
    <w:rsid w:val="00F61323"/>
    <w:rsid w:val="00F61335"/>
    <w:rsid w:val="00F616C8"/>
    <w:rsid w:val="00F619F3"/>
    <w:rsid w:val="00F61A04"/>
    <w:rsid w:val="00F61AF1"/>
    <w:rsid w:val="00F61B6F"/>
    <w:rsid w:val="00F61C29"/>
    <w:rsid w:val="00F61C8D"/>
    <w:rsid w:val="00F61D22"/>
    <w:rsid w:val="00F61D53"/>
    <w:rsid w:val="00F61E82"/>
    <w:rsid w:val="00F61EBB"/>
    <w:rsid w:val="00F620BD"/>
    <w:rsid w:val="00F62228"/>
    <w:rsid w:val="00F62399"/>
    <w:rsid w:val="00F62824"/>
    <w:rsid w:val="00F62846"/>
    <w:rsid w:val="00F62998"/>
    <w:rsid w:val="00F62B80"/>
    <w:rsid w:val="00F62DB4"/>
    <w:rsid w:val="00F62E30"/>
    <w:rsid w:val="00F6310F"/>
    <w:rsid w:val="00F6312B"/>
    <w:rsid w:val="00F631CD"/>
    <w:rsid w:val="00F631D5"/>
    <w:rsid w:val="00F63291"/>
    <w:rsid w:val="00F6348D"/>
    <w:rsid w:val="00F635C7"/>
    <w:rsid w:val="00F6366A"/>
    <w:rsid w:val="00F63677"/>
    <w:rsid w:val="00F6377C"/>
    <w:rsid w:val="00F63836"/>
    <w:rsid w:val="00F63913"/>
    <w:rsid w:val="00F63BC0"/>
    <w:rsid w:val="00F63C14"/>
    <w:rsid w:val="00F63CD2"/>
    <w:rsid w:val="00F64210"/>
    <w:rsid w:val="00F642A6"/>
    <w:rsid w:val="00F64585"/>
    <w:rsid w:val="00F645EA"/>
    <w:rsid w:val="00F6481D"/>
    <w:rsid w:val="00F64AB2"/>
    <w:rsid w:val="00F64AD3"/>
    <w:rsid w:val="00F64BEE"/>
    <w:rsid w:val="00F64C1E"/>
    <w:rsid w:val="00F64D30"/>
    <w:rsid w:val="00F64EC7"/>
    <w:rsid w:val="00F64FF7"/>
    <w:rsid w:val="00F653CA"/>
    <w:rsid w:val="00F654FB"/>
    <w:rsid w:val="00F65556"/>
    <w:rsid w:val="00F656E9"/>
    <w:rsid w:val="00F65974"/>
    <w:rsid w:val="00F65AD2"/>
    <w:rsid w:val="00F65D39"/>
    <w:rsid w:val="00F65F50"/>
    <w:rsid w:val="00F65F74"/>
    <w:rsid w:val="00F6605D"/>
    <w:rsid w:val="00F66088"/>
    <w:rsid w:val="00F6616B"/>
    <w:rsid w:val="00F662E1"/>
    <w:rsid w:val="00F663E5"/>
    <w:rsid w:val="00F667B8"/>
    <w:rsid w:val="00F669FB"/>
    <w:rsid w:val="00F66A13"/>
    <w:rsid w:val="00F66A3E"/>
    <w:rsid w:val="00F66B59"/>
    <w:rsid w:val="00F66D4E"/>
    <w:rsid w:val="00F66DB8"/>
    <w:rsid w:val="00F66F99"/>
    <w:rsid w:val="00F670E5"/>
    <w:rsid w:val="00F670F9"/>
    <w:rsid w:val="00F67154"/>
    <w:rsid w:val="00F672F5"/>
    <w:rsid w:val="00F6748F"/>
    <w:rsid w:val="00F6753B"/>
    <w:rsid w:val="00F67584"/>
    <w:rsid w:val="00F67787"/>
    <w:rsid w:val="00F67882"/>
    <w:rsid w:val="00F678AF"/>
    <w:rsid w:val="00F678DD"/>
    <w:rsid w:val="00F67CF5"/>
    <w:rsid w:val="00F67ECC"/>
    <w:rsid w:val="00F67F4F"/>
    <w:rsid w:val="00F70028"/>
    <w:rsid w:val="00F70054"/>
    <w:rsid w:val="00F70100"/>
    <w:rsid w:val="00F70125"/>
    <w:rsid w:val="00F701EA"/>
    <w:rsid w:val="00F7044B"/>
    <w:rsid w:val="00F70473"/>
    <w:rsid w:val="00F70658"/>
    <w:rsid w:val="00F706F0"/>
    <w:rsid w:val="00F709A6"/>
    <w:rsid w:val="00F70C1E"/>
    <w:rsid w:val="00F70F27"/>
    <w:rsid w:val="00F7106C"/>
    <w:rsid w:val="00F712A6"/>
    <w:rsid w:val="00F71382"/>
    <w:rsid w:val="00F71498"/>
    <w:rsid w:val="00F7179C"/>
    <w:rsid w:val="00F71A24"/>
    <w:rsid w:val="00F71BAA"/>
    <w:rsid w:val="00F71E19"/>
    <w:rsid w:val="00F71FAC"/>
    <w:rsid w:val="00F72097"/>
    <w:rsid w:val="00F72353"/>
    <w:rsid w:val="00F72402"/>
    <w:rsid w:val="00F72428"/>
    <w:rsid w:val="00F7248D"/>
    <w:rsid w:val="00F724C1"/>
    <w:rsid w:val="00F7254A"/>
    <w:rsid w:val="00F72601"/>
    <w:rsid w:val="00F72654"/>
    <w:rsid w:val="00F726E9"/>
    <w:rsid w:val="00F72939"/>
    <w:rsid w:val="00F72B0F"/>
    <w:rsid w:val="00F72C2C"/>
    <w:rsid w:val="00F73196"/>
    <w:rsid w:val="00F731BF"/>
    <w:rsid w:val="00F7348C"/>
    <w:rsid w:val="00F73660"/>
    <w:rsid w:val="00F736F0"/>
    <w:rsid w:val="00F7375B"/>
    <w:rsid w:val="00F73799"/>
    <w:rsid w:val="00F7389E"/>
    <w:rsid w:val="00F738D1"/>
    <w:rsid w:val="00F739D5"/>
    <w:rsid w:val="00F73BAC"/>
    <w:rsid w:val="00F73BF7"/>
    <w:rsid w:val="00F73FCD"/>
    <w:rsid w:val="00F74756"/>
    <w:rsid w:val="00F7495A"/>
    <w:rsid w:val="00F74B18"/>
    <w:rsid w:val="00F74B3C"/>
    <w:rsid w:val="00F74D49"/>
    <w:rsid w:val="00F74DD1"/>
    <w:rsid w:val="00F751BF"/>
    <w:rsid w:val="00F75281"/>
    <w:rsid w:val="00F752FB"/>
    <w:rsid w:val="00F753EA"/>
    <w:rsid w:val="00F7547E"/>
    <w:rsid w:val="00F758A8"/>
    <w:rsid w:val="00F75B77"/>
    <w:rsid w:val="00F76117"/>
    <w:rsid w:val="00F762E3"/>
    <w:rsid w:val="00F764D2"/>
    <w:rsid w:val="00F7654B"/>
    <w:rsid w:val="00F7661E"/>
    <w:rsid w:val="00F76940"/>
    <w:rsid w:val="00F76A1A"/>
    <w:rsid w:val="00F76BA1"/>
    <w:rsid w:val="00F76CF1"/>
    <w:rsid w:val="00F76DE5"/>
    <w:rsid w:val="00F7718E"/>
    <w:rsid w:val="00F77217"/>
    <w:rsid w:val="00F773C1"/>
    <w:rsid w:val="00F77609"/>
    <w:rsid w:val="00F77637"/>
    <w:rsid w:val="00F77700"/>
    <w:rsid w:val="00F779D9"/>
    <w:rsid w:val="00F779E6"/>
    <w:rsid w:val="00F77A1C"/>
    <w:rsid w:val="00F77CB8"/>
    <w:rsid w:val="00F77E6B"/>
    <w:rsid w:val="00F77E92"/>
    <w:rsid w:val="00F77F76"/>
    <w:rsid w:val="00F80026"/>
    <w:rsid w:val="00F80143"/>
    <w:rsid w:val="00F80333"/>
    <w:rsid w:val="00F80421"/>
    <w:rsid w:val="00F80610"/>
    <w:rsid w:val="00F807C9"/>
    <w:rsid w:val="00F80863"/>
    <w:rsid w:val="00F80DBD"/>
    <w:rsid w:val="00F80E53"/>
    <w:rsid w:val="00F80EC3"/>
    <w:rsid w:val="00F80FAB"/>
    <w:rsid w:val="00F8123F"/>
    <w:rsid w:val="00F812A8"/>
    <w:rsid w:val="00F8130D"/>
    <w:rsid w:val="00F81526"/>
    <w:rsid w:val="00F815B9"/>
    <w:rsid w:val="00F81681"/>
    <w:rsid w:val="00F816E6"/>
    <w:rsid w:val="00F8170B"/>
    <w:rsid w:val="00F81963"/>
    <w:rsid w:val="00F81EBE"/>
    <w:rsid w:val="00F81F3E"/>
    <w:rsid w:val="00F82007"/>
    <w:rsid w:val="00F821E3"/>
    <w:rsid w:val="00F82562"/>
    <w:rsid w:val="00F825CA"/>
    <w:rsid w:val="00F826EC"/>
    <w:rsid w:val="00F82757"/>
    <w:rsid w:val="00F827BC"/>
    <w:rsid w:val="00F82A7C"/>
    <w:rsid w:val="00F82B91"/>
    <w:rsid w:val="00F82D25"/>
    <w:rsid w:val="00F82D4B"/>
    <w:rsid w:val="00F8300F"/>
    <w:rsid w:val="00F83041"/>
    <w:rsid w:val="00F83129"/>
    <w:rsid w:val="00F8329E"/>
    <w:rsid w:val="00F832E1"/>
    <w:rsid w:val="00F83322"/>
    <w:rsid w:val="00F8339D"/>
    <w:rsid w:val="00F834E5"/>
    <w:rsid w:val="00F83658"/>
    <w:rsid w:val="00F838CB"/>
    <w:rsid w:val="00F8391A"/>
    <w:rsid w:val="00F8398F"/>
    <w:rsid w:val="00F839AD"/>
    <w:rsid w:val="00F83BCE"/>
    <w:rsid w:val="00F83C9F"/>
    <w:rsid w:val="00F83DBC"/>
    <w:rsid w:val="00F84051"/>
    <w:rsid w:val="00F84237"/>
    <w:rsid w:val="00F847A6"/>
    <w:rsid w:val="00F847F0"/>
    <w:rsid w:val="00F84806"/>
    <w:rsid w:val="00F84980"/>
    <w:rsid w:val="00F849ED"/>
    <w:rsid w:val="00F84AEC"/>
    <w:rsid w:val="00F84B12"/>
    <w:rsid w:val="00F84C70"/>
    <w:rsid w:val="00F84C71"/>
    <w:rsid w:val="00F84D2F"/>
    <w:rsid w:val="00F8514B"/>
    <w:rsid w:val="00F85154"/>
    <w:rsid w:val="00F8539B"/>
    <w:rsid w:val="00F8543D"/>
    <w:rsid w:val="00F85737"/>
    <w:rsid w:val="00F8575F"/>
    <w:rsid w:val="00F858FE"/>
    <w:rsid w:val="00F859A8"/>
    <w:rsid w:val="00F85A37"/>
    <w:rsid w:val="00F85B0A"/>
    <w:rsid w:val="00F85B1D"/>
    <w:rsid w:val="00F85C0F"/>
    <w:rsid w:val="00F85E21"/>
    <w:rsid w:val="00F85FDE"/>
    <w:rsid w:val="00F86070"/>
    <w:rsid w:val="00F8621D"/>
    <w:rsid w:val="00F86235"/>
    <w:rsid w:val="00F86261"/>
    <w:rsid w:val="00F862CA"/>
    <w:rsid w:val="00F86388"/>
    <w:rsid w:val="00F86473"/>
    <w:rsid w:val="00F86490"/>
    <w:rsid w:val="00F8656D"/>
    <w:rsid w:val="00F86676"/>
    <w:rsid w:val="00F868D6"/>
    <w:rsid w:val="00F86980"/>
    <w:rsid w:val="00F869B7"/>
    <w:rsid w:val="00F86B87"/>
    <w:rsid w:val="00F86CA3"/>
    <w:rsid w:val="00F86DFD"/>
    <w:rsid w:val="00F86FBA"/>
    <w:rsid w:val="00F87029"/>
    <w:rsid w:val="00F87090"/>
    <w:rsid w:val="00F87170"/>
    <w:rsid w:val="00F87219"/>
    <w:rsid w:val="00F87299"/>
    <w:rsid w:val="00F87312"/>
    <w:rsid w:val="00F87378"/>
    <w:rsid w:val="00F873B3"/>
    <w:rsid w:val="00F8745E"/>
    <w:rsid w:val="00F877C8"/>
    <w:rsid w:val="00F87BC7"/>
    <w:rsid w:val="00F87BF9"/>
    <w:rsid w:val="00F9000A"/>
    <w:rsid w:val="00F90440"/>
    <w:rsid w:val="00F90595"/>
    <w:rsid w:val="00F90685"/>
    <w:rsid w:val="00F908E6"/>
    <w:rsid w:val="00F9095E"/>
    <w:rsid w:val="00F90A28"/>
    <w:rsid w:val="00F910BF"/>
    <w:rsid w:val="00F912BE"/>
    <w:rsid w:val="00F91314"/>
    <w:rsid w:val="00F91699"/>
    <w:rsid w:val="00F91953"/>
    <w:rsid w:val="00F91AB0"/>
    <w:rsid w:val="00F91AC0"/>
    <w:rsid w:val="00F92166"/>
    <w:rsid w:val="00F92209"/>
    <w:rsid w:val="00F925EF"/>
    <w:rsid w:val="00F925FE"/>
    <w:rsid w:val="00F9268C"/>
    <w:rsid w:val="00F92736"/>
    <w:rsid w:val="00F92771"/>
    <w:rsid w:val="00F927E1"/>
    <w:rsid w:val="00F92897"/>
    <w:rsid w:val="00F928AB"/>
    <w:rsid w:val="00F92BB1"/>
    <w:rsid w:val="00F92C64"/>
    <w:rsid w:val="00F92E50"/>
    <w:rsid w:val="00F92EF0"/>
    <w:rsid w:val="00F92F34"/>
    <w:rsid w:val="00F930EE"/>
    <w:rsid w:val="00F932CE"/>
    <w:rsid w:val="00F93626"/>
    <w:rsid w:val="00F93B46"/>
    <w:rsid w:val="00F93BD6"/>
    <w:rsid w:val="00F93D60"/>
    <w:rsid w:val="00F9411B"/>
    <w:rsid w:val="00F94282"/>
    <w:rsid w:val="00F94714"/>
    <w:rsid w:val="00F94C4C"/>
    <w:rsid w:val="00F94E4B"/>
    <w:rsid w:val="00F94E78"/>
    <w:rsid w:val="00F94F42"/>
    <w:rsid w:val="00F94F51"/>
    <w:rsid w:val="00F95040"/>
    <w:rsid w:val="00F95106"/>
    <w:rsid w:val="00F9510A"/>
    <w:rsid w:val="00F9520E"/>
    <w:rsid w:val="00F95236"/>
    <w:rsid w:val="00F9559F"/>
    <w:rsid w:val="00F955BA"/>
    <w:rsid w:val="00F95601"/>
    <w:rsid w:val="00F95648"/>
    <w:rsid w:val="00F958FE"/>
    <w:rsid w:val="00F95972"/>
    <w:rsid w:val="00F95B79"/>
    <w:rsid w:val="00F95CA1"/>
    <w:rsid w:val="00F95D33"/>
    <w:rsid w:val="00F95E8E"/>
    <w:rsid w:val="00F9628E"/>
    <w:rsid w:val="00F964CC"/>
    <w:rsid w:val="00F9655F"/>
    <w:rsid w:val="00F966BA"/>
    <w:rsid w:val="00F966C1"/>
    <w:rsid w:val="00F967D5"/>
    <w:rsid w:val="00F96928"/>
    <w:rsid w:val="00F96978"/>
    <w:rsid w:val="00F96AB0"/>
    <w:rsid w:val="00F96C5F"/>
    <w:rsid w:val="00F96DBA"/>
    <w:rsid w:val="00F96E45"/>
    <w:rsid w:val="00F96E47"/>
    <w:rsid w:val="00F96E78"/>
    <w:rsid w:val="00F970CC"/>
    <w:rsid w:val="00F97380"/>
    <w:rsid w:val="00F976C7"/>
    <w:rsid w:val="00F9788A"/>
    <w:rsid w:val="00F978A4"/>
    <w:rsid w:val="00F978FD"/>
    <w:rsid w:val="00F979B7"/>
    <w:rsid w:val="00F979BF"/>
    <w:rsid w:val="00F97A35"/>
    <w:rsid w:val="00F97B44"/>
    <w:rsid w:val="00F97E62"/>
    <w:rsid w:val="00FA0568"/>
    <w:rsid w:val="00FA057D"/>
    <w:rsid w:val="00FA06D7"/>
    <w:rsid w:val="00FA0730"/>
    <w:rsid w:val="00FA076D"/>
    <w:rsid w:val="00FA1248"/>
    <w:rsid w:val="00FA1494"/>
    <w:rsid w:val="00FA1662"/>
    <w:rsid w:val="00FA1736"/>
    <w:rsid w:val="00FA1857"/>
    <w:rsid w:val="00FA1B02"/>
    <w:rsid w:val="00FA1C72"/>
    <w:rsid w:val="00FA1D0D"/>
    <w:rsid w:val="00FA1D48"/>
    <w:rsid w:val="00FA2081"/>
    <w:rsid w:val="00FA20A4"/>
    <w:rsid w:val="00FA2141"/>
    <w:rsid w:val="00FA22C8"/>
    <w:rsid w:val="00FA2325"/>
    <w:rsid w:val="00FA240C"/>
    <w:rsid w:val="00FA24D0"/>
    <w:rsid w:val="00FA2755"/>
    <w:rsid w:val="00FA2A60"/>
    <w:rsid w:val="00FA2B12"/>
    <w:rsid w:val="00FA2BC0"/>
    <w:rsid w:val="00FA2D70"/>
    <w:rsid w:val="00FA2F22"/>
    <w:rsid w:val="00FA2F52"/>
    <w:rsid w:val="00FA3273"/>
    <w:rsid w:val="00FA32B3"/>
    <w:rsid w:val="00FA3359"/>
    <w:rsid w:val="00FA3428"/>
    <w:rsid w:val="00FA3557"/>
    <w:rsid w:val="00FA35FB"/>
    <w:rsid w:val="00FA3646"/>
    <w:rsid w:val="00FA3681"/>
    <w:rsid w:val="00FA395E"/>
    <w:rsid w:val="00FA39CD"/>
    <w:rsid w:val="00FA3A52"/>
    <w:rsid w:val="00FA3DEA"/>
    <w:rsid w:val="00FA3EE7"/>
    <w:rsid w:val="00FA3FBB"/>
    <w:rsid w:val="00FA4294"/>
    <w:rsid w:val="00FA4308"/>
    <w:rsid w:val="00FA43AB"/>
    <w:rsid w:val="00FA447F"/>
    <w:rsid w:val="00FA44E7"/>
    <w:rsid w:val="00FA45E1"/>
    <w:rsid w:val="00FA4934"/>
    <w:rsid w:val="00FA4AE9"/>
    <w:rsid w:val="00FA4B79"/>
    <w:rsid w:val="00FA4C27"/>
    <w:rsid w:val="00FA4C71"/>
    <w:rsid w:val="00FA4D92"/>
    <w:rsid w:val="00FA4DC1"/>
    <w:rsid w:val="00FA4E5B"/>
    <w:rsid w:val="00FA51B0"/>
    <w:rsid w:val="00FA51F4"/>
    <w:rsid w:val="00FA55F2"/>
    <w:rsid w:val="00FA5AC6"/>
    <w:rsid w:val="00FA5D20"/>
    <w:rsid w:val="00FA5D81"/>
    <w:rsid w:val="00FA5DA9"/>
    <w:rsid w:val="00FA5F0B"/>
    <w:rsid w:val="00FA6025"/>
    <w:rsid w:val="00FA611A"/>
    <w:rsid w:val="00FA6561"/>
    <w:rsid w:val="00FA6587"/>
    <w:rsid w:val="00FA6597"/>
    <w:rsid w:val="00FA6728"/>
    <w:rsid w:val="00FA6793"/>
    <w:rsid w:val="00FA68C2"/>
    <w:rsid w:val="00FA6906"/>
    <w:rsid w:val="00FA690C"/>
    <w:rsid w:val="00FA6AC5"/>
    <w:rsid w:val="00FA6DD9"/>
    <w:rsid w:val="00FA6F74"/>
    <w:rsid w:val="00FA71D3"/>
    <w:rsid w:val="00FA71EC"/>
    <w:rsid w:val="00FA7398"/>
    <w:rsid w:val="00FA74EA"/>
    <w:rsid w:val="00FA760D"/>
    <w:rsid w:val="00FA780D"/>
    <w:rsid w:val="00FA7830"/>
    <w:rsid w:val="00FA7858"/>
    <w:rsid w:val="00FA79AC"/>
    <w:rsid w:val="00FA7A01"/>
    <w:rsid w:val="00FA7A0F"/>
    <w:rsid w:val="00FA7D40"/>
    <w:rsid w:val="00FA7D7E"/>
    <w:rsid w:val="00FB0065"/>
    <w:rsid w:val="00FB00BE"/>
    <w:rsid w:val="00FB04CB"/>
    <w:rsid w:val="00FB0539"/>
    <w:rsid w:val="00FB059D"/>
    <w:rsid w:val="00FB06B3"/>
    <w:rsid w:val="00FB099B"/>
    <w:rsid w:val="00FB0B22"/>
    <w:rsid w:val="00FB0C98"/>
    <w:rsid w:val="00FB0D17"/>
    <w:rsid w:val="00FB160E"/>
    <w:rsid w:val="00FB16B6"/>
    <w:rsid w:val="00FB1745"/>
    <w:rsid w:val="00FB1794"/>
    <w:rsid w:val="00FB1B74"/>
    <w:rsid w:val="00FB215C"/>
    <w:rsid w:val="00FB24B0"/>
    <w:rsid w:val="00FB255B"/>
    <w:rsid w:val="00FB265C"/>
    <w:rsid w:val="00FB2A27"/>
    <w:rsid w:val="00FB2A38"/>
    <w:rsid w:val="00FB2AEE"/>
    <w:rsid w:val="00FB2C53"/>
    <w:rsid w:val="00FB2CDC"/>
    <w:rsid w:val="00FB2D01"/>
    <w:rsid w:val="00FB2F8E"/>
    <w:rsid w:val="00FB3298"/>
    <w:rsid w:val="00FB331E"/>
    <w:rsid w:val="00FB3393"/>
    <w:rsid w:val="00FB3473"/>
    <w:rsid w:val="00FB34B8"/>
    <w:rsid w:val="00FB3605"/>
    <w:rsid w:val="00FB36EB"/>
    <w:rsid w:val="00FB3748"/>
    <w:rsid w:val="00FB394B"/>
    <w:rsid w:val="00FB3974"/>
    <w:rsid w:val="00FB3B47"/>
    <w:rsid w:val="00FB3BD2"/>
    <w:rsid w:val="00FB3C89"/>
    <w:rsid w:val="00FB3CCD"/>
    <w:rsid w:val="00FB3F74"/>
    <w:rsid w:val="00FB43B5"/>
    <w:rsid w:val="00FB43F9"/>
    <w:rsid w:val="00FB4444"/>
    <w:rsid w:val="00FB4475"/>
    <w:rsid w:val="00FB447A"/>
    <w:rsid w:val="00FB455C"/>
    <w:rsid w:val="00FB470A"/>
    <w:rsid w:val="00FB4746"/>
    <w:rsid w:val="00FB4AF3"/>
    <w:rsid w:val="00FB4CB1"/>
    <w:rsid w:val="00FB4D06"/>
    <w:rsid w:val="00FB503D"/>
    <w:rsid w:val="00FB50D6"/>
    <w:rsid w:val="00FB5185"/>
    <w:rsid w:val="00FB51D1"/>
    <w:rsid w:val="00FB5252"/>
    <w:rsid w:val="00FB5541"/>
    <w:rsid w:val="00FB567D"/>
    <w:rsid w:val="00FB5F64"/>
    <w:rsid w:val="00FB6060"/>
    <w:rsid w:val="00FB60DC"/>
    <w:rsid w:val="00FB61D7"/>
    <w:rsid w:val="00FB6290"/>
    <w:rsid w:val="00FB62E6"/>
    <w:rsid w:val="00FB6403"/>
    <w:rsid w:val="00FB644B"/>
    <w:rsid w:val="00FB64FD"/>
    <w:rsid w:val="00FB65CB"/>
    <w:rsid w:val="00FB6697"/>
    <w:rsid w:val="00FB6950"/>
    <w:rsid w:val="00FB69BF"/>
    <w:rsid w:val="00FB69F5"/>
    <w:rsid w:val="00FB6A05"/>
    <w:rsid w:val="00FB6B70"/>
    <w:rsid w:val="00FB6B87"/>
    <w:rsid w:val="00FB6BB1"/>
    <w:rsid w:val="00FB6C42"/>
    <w:rsid w:val="00FB6DAB"/>
    <w:rsid w:val="00FB6FFC"/>
    <w:rsid w:val="00FB7108"/>
    <w:rsid w:val="00FB7147"/>
    <w:rsid w:val="00FB72A0"/>
    <w:rsid w:val="00FB7377"/>
    <w:rsid w:val="00FB748D"/>
    <w:rsid w:val="00FB7577"/>
    <w:rsid w:val="00FB7D9E"/>
    <w:rsid w:val="00FB7F53"/>
    <w:rsid w:val="00FC0175"/>
    <w:rsid w:val="00FC02BD"/>
    <w:rsid w:val="00FC0407"/>
    <w:rsid w:val="00FC0788"/>
    <w:rsid w:val="00FC07A0"/>
    <w:rsid w:val="00FC093E"/>
    <w:rsid w:val="00FC0A08"/>
    <w:rsid w:val="00FC0A78"/>
    <w:rsid w:val="00FC0B3C"/>
    <w:rsid w:val="00FC0C43"/>
    <w:rsid w:val="00FC0F4D"/>
    <w:rsid w:val="00FC0FCF"/>
    <w:rsid w:val="00FC0FDD"/>
    <w:rsid w:val="00FC1018"/>
    <w:rsid w:val="00FC109B"/>
    <w:rsid w:val="00FC126B"/>
    <w:rsid w:val="00FC1439"/>
    <w:rsid w:val="00FC1482"/>
    <w:rsid w:val="00FC14A3"/>
    <w:rsid w:val="00FC19F1"/>
    <w:rsid w:val="00FC1A6C"/>
    <w:rsid w:val="00FC1A77"/>
    <w:rsid w:val="00FC1ACB"/>
    <w:rsid w:val="00FC1AED"/>
    <w:rsid w:val="00FC1BF6"/>
    <w:rsid w:val="00FC1C5E"/>
    <w:rsid w:val="00FC1C6F"/>
    <w:rsid w:val="00FC1D6C"/>
    <w:rsid w:val="00FC1DAA"/>
    <w:rsid w:val="00FC1DD4"/>
    <w:rsid w:val="00FC1F18"/>
    <w:rsid w:val="00FC1F88"/>
    <w:rsid w:val="00FC1FEA"/>
    <w:rsid w:val="00FC206C"/>
    <w:rsid w:val="00FC26FF"/>
    <w:rsid w:val="00FC2804"/>
    <w:rsid w:val="00FC2840"/>
    <w:rsid w:val="00FC2931"/>
    <w:rsid w:val="00FC29A2"/>
    <w:rsid w:val="00FC2C2A"/>
    <w:rsid w:val="00FC2DA0"/>
    <w:rsid w:val="00FC2E7E"/>
    <w:rsid w:val="00FC3024"/>
    <w:rsid w:val="00FC303A"/>
    <w:rsid w:val="00FC326C"/>
    <w:rsid w:val="00FC376E"/>
    <w:rsid w:val="00FC381A"/>
    <w:rsid w:val="00FC392A"/>
    <w:rsid w:val="00FC3C5E"/>
    <w:rsid w:val="00FC3D07"/>
    <w:rsid w:val="00FC3E92"/>
    <w:rsid w:val="00FC3F43"/>
    <w:rsid w:val="00FC3F89"/>
    <w:rsid w:val="00FC436C"/>
    <w:rsid w:val="00FC4484"/>
    <w:rsid w:val="00FC4541"/>
    <w:rsid w:val="00FC4AC4"/>
    <w:rsid w:val="00FC4AFF"/>
    <w:rsid w:val="00FC4B5A"/>
    <w:rsid w:val="00FC4C04"/>
    <w:rsid w:val="00FC4EDD"/>
    <w:rsid w:val="00FC5033"/>
    <w:rsid w:val="00FC54A2"/>
    <w:rsid w:val="00FC5681"/>
    <w:rsid w:val="00FC5B4B"/>
    <w:rsid w:val="00FC5BDB"/>
    <w:rsid w:val="00FC5C9D"/>
    <w:rsid w:val="00FC5CCF"/>
    <w:rsid w:val="00FC5E69"/>
    <w:rsid w:val="00FC5F1E"/>
    <w:rsid w:val="00FC626B"/>
    <w:rsid w:val="00FC6364"/>
    <w:rsid w:val="00FC65ED"/>
    <w:rsid w:val="00FC6A28"/>
    <w:rsid w:val="00FC6B67"/>
    <w:rsid w:val="00FC6BA3"/>
    <w:rsid w:val="00FC6E25"/>
    <w:rsid w:val="00FC6E67"/>
    <w:rsid w:val="00FC6E92"/>
    <w:rsid w:val="00FC6ED9"/>
    <w:rsid w:val="00FC71D1"/>
    <w:rsid w:val="00FC749B"/>
    <w:rsid w:val="00FC759F"/>
    <w:rsid w:val="00FC75DA"/>
    <w:rsid w:val="00FC7645"/>
    <w:rsid w:val="00FC7794"/>
    <w:rsid w:val="00FC77D9"/>
    <w:rsid w:val="00FC78C3"/>
    <w:rsid w:val="00FC791D"/>
    <w:rsid w:val="00FC7A28"/>
    <w:rsid w:val="00FC7A56"/>
    <w:rsid w:val="00FC7C12"/>
    <w:rsid w:val="00FC7D40"/>
    <w:rsid w:val="00FC7F56"/>
    <w:rsid w:val="00FD0063"/>
    <w:rsid w:val="00FD01C8"/>
    <w:rsid w:val="00FD01CE"/>
    <w:rsid w:val="00FD032F"/>
    <w:rsid w:val="00FD0353"/>
    <w:rsid w:val="00FD064C"/>
    <w:rsid w:val="00FD065C"/>
    <w:rsid w:val="00FD071F"/>
    <w:rsid w:val="00FD0812"/>
    <w:rsid w:val="00FD089D"/>
    <w:rsid w:val="00FD090B"/>
    <w:rsid w:val="00FD0946"/>
    <w:rsid w:val="00FD0B70"/>
    <w:rsid w:val="00FD0B87"/>
    <w:rsid w:val="00FD0C67"/>
    <w:rsid w:val="00FD0D26"/>
    <w:rsid w:val="00FD0E3F"/>
    <w:rsid w:val="00FD0FB8"/>
    <w:rsid w:val="00FD109A"/>
    <w:rsid w:val="00FD116E"/>
    <w:rsid w:val="00FD124C"/>
    <w:rsid w:val="00FD1254"/>
    <w:rsid w:val="00FD1276"/>
    <w:rsid w:val="00FD171F"/>
    <w:rsid w:val="00FD1844"/>
    <w:rsid w:val="00FD18CD"/>
    <w:rsid w:val="00FD19AC"/>
    <w:rsid w:val="00FD1A15"/>
    <w:rsid w:val="00FD1B8C"/>
    <w:rsid w:val="00FD1C3D"/>
    <w:rsid w:val="00FD1E02"/>
    <w:rsid w:val="00FD22F3"/>
    <w:rsid w:val="00FD2309"/>
    <w:rsid w:val="00FD23A8"/>
    <w:rsid w:val="00FD23BA"/>
    <w:rsid w:val="00FD24F1"/>
    <w:rsid w:val="00FD25E2"/>
    <w:rsid w:val="00FD28F4"/>
    <w:rsid w:val="00FD28FC"/>
    <w:rsid w:val="00FD290E"/>
    <w:rsid w:val="00FD299E"/>
    <w:rsid w:val="00FD29CE"/>
    <w:rsid w:val="00FD2ADC"/>
    <w:rsid w:val="00FD2B50"/>
    <w:rsid w:val="00FD2CE6"/>
    <w:rsid w:val="00FD2D5E"/>
    <w:rsid w:val="00FD2E14"/>
    <w:rsid w:val="00FD3000"/>
    <w:rsid w:val="00FD3064"/>
    <w:rsid w:val="00FD34E9"/>
    <w:rsid w:val="00FD36EF"/>
    <w:rsid w:val="00FD38BB"/>
    <w:rsid w:val="00FD38BE"/>
    <w:rsid w:val="00FD3F42"/>
    <w:rsid w:val="00FD3F67"/>
    <w:rsid w:val="00FD431D"/>
    <w:rsid w:val="00FD43AB"/>
    <w:rsid w:val="00FD4623"/>
    <w:rsid w:val="00FD46D7"/>
    <w:rsid w:val="00FD4987"/>
    <w:rsid w:val="00FD4CD8"/>
    <w:rsid w:val="00FD4EB9"/>
    <w:rsid w:val="00FD4F3B"/>
    <w:rsid w:val="00FD50FC"/>
    <w:rsid w:val="00FD5112"/>
    <w:rsid w:val="00FD521E"/>
    <w:rsid w:val="00FD52AC"/>
    <w:rsid w:val="00FD53F8"/>
    <w:rsid w:val="00FD5511"/>
    <w:rsid w:val="00FD575C"/>
    <w:rsid w:val="00FD576D"/>
    <w:rsid w:val="00FD57F6"/>
    <w:rsid w:val="00FD5B7D"/>
    <w:rsid w:val="00FD5F6F"/>
    <w:rsid w:val="00FD5F77"/>
    <w:rsid w:val="00FD60C3"/>
    <w:rsid w:val="00FD60FD"/>
    <w:rsid w:val="00FD6426"/>
    <w:rsid w:val="00FD6762"/>
    <w:rsid w:val="00FD6BFD"/>
    <w:rsid w:val="00FD7010"/>
    <w:rsid w:val="00FD70E9"/>
    <w:rsid w:val="00FD7115"/>
    <w:rsid w:val="00FD71A1"/>
    <w:rsid w:val="00FD7340"/>
    <w:rsid w:val="00FD7435"/>
    <w:rsid w:val="00FD7817"/>
    <w:rsid w:val="00FD7D29"/>
    <w:rsid w:val="00FD7D9A"/>
    <w:rsid w:val="00FD7E83"/>
    <w:rsid w:val="00FD7FD5"/>
    <w:rsid w:val="00FE0105"/>
    <w:rsid w:val="00FE02D3"/>
    <w:rsid w:val="00FE03A3"/>
    <w:rsid w:val="00FE0433"/>
    <w:rsid w:val="00FE054A"/>
    <w:rsid w:val="00FE05D4"/>
    <w:rsid w:val="00FE0620"/>
    <w:rsid w:val="00FE0665"/>
    <w:rsid w:val="00FE0781"/>
    <w:rsid w:val="00FE07B8"/>
    <w:rsid w:val="00FE0903"/>
    <w:rsid w:val="00FE0B02"/>
    <w:rsid w:val="00FE0B0F"/>
    <w:rsid w:val="00FE0E6D"/>
    <w:rsid w:val="00FE0EF0"/>
    <w:rsid w:val="00FE0F9E"/>
    <w:rsid w:val="00FE1118"/>
    <w:rsid w:val="00FE1199"/>
    <w:rsid w:val="00FE12E7"/>
    <w:rsid w:val="00FE146D"/>
    <w:rsid w:val="00FE148D"/>
    <w:rsid w:val="00FE1566"/>
    <w:rsid w:val="00FE166C"/>
    <w:rsid w:val="00FE1729"/>
    <w:rsid w:val="00FE1782"/>
    <w:rsid w:val="00FE1AAF"/>
    <w:rsid w:val="00FE1B45"/>
    <w:rsid w:val="00FE1BA9"/>
    <w:rsid w:val="00FE1E7C"/>
    <w:rsid w:val="00FE2135"/>
    <w:rsid w:val="00FE21D9"/>
    <w:rsid w:val="00FE2579"/>
    <w:rsid w:val="00FE261F"/>
    <w:rsid w:val="00FE267B"/>
    <w:rsid w:val="00FE2736"/>
    <w:rsid w:val="00FE27E7"/>
    <w:rsid w:val="00FE2822"/>
    <w:rsid w:val="00FE2861"/>
    <w:rsid w:val="00FE2961"/>
    <w:rsid w:val="00FE2D0F"/>
    <w:rsid w:val="00FE3071"/>
    <w:rsid w:val="00FE309F"/>
    <w:rsid w:val="00FE31D5"/>
    <w:rsid w:val="00FE342C"/>
    <w:rsid w:val="00FE342D"/>
    <w:rsid w:val="00FE3746"/>
    <w:rsid w:val="00FE3A91"/>
    <w:rsid w:val="00FE3B2A"/>
    <w:rsid w:val="00FE3DA9"/>
    <w:rsid w:val="00FE3E78"/>
    <w:rsid w:val="00FE3EBA"/>
    <w:rsid w:val="00FE3EE6"/>
    <w:rsid w:val="00FE3F62"/>
    <w:rsid w:val="00FE41FB"/>
    <w:rsid w:val="00FE4233"/>
    <w:rsid w:val="00FE423E"/>
    <w:rsid w:val="00FE45E9"/>
    <w:rsid w:val="00FE462A"/>
    <w:rsid w:val="00FE47A2"/>
    <w:rsid w:val="00FE4BB4"/>
    <w:rsid w:val="00FE4C2E"/>
    <w:rsid w:val="00FE4C66"/>
    <w:rsid w:val="00FE4D2C"/>
    <w:rsid w:val="00FE5098"/>
    <w:rsid w:val="00FE5155"/>
    <w:rsid w:val="00FE528D"/>
    <w:rsid w:val="00FE52CD"/>
    <w:rsid w:val="00FE5304"/>
    <w:rsid w:val="00FE5327"/>
    <w:rsid w:val="00FE5370"/>
    <w:rsid w:val="00FE5734"/>
    <w:rsid w:val="00FE574B"/>
    <w:rsid w:val="00FE5870"/>
    <w:rsid w:val="00FE5882"/>
    <w:rsid w:val="00FE5943"/>
    <w:rsid w:val="00FE5A8A"/>
    <w:rsid w:val="00FE5A8E"/>
    <w:rsid w:val="00FE5AD1"/>
    <w:rsid w:val="00FE5F04"/>
    <w:rsid w:val="00FE5FC8"/>
    <w:rsid w:val="00FE6321"/>
    <w:rsid w:val="00FE6369"/>
    <w:rsid w:val="00FE6830"/>
    <w:rsid w:val="00FE6B04"/>
    <w:rsid w:val="00FE6DDF"/>
    <w:rsid w:val="00FE7004"/>
    <w:rsid w:val="00FE70C2"/>
    <w:rsid w:val="00FE7169"/>
    <w:rsid w:val="00FE724B"/>
    <w:rsid w:val="00FE7379"/>
    <w:rsid w:val="00FE73BF"/>
    <w:rsid w:val="00FE7487"/>
    <w:rsid w:val="00FE7568"/>
    <w:rsid w:val="00FE7A2C"/>
    <w:rsid w:val="00FE7B33"/>
    <w:rsid w:val="00FE7BDF"/>
    <w:rsid w:val="00FE7D7B"/>
    <w:rsid w:val="00FE7E09"/>
    <w:rsid w:val="00FE7E40"/>
    <w:rsid w:val="00FE7F65"/>
    <w:rsid w:val="00FF00E5"/>
    <w:rsid w:val="00FF012C"/>
    <w:rsid w:val="00FF0156"/>
    <w:rsid w:val="00FF0516"/>
    <w:rsid w:val="00FF059A"/>
    <w:rsid w:val="00FF06E0"/>
    <w:rsid w:val="00FF06E7"/>
    <w:rsid w:val="00FF06E8"/>
    <w:rsid w:val="00FF0B0F"/>
    <w:rsid w:val="00FF0BA7"/>
    <w:rsid w:val="00FF10AE"/>
    <w:rsid w:val="00FF119B"/>
    <w:rsid w:val="00FF1253"/>
    <w:rsid w:val="00FF134C"/>
    <w:rsid w:val="00FF1428"/>
    <w:rsid w:val="00FF173C"/>
    <w:rsid w:val="00FF1927"/>
    <w:rsid w:val="00FF1B77"/>
    <w:rsid w:val="00FF1BDE"/>
    <w:rsid w:val="00FF1C76"/>
    <w:rsid w:val="00FF1DC8"/>
    <w:rsid w:val="00FF1F95"/>
    <w:rsid w:val="00FF206D"/>
    <w:rsid w:val="00FF2111"/>
    <w:rsid w:val="00FF2496"/>
    <w:rsid w:val="00FF24BF"/>
    <w:rsid w:val="00FF24F3"/>
    <w:rsid w:val="00FF2564"/>
    <w:rsid w:val="00FF259D"/>
    <w:rsid w:val="00FF2683"/>
    <w:rsid w:val="00FF26CB"/>
    <w:rsid w:val="00FF2954"/>
    <w:rsid w:val="00FF29D9"/>
    <w:rsid w:val="00FF2A02"/>
    <w:rsid w:val="00FF2AD2"/>
    <w:rsid w:val="00FF2BB1"/>
    <w:rsid w:val="00FF2C72"/>
    <w:rsid w:val="00FF2F7C"/>
    <w:rsid w:val="00FF3091"/>
    <w:rsid w:val="00FF31E7"/>
    <w:rsid w:val="00FF322D"/>
    <w:rsid w:val="00FF32DB"/>
    <w:rsid w:val="00FF336B"/>
    <w:rsid w:val="00FF35D3"/>
    <w:rsid w:val="00FF3787"/>
    <w:rsid w:val="00FF394D"/>
    <w:rsid w:val="00FF3B0C"/>
    <w:rsid w:val="00FF3BF5"/>
    <w:rsid w:val="00FF3D23"/>
    <w:rsid w:val="00FF3D66"/>
    <w:rsid w:val="00FF435F"/>
    <w:rsid w:val="00FF450C"/>
    <w:rsid w:val="00FF4617"/>
    <w:rsid w:val="00FF461B"/>
    <w:rsid w:val="00FF4648"/>
    <w:rsid w:val="00FF4805"/>
    <w:rsid w:val="00FF493F"/>
    <w:rsid w:val="00FF4982"/>
    <w:rsid w:val="00FF4AE0"/>
    <w:rsid w:val="00FF4BC5"/>
    <w:rsid w:val="00FF4C22"/>
    <w:rsid w:val="00FF4C83"/>
    <w:rsid w:val="00FF4CA0"/>
    <w:rsid w:val="00FF4CB7"/>
    <w:rsid w:val="00FF4E82"/>
    <w:rsid w:val="00FF5121"/>
    <w:rsid w:val="00FF512D"/>
    <w:rsid w:val="00FF51E7"/>
    <w:rsid w:val="00FF5316"/>
    <w:rsid w:val="00FF545B"/>
    <w:rsid w:val="00FF5525"/>
    <w:rsid w:val="00FF55C2"/>
    <w:rsid w:val="00FF570E"/>
    <w:rsid w:val="00FF58B3"/>
    <w:rsid w:val="00FF5DB3"/>
    <w:rsid w:val="00FF6069"/>
    <w:rsid w:val="00FF615C"/>
    <w:rsid w:val="00FF622E"/>
    <w:rsid w:val="00FF63F7"/>
    <w:rsid w:val="00FF63FC"/>
    <w:rsid w:val="00FF64D8"/>
    <w:rsid w:val="00FF6767"/>
    <w:rsid w:val="00FF6A31"/>
    <w:rsid w:val="00FF6B1B"/>
    <w:rsid w:val="00FF6C2D"/>
    <w:rsid w:val="00FF6EE4"/>
    <w:rsid w:val="00FF6FA2"/>
    <w:rsid w:val="00FF72D1"/>
    <w:rsid w:val="00FF7646"/>
    <w:rsid w:val="00FF76D9"/>
    <w:rsid w:val="00FF7725"/>
    <w:rsid w:val="00FF7874"/>
    <w:rsid w:val="00FF78ED"/>
    <w:rsid w:val="00FF7959"/>
    <w:rsid w:val="00FF7BC3"/>
    <w:rsid w:val="00FF7C2D"/>
    <w:rsid w:val="00FF7E7E"/>
    <w:rsid w:val="00FF7F16"/>
    <w:rsid w:val="01883179"/>
    <w:rsid w:val="03B35116"/>
    <w:rsid w:val="03DF0D2C"/>
    <w:rsid w:val="040B4647"/>
    <w:rsid w:val="046E0628"/>
    <w:rsid w:val="049E6E76"/>
    <w:rsid w:val="055E7E09"/>
    <w:rsid w:val="05C549FE"/>
    <w:rsid w:val="06E007F8"/>
    <w:rsid w:val="06F871CF"/>
    <w:rsid w:val="073627A0"/>
    <w:rsid w:val="07584AEB"/>
    <w:rsid w:val="0781436F"/>
    <w:rsid w:val="088122B6"/>
    <w:rsid w:val="089062DE"/>
    <w:rsid w:val="08B24E34"/>
    <w:rsid w:val="093737B0"/>
    <w:rsid w:val="093F4A24"/>
    <w:rsid w:val="098F5021"/>
    <w:rsid w:val="09CE3CBD"/>
    <w:rsid w:val="0A756B17"/>
    <w:rsid w:val="0B291799"/>
    <w:rsid w:val="0B4B2BE9"/>
    <w:rsid w:val="0B535CB1"/>
    <w:rsid w:val="0BBC23EE"/>
    <w:rsid w:val="0C0F45D2"/>
    <w:rsid w:val="0C8F7D1E"/>
    <w:rsid w:val="0CB907EB"/>
    <w:rsid w:val="0D1319F9"/>
    <w:rsid w:val="0DC45E00"/>
    <w:rsid w:val="0F7D5BD1"/>
    <w:rsid w:val="0F833F89"/>
    <w:rsid w:val="0FA21234"/>
    <w:rsid w:val="0FBB265E"/>
    <w:rsid w:val="109C2ADF"/>
    <w:rsid w:val="11721B43"/>
    <w:rsid w:val="123E3106"/>
    <w:rsid w:val="12FF051D"/>
    <w:rsid w:val="134B0FBE"/>
    <w:rsid w:val="13B501AC"/>
    <w:rsid w:val="14116AD5"/>
    <w:rsid w:val="14525280"/>
    <w:rsid w:val="15B87A29"/>
    <w:rsid w:val="15C97554"/>
    <w:rsid w:val="167D49EC"/>
    <w:rsid w:val="17BC4D10"/>
    <w:rsid w:val="17D0413C"/>
    <w:rsid w:val="1845216D"/>
    <w:rsid w:val="18866832"/>
    <w:rsid w:val="190C3D77"/>
    <w:rsid w:val="19A0632A"/>
    <w:rsid w:val="1A5C4606"/>
    <w:rsid w:val="1A6711C7"/>
    <w:rsid w:val="1B1A7325"/>
    <w:rsid w:val="1C414888"/>
    <w:rsid w:val="1C5F38F4"/>
    <w:rsid w:val="1C736AEB"/>
    <w:rsid w:val="1DDD1CDA"/>
    <w:rsid w:val="1DF61D6F"/>
    <w:rsid w:val="1E7E2AA9"/>
    <w:rsid w:val="21047C8E"/>
    <w:rsid w:val="2163725B"/>
    <w:rsid w:val="21D829F5"/>
    <w:rsid w:val="21F57DF7"/>
    <w:rsid w:val="22F14F54"/>
    <w:rsid w:val="23FF13E8"/>
    <w:rsid w:val="242D0CD2"/>
    <w:rsid w:val="24C56A38"/>
    <w:rsid w:val="250E6165"/>
    <w:rsid w:val="25B4311A"/>
    <w:rsid w:val="26023AB5"/>
    <w:rsid w:val="269964E0"/>
    <w:rsid w:val="28574314"/>
    <w:rsid w:val="285D0593"/>
    <w:rsid w:val="29484927"/>
    <w:rsid w:val="297C205D"/>
    <w:rsid w:val="29807546"/>
    <w:rsid w:val="2A4501EE"/>
    <w:rsid w:val="2A7B0074"/>
    <w:rsid w:val="2BB53416"/>
    <w:rsid w:val="2BDF4D9C"/>
    <w:rsid w:val="2C3B3D14"/>
    <w:rsid w:val="2CD01AD6"/>
    <w:rsid w:val="2D636AFB"/>
    <w:rsid w:val="2E2037AE"/>
    <w:rsid w:val="2E7F4540"/>
    <w:rsid w:val="2EE87176"/>
    <w:rsid w:val="30AF7E77"/>
    <w:rsid w:val="31046339"/>
    <w:rsid w:val="314A403D"/>
    <w:rsid w:val="315232A4"/>
    <w:rsid w:val="328B0812"/>
    <w:rsid w:val="335242E9"/>
    <w:rsid w:val="34573F6B"/>
    <w:rsid w:val="345F182F"/>
    <w:rsid w:val="35010949"/>
    <w:rsid w:val="3569191B"/>
    <w:rsid w:val="363643AE"/>
    <w:rsid w:val="37024373"/>
    <w:rsid w:val="370E6F4C"/>
    <w:rsid w:val="377E5B03"/>
    <w:rsid w:val="398936AA"/>
    <w:rsid w:val="39992477"/>
    <w:rsid w:val="3A79165C"/>
    <w:rsid w:val="3B1A1113"/>
    <w:rsid w:val="3B37452A"/>
    <w:rsid w:val="3B763D5F"/>
    <w:rsid w:val="3C1E1DBC"/>
    <w:rsid w:val="3C2A3B80"/>
    <w:rsid w:val="3C5104CB"/>
    <w:rsid w:val="3CD866F7"/>
    <w:rsid w:val="3DEA50F3"/>
    <w:rsid w:val="3E344D4C"/>
    <w:rsid w:val="3F152B44"/>
    <w:rsid w:val="3F416478"/>
    <w:rsid w:val="3F482634"/>
    <w:rsid w:val="3F802672"/>
    <w:rsid w:val="401D74AB"/>
    <w:rsid w:val="40371E23"/>
    <w:rsid w:val="40BD4FD8"/>
    <w:rsid w:val="41977120"/>
    <w:rsid w:val="42511005"/>
    <w:rsid w:val="42C42428"/>
    <w:rsid w:val="42DB232A"/>
    <w:rsid w:val="42E13807"/>
    <w:rsid w:val="433D1B0B"/>
    <w:rsid w:val="436A567E"/>
    <w:rsid w:val="4460740E"/>
    <w:rsid w:val="44860909"/>
    <w:rsid w:val="44A86B96"/>
    <w:rsid w:val="453364BC"/>
    <w:rsid w:val="45817C80"/>
    <w:rsid w:val="46207B51"/>
    <w:rsid w:val="462C02F9"/>
    <w:rsid w:val="46A6177F"/>
    <w:rsid w:val="484D6C60"/>
    <w:rsid w:val="485316B3"/>
    <w:rsid w:val="485C085D"/>
    <w:rsid w:val="49462AAD"/>
    <w:rsid w:val="4AF91F62"/>
    <w:rsid w:val="4B7239FC"/>
    <w:rsid w:val="4B7A667F"/>
    <w:rsid w:val="4B98084B"/>
    <w:rsid w:val="4E336F24"/>
    <w:rsid w:val="4EDA3E90"/>
    <w:rsid w:val="4F17012E"/>
    <w:rsid w:val="502273FF"/>
    <w:rsid w:val="5063038A"/>
    <w:rsid w:val="509F6920"/>
    <w:rsid w:val="50A711D6"/>
    <w:rsid w:val="50CE717A"/>
    <w:rsid w:val="52481F9F"/>
    <w:rsid w:val="53021246"/>
    <w:rsid w:val="5311439D"/>
    <w:rsid w:val="53B3645E"/>
    <w:rsid w:val="543E48EB"/>
    <w:rsid w:val="54673FFA"/>
    <w:rsid w:val="55E05CFD"/>
    <w:rsid w:val="56481D02"/>
    <w:rsid w:val="56EC4C51"/>
    <w:rsid w:val="57103ABB"/>
    <w:rsid w:val="578144C6"/>
    <w:rsid w:val="57BA2583"/>
    <w:rsid w:val="5838460D"/>
    <w:rsid w:val="596E0595"/>
    <w:rsid w:val="5B3E6E9F"/>
    <w:rsid w:val="5B5046BD"/>
    <w:rsid w:val="5BA93D8A"/>
    <w:rsid w:val="5BAA628E"/>
    <w:rsid w:val="5C385668"/>
    <w:rsid w:val="5C925F21"/>
    <w:rsid w:val="5D132A1D"/>
    <w:rsid w:val="5D592018"/>
    <w:rsid w:val="5DBF4104"/>
    <w:rsid w:val="5E68101C"/>
    <w:rsid w:val="5ECA2947"/>
    <w:rsid w:val="5EDB71D6"/>
    <w:rsid w:val="5F6E4A2C"/>
    <w:rsid w:val="5FE10529"/>
    <w:rsid w:val="600A2018"/>
    <w:rsid w:val="60997D3B"/>
    <w:rsid w:val="60BD61CE"/>
    <w:rsid w:val="60BD7A27"/>
    <w:rsid w:val="60C928D0"/>
    <w:rsid w:val="611504B0"/>
    <w:rsid w:val="64D002E4"/>
    <w:rsid w:val="653C3C17"/>
    <w:rsid w:val="655906E0"/>
    <w:rsid w:val="65D00EAF"/>
    <w:rsid w:val="66142784"/>
    <w:rsid w:val="679A4A0F"/>
    <w:rsid w:val="67D40974"/>
    <w:rsid w:val="68174D5D"/>
    <w:rsid w:val="6850015F"/>
    <w:rsid w:val="6873119B"/>
    <w:rsid w:val="6912278A"/>
    <w:rsid w:val="691F4A91"/>
    <w:rsid w:val="6922692F"/>
    <w:rsid w:val="6940727D"/>
    <w:rsid w:val="69857BBA"/>
    <w:rsid w:val="69917F8F"/>
    <w:rsid w:val="69BB608A"/>
    <w:rsid w:val="69E63961"/>
    <w:rsid w:val="6A6619AA"/>
    <w:rsid w:val="6ADB0F06"/>
    <w:rsid w:val="6BBF0DD4"/>
    <w:rsid w:val="6BC65D3D"/>
    <w:rsid w:val="6C177E6E"/>
    <w:rsid w:val="6C684758"/>
    <w:rsid w:val="6E8A0F73"/>
    <w:rsid w:val="6F2F727C"/>
    <w:rsid w:val="6FCE0152"/>
    <w:rsid w:val="70291E37"/>
    <w:rsid w:val="70AC1611"/>
    <w:rsid w:val="7208251E"/>
    <w:rsid w:val="72592960"/>
    <w:rsid w:val="726D1859"/>
    <w:rsid w:val="736C6D9B"/>
    <w:rsid w:val="73877321"/>
    <w:rsid w:val="73B33B6C"/>
    <w:rsid w:val="73D160A5"/>
    <w:rsid w:val="74227584"/>
    <w:rsid w:val="7471413E"/>
    <w:rsid w:val="74D1013A"/>
    <w:rsid w:val="752C4903"/>
    <w:rsid w:val="755A69A4"/>
    <w:rsid w:val="759938A5"/>
    <w:rsid w:val="76E65384"/>
    <w:rsid w:val="77482EA2"/>
    <w:rsid w:val="77F744DF"/>
    <w:rsid w:val="783C23C4"/>
    <w:rsid w:val="783F1D05"/>
    <w:rsid w:val="789323BB"/>
    <w:rsid w:val="78D0248C"/>
    <w:rsid w:val="797B6985"/>
    <w:rsid w:val="7A3B24C8"/>
    <w:rsid w:val="7BFB3E1F"/>
    <w:rsid w:val="7C3A761E"/>
    <w:rsid w:val="7C9C72D7"/>
    <w:rsid w:val="7CF2738A"/>
    <w:rsid w:val="7D807FDA"/>
    <w:rsid w:val="7E764FB7"/>
    <w:rsid w:val="7F110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105"/>
    <w:qFormat/>
    <w:uiPriority w:val="99"/>
    <w:pPr>
      <w:keepNext/>
      <w:keepLines/>
      <w:widowControl w:val="0"/>
      <w:spacing w:before="120" w:after="120" w:line="440" w:lineRule="exact"/>
      <w:jc w:val="center"/>
      <w:outlineLvl w:val="0"/>
    </w:pPr>
    <w:rPr>
      <w:rFonts w:eastAsia="华康简魏碑"/>
      <w:b/>
      <w:kern w:val="44"/>
      <w:sz w:val="32"/>
      <w:szCs w:val="20"/>
    </w:rPr>
  </w:style>
  <w:style w:type="paragraph" w:styleId="5">
    <w:name w:val="heading 2"/>
    <w:basedOn w:val="1"/>
    <w:next w:val="1"/>
    <w:link w:val="106"/>
    <w:qFormat/>
    <w:uiPriority w:val="99"/>
    <w:pPr>
      <w:keepNext/>
      <w:keepLines/>
      <w:widowControl w:val="0"/>
      <w:spacing w:before="240" w:line="480" w:lineRule="exact"/>
      <w:jc w:val="both"/>
      <w:outlineLvl w:val="1"/>
    </w:pPr>
    <w:rPr>
      <w:rFonts w:eastAsia="华康简魏碑"/>
      <w:b/>
      <w:kern w:val="2"/>
      <w:sz w:val="30"/>
      <w:szCs w:val="20"/>
    </w:rPr>
  </w:style>
  <w:style w:type="paragraph" w:styleId="6">
    <w:name w:val="heading 3"/>
    <w:basedOn w:val="1"/>
    <w:next w:val="1"/>
    <w:link w:val="107"/>
    <w:qFormat/>
    <w:uiPriority w:val="99"/>
    <w:pPr>
      <w:keepNext/>
      <w:keepLines/>
      <w:widowControl w:val="0"/>
      <w:spacing w:line="480" w:lineRule="exact"/>
      <w:jc w:val="both"/>
      <w:outlineLvl w:val="2"/>
    </w:pPr>
    <w:rPr>
      <w:rFonts w:eastAsia="华康简魏碑"/>
      <w:b/>
      <w:bCs/>
      <w:i/>
      <w:iCs/>
      <w:color w:val="000000"/>
      <w:kern w:val="2"/>
      <w:sz w:val="28"/>
      <w:szCs w:val="32"/>
    </w:rPr>
  </w:style>
  <w:style w:type="paragraph" w:styleId="7">
    <w:name w:val="heading 4"/>
    <w:basedOn w:val="1"/>
    <w:next w:val="1"/>
    <w:link w:val="318"/>
    <w:qFormat/>
    <w:uiPriority w:val="0"/>
    <w:pPr>
      <w:keepNext/>
      <w:keepLines/>
      <w:widowControl w:val="0"/>
      <w:numPr>
        <w:ilvl w:val="3"/>
        <w:numId w:val="1"/>
      </w:numPr>
      <w:adjustRightInd w:val="0"/>
      <w:spacing w:before="280" w:after="290" w:line="376" w:lineRule="auto"/>
      <w:textAlignment w:val="baseline"/>
      <w:outlineLvl w:val="3"/>
    </w:pPr>
    <w:rPr>
      <w:rFonts w:ascii="Arial" w:hAnsi="Arial" w:eastAsia="黑体"/>
      <w:b/>
      <w:sz w:val="28"/>
      <w:szCs w:val="20"/>
    </w:rPr>
  </w:style>
  <w:style w:type="paragraph" w:styleId="8">
    <w:name w:val="heading 5"/>
    <w:basedOn w:val="1"/>
    <w:next w:val="1"/>
    <w:link w:val="319"/>
    <w:qFormat/>
    <w:uiPriority w:val="0"/>
    <w:pPr>
      <w:keepNext/>
      <w:keepLines/>
      <w:widowControl w:val="0"/>
      <w:numPr>
        <w:ilvl w:val="4"/>
        <w:numId w:val="1"/>
      </w:numPr>
      <w:adjustRightInd w:val="0"/>
      <w:spacing w:before="280" w:after="290" w:line="376" w:lineRule="auto"/>
      <w:textAlignment w:val="baseline"/>
      <w:outlineLvl w:val="4"/>
    </w:pPr>
    <w:rPr>
      <w:rFonts w:eastAsia="仿宋_GB2312"/>
      <w:b/>
      <w:sz w:val="28"/>
      <w:szCs w:val="20"/>
    </w:rPr>
  </w:style>
  <w:style w:type="paragraph" w:styleId="9">
    <w:name w:val="heading 6"/>
    <w:basedOn w:val="1"/>
    <w:next w:val="1"/>
    <w:link w:val="320"/>
    <w:qFormat/>
    <w:uiPriority w:val="0"/>
    <w:pPr>
      <w:keepNext/>
      <w:keepLines/>
      <w:widowControl w:val="0"/>
      <w:numPr>
        <w:ilvl w:val="5"/>
        <w:numId w:val="1"/>
      </w:numPr>
      <w:adjustRightInd w:val="0"/>
      <w:spacing w:before="240" w:after="64" w:line="320" w:lineRule="auto"/>
      <w:textAlignment w:val="baseline"/>
      <w:outlineLvl w:val="5"/>
    </w:pPr>
    <w:rPr>
      <w:rFonts w:ascii="Arial" w:hAnsi="Arial" w:eastAsia="黑体"/>
      <w:b/>
      <w:szCs w:val="20"/>
    </w:rPr>
  </w:style>
  <w:style w:type="paragraph" w:styleId="10">
    <w:name w:val="heading 7"/>
    <w:basedOn w:val="1"/>
    <w:next w:val="1"/>
    <w:link w:val="321"/>
    <w:qFormat/>
    <w:uiPriority w:val="0"/>
    <w:pPr>
      <w:keepNext/>
      <w:keepLines/>
      <w:widowControl w:val="0"/>
      <w:numPr>
        <w:ilvl w:val="6"/>
        <w:numId w:val="1"/>
      </w:numPr>
      <w:adjustRightInd w:val="0"/>
      <w:spacing w:before="240" w:after="64" w:line="320" w:lineRule="auto"/>
      <w:textAlignment w:val="baseline"/>
      <w:outlineLvl w:val="6"/>
    </w:pPr>
    <w:rPr>
      <w:rFonts w:eastAsia="仿宋_GB2312"/>
      <w:b/>
      <w:szCs w:val="20"/>
    </w:rPr>
  </w:style>
  <w:style w:type="paragraph" w:styleId="11">
    <w:name w:val="heading 8"/>
    <w:basedOn w:val="1"/>
    <w:next w:val="1"/>
    <w:link w:val="322"/>
    <w:qFormat/>
    <w:uiPriority w:val="0"/>
    <w:pPr>
      <w:keepNext/>
      <w:keepLines/>
      <w:widowControl w:val="0"/>
      <w:numPr>
        <w:ilvl w:val="7"/>
        <w:numId w:val="1"/>
      </w:numPr>
      <w:adjustRightInd w:val="0"/>
      <w:spacing w:before="240" w:after="64" w:line="320" w:lineRule="auto"/>
      <w:textAlignment w:val="baseline"/>
      <w:outlineLvl w:val="7"/>
    </w:pPr>
    <w:rPr>
      <w:rFonts w:ascii="Arial" w:hAnsi="Arial" w:eastAsia="黑体"/>
      <w:szCs w:val="20"/>
    </w:rPr>
  </w:style>
  <w:style w:type="paragraph" w:styleId="12">
    <w:name w:val="heading 9"/>
    <w:basedOn w:val="1"/>
    <w:next w:val="1"/>
    <w:link w:val="323"/>
    <w:qFormat/>
    <w:uiPriority w:val="0"/>
    <w:pPr>
      <w:keepNext/>
      <w:keepLines/>
      <w:widowControl w:val="0"/>
      <w:numPr>
        <w:ilvl w:val="8"/>
        <w:numId w:val="1"/>
      </w:numPr>
      <w:adjustRightInd w:val="0"/>
      <w:spacing w:before="240" w:after="64" w:line="320" w:lineRule="auto"/>
      <w:textAlignment w:val="baseline"/>
      <w:outlineLvl w:val="8"/>
    </w:pPr>
    <w:rPr>
      <w:rFonts w:ascii="Arial" w:hAnsi="Arial" w:eastAsia="黑体"/>
      <w:sz w:val="21"/>
      <w:szCs w:val="20"/>
    </w:rPr>
  </w:style>
  <w:style w:type="character" w:default="1" w:styleId="92">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link w:val="333"/>
    <w:qFormat/>
    <w:uiPriority w:val="0"/>
    <w:pPr>
      <w:spacing w:after="120"/>
      <w:ind w:firstLine="420" w:firstLineChars="100"/>
    </w:pPr>
    <w:rPr>
      <w:sz w:val="21"/>
    </w:rPr>
  </w:style>
  <w:style w:type="paragraph" w:styleId="3">
    <w:name w:val="macro"/>
    <w:link w:val="283"/>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qFormat/>
    <w:uiPriority w:val="0"/>
    <w:pPr>
      <w:widowControl w:val="0"/>
      <w:ind w:left="100" w:leftChars="400" w:hanging="200" w:hangingChars="200"/>
      <w:jc w:val="both"/>
    </w:pPr>
    <w:rPr>
      <w:kern w:val="2"/>
      <w:sz w:val="21"/>
    </w:rPr>
  </w:style>
  <w:style w:type="paragraph" w:styleId="14">
    <w:name w:val="toc 7"/>
    <w:basedOn w:val="1"/>
    <w:next w:val="1"/>
    <w:qFormat/>
    <w:uiPriority w:val="0"/>
    <w:pPr>
      <w:ind w:left="1440"/>
    </w:pPr>
    <w:rPr>
      <w:rFonts w:ascii="Calibri" w:hAnsi="Calibri" w:cs="Calibri"/>
      <w:sz w:val="18"/>
      <w:szCs w:val="18"/>
    </w:rPr>
  </w:style>
  <w:style w:type="paragraph" w:styleId="15">
    <w:name w:val="List Number 2"/>
    <w:basedOn w:val="1"/>
    <w:qFormat/>
    <w:uiPriority w:val="0"/>
    <w:pPr>
      <w:widowControl w:val="0"/>
      <w:tabs>
        <w:tab w:val="left" w:pos="780"/>
      </w:tabs>
      <w:ind w:left="842" w:hanging="360"/>
      <w:jc w:val="both"/>
    </w:pPr>
    <w:rPr>
      <w:kern w:val="2"/>
      <w:sz w:val="21"/>
    </w:rPr>
  </w:style>
  <w:style w:type="paragraph" w:styleId="16">
    <w:name w:val="table of authorities"/>
    <w:basedOn w:val="1"/>
    <w:next w:val="1"/>
    <w:qFormat/>
    <w:uiPriority w:val="0"/>
    <w:pPr>
      <w:widowControl w:val="0"/>
      <w:ind w:left="420" w:leftChars="200"/>
      <w:jc w:val="both"/>
    </w:pPr>
    <w:rPr>
      <w:kern w:val="2"/>
      <w:sz w:val="21"/>
    </w:rPr>
  </w:style>
  <w:style w:type="paragraph" w:styleId="17">
    <w:name w:val="Note Heading"/>
    <w:basedOn w:val="1"/>
    <w:next w:val="1"/>
    <w:link w:val="284"/>
    <w:qFormat/>
    <w:uiPriority w:val="0"/>
    <w:pPr>
      <w:widowControl w:val="0"/>
      <w:jc w:val="center"/>
    </w:pPr>
    <w:rPr>
      <w:kern w:val="2"/>
      <w:sz w:val="21"/>
    </w:rPr>
  </w:style>
  <w:style w:type="paragraph" w:styleId="18">
    <w:name w:val="List Bullet 4"/>
    <w:basedOn w:val="1"/>
    <w:qFormat/>
    <w:uiPriority w:val="0"/>
    <w:pPr>
      <w:widowControl w:val="0"/>
      <w:tabs>
        <w:tab w:val="left" w:pos="1620"/>
      </w:tabs>
      <w:ind w:left="360" w:hanging="360"/>
      <w:jc w:val="both"/>
    </w:pPr>
    <w:rPr>
      <w:kern w:val="2"/>
      <w:sz w:val="21"/>
    </w:rPr>
  </w:style>
  <w:style w:type="paragraph" w:styleId="19">
    <w:name w:val="index 8"/>
    <w:basedOn w:val="1"/>
    <w:next w:val="1"/>
    <w:qFormat/>
    <w:uiPriority w:val="0"/>
    <w:pPr>
      <w:widowControl w:val="0"/>
      <w:ind w:left="1400" w:leftChars="1400"/>
      <w:jc w:val="both"/>
    </w:pPr>
    <w:rPr>
      <w:kern w:val="2"/>
      <w:sz w:val="21"/>
    </w:rPr>
  </w:style>
  <w:style w:type="paragraph" w:styleId="20">
    <w:name w:val="E-mail Signature"/>
    <w:basedOn w:val="1"/>
    <w:link w:val="285"/>
    <w:qFormat/>
    <w:uiPriority w:val="0"/>
    <w:pPr>
      <w:widowControl w:val="0"/>
      <w:jc w:val="both"/>
    </w:pPr>
    <w:rPr>
      <w:kern w:val="2"/>
      <w:sz w:val="21"/>
    </w:rPr>
  </w:style>
  <w:style w:type="paragraph" w:styleId="21">
    <w:name w:val="List Number"/>
    <w:basedOn w:val="1"/>
    <w:qFormat/>
    <w:uiPriority w:val="0"/>
    <w:pPr>
      <w:widowControl w:val="0"/>
      <w:tabs>
        <w:tab w:val="left" w:pos="360"/>
      </w:tabs>
      <w:jc w:val="both"/>
    </w:pPr>
    <w:rPr>
      <w:kern w:val="2"/>
      <w:sz w:val="21"/>
    </w:rPr>
  </w:style>
  <w:style w:type="paragraph" w:styleId="22">
    <w:name w:val="Normal Indent"/>
    <w:basedOn w:val="1"/>
    <w:link w:val="113"/>
    <w:qFormat/>
    <w:uiPriority w:val="0"/>
    <w:pPr>
      <w:widowControl w:val="0"/>
      <w:spacing w:line="360" w:lineRule="auto"/>
      <w:ind w:firstLine="480" w:firstLineChars="200"/>
      <w:jc w:val="both"/>
    </w:pPr>
    <w:rPr>
      <w:kern w:val="2"/>
    </w:rPr>
  </w:style>
  <w:style w:type="paragraph" w:styleId="23">
    <w:name w:val="caption"/>
    <w:basedOn w:val="1"/>
    <w:next w:val="1"/>
    <w:qFormat/>
    <w:uiPriority w:val="0"/>
    <w:pPr>
      <w:widowControl w:val="0"/>
      <w:jc w:val="both"/>
    </w:pPr>
    <w:rPr>
      <w:rFonts w:ascii="Arial" w:hAnsi="Arial" w:eastAsia="黑体" w:cs="Arial"/>
      <w:kern w:val="2"/>
      <w:sz w:val="20"/>
      <w:szCs w:val="20"/>
    </w:rPr>
  </w:style>
  <w:style w:type="paragraph" w:styleId="24">
    <w:name w:val="index 5"/>
    <w:basedOn w:val="1"/>
    <w:next w:val="1"/>
    <w:qFormat/>
    <w:uiPriority w:val="0"/>
    <w:pPr>
      <w:widowControl w:val="0"/>
      <w:ind w:left="800" w:leftChars="800"/>
      <w:jc w:val="both"/>
    </w:pPr>
    <w:rPr>
      <w:kern w:val="2"/>
      <w:sz w:val="21"/>
    </w:rPr>
  </w:style>
  <w:style w:type="paragraph" w:styleId="25">
    <w:name w:val="List Bullet"/>
    <w:basedOn w:val="1"/>
    <w:qFormat/>
    <w:uiPriority w:val="0"/>
    <w:pPr>
      <w:widowControl w:val="0"/>
      <w:tabs>
        <w:tab w:val="left" w:pos="360"/>
      </w:tabs>
      <w:ind w:left="425" w:hanging="425"/>
      <w:jc w:val="both"/>
    </w:pPr>
    <w:rPr>
      <w:kern w:val="2"/>
      <w:sz w:val="21"/>
    </w:rPr>
  </w:style>
  <w:style w:type="paragraph" w:styleId="26">
    <w:name w:val="envelope address"/>
    <w:basedOn w:val="1"/>
    <w:qFormat/>
    <w:uiPriority w:val="0"/>
    <w:pPr>
      <w:framePr w:w="7920" w:h="1980" w:hRule="exact" w:hSpace="180" w:wrap="around" w:vAnchor="margin" w:hAnchor="page" w:xAlign="center" w:yAlign="bottom"/>
      <w:widowControl w:val="0"/>
      <w:snapToGrid w:val="0"/>
      <w:ind w:left="100" w:leftChars="1400"/>
      <w:jc w:val="both"/>
    </w:pPr>
    <w:rPr>
      <w:rFonts w:ascii="Arial" w:hAnsi="Arial" w:cs="Arial"/>
      <w:kern w:val="2"/>
    </w:rPr>
  </w:style>
  <w:style w:type="paragraph" w:styleId="27">
    <w:name w:val="Document Map"/>
    <w:basedOn w:val="1"/>
    <w:link w:val="328"/>
    <w:semiHidden/>
    <w:qFormat/>
    <w:uiPriority w:val="0"/>
    <w:pPr>
      <w:shd w:val="clear" w:color="auto" w:fill="000080"/>
    </w:pPr>
  </w:style>
  <w:style w:type="paragraph" w:styleId="28">
    <w:name w:val="toa heading"/>
    <w:basedOn w:val="1"/>
    <w:next w:val="1"/>
    <w:qFormat/>
    <w:uiPriority w:val="0"/>
    <w:pPr>
      <w:widowControl w:val="0"/>
      <w:spacing w:before="120"/>
      <w:jc w:val="both"/>
    </w:pPr>
    <w:rPr>
      <w:rFonts w:ascii="Arial" w:hAnsi="Arial" w:cs="Arial"/>
      <w:kern w:val="2"/>
    </w:rPr>
  </w:style>
  <w:style w:type="paragraph" w:styleId="29">
    <w:name w:val="annotation text"/>
    <w:basedOn w:val="1"/>
    <w:link w:val="132"/>
    <w:qFormat/>
    <w:uiPriority w:val="99"/>
  </w:style>
  <w:style w:type="paragraph" w:styleId="30">
    <w:name w:val="index 6"/>
    <w:basedOn w:val="1"/>
    <w:next w:val="1"/>
    <w:qFormat/>
    <w:uiPriority w:val="0"/>
    <w:pPr>
      <w:widowControl w:val="0"/>
      <w:ind w:left="1000" w:leftChars="1000"/>
      <w:jc w:val="both"/>
    </w:pPr>
    <w:rPr>
      <w:kern w:val="2"/>
      <w:sz w:val="21"/>
    </w:rPr>
  </w:style>
  <w:style w:type="paragraph" w:styleId="31">
    <w:name w:val="Salutation"/>
    <w:basedOn w:val="1"/>
    <w:next w:val="1"/>
    <w:link w:val="286"/>
    <w:qFormat/>
    <w:uiPriority w:val="0"/>
    <w:pPr>
      <w:widowControl w:val="0"/>
      <w:jc w:val="both"/>
    </w:pPr>
    <w:rPr>
      <w:kern w:val="2"/>
      <w:sz w:val="21"/>
    </w:rPr>
  </w:style>
  <w:style w:type="paragraph" w:styleId="32">
    <w:name w:val="Body Text 3"/>
    <w:basedOn w:val="1"/>
    <w:link w:val="332"/>
    <w:qFormat/>
    <w:uiPriority w:val="0"/>
    <w:pPr>
      <w:widowControl w:val="0"/>
      <w:spacing w:after="120"/>
      <w:jc w:val="both"/>
    </w:pPr>
    <w:rPr>
      <w:kern w:val="2"/>
      <w:sz w:val="16"/>
      <w:szCs w:val="16"/>
    </w:rPr>
  </w:style>
  <w:style w:type="paragraph" w:styleId="33">
    <w:name w:val="Closing"/>
    <w:basedOn w:val="1"/>
    <w:link w:val="288"/>
    <w:qFormat/>
    <w:uiPriority w:val="0"/>
    <w:pPr>
      <w:widowControl w:val="0"/>
      <w:ind w:left="100" w:leftChars="2100"/>
      <w:jc w:val="both"/>
    </w:pPr>
    <w:rPr>
      <w:kern w:val="2"/>
      <w:sz w:val="21"/>
    </w:rPr>
  </w:style>
  <w:style w:type="paragraph" w:styleId="34">
    <w:name w:val="List Bullet 3"/>
    <w:basedOn w:val="1"/>
    <w:qFormat/>
    <w:uiPriority w:val="0"/>
    <w:pPr>
      <w:widowControl w:val="0"/>
      <w:tabs>
        <w:tab w:val="left" w:pos="1200"/>
      </w:tabs>
      <w:jc w:val="both"/>
    </w:pPr>
    <w:rPr>
      <w:kern w:val="2"/>
      <w:sz w:val="21"/>
    </w:rPr>
  </w:style>
  <w:style w:type="paragraph" w:styleId="35">
    <w:name w:val="Body Text"/>
    <w:basedOn w:val="1"/>
    <w:next w:val="1"/>
    <w:link w:val="327"/>
    <w:qFormat/>
    <w:uiPriority w:val="0"/>
    <w:pPr>
      <w:widowControl w:val="0"/>
      <w:jc w:val="both"/>
    </w:pPr>
    <w:rPr>
      <w:kern w:val="2"/>
      <w:sz w:val="28"/>
    </w:rPr>
  </w:style>
  <w:style w:type="paragraph" w:styleId="36">
    <w:name w:val="Body Text Indent"/>
    <w:basedOn w:val="1"/>
    <w:link w:val="325"/>
    <w:qFormat/>
    <w:uiPriority w:val="0"/>
    <w:pPr>
      <w:widowControl w:val="0"/>
      <w:snapToGrid w:val="0"/>
      <w:spacing w:line="440" w:lineRule="exact"/>
      <w:ind w:firstLine="560" w:firstLineChars="200"/>
      <w:jc w:val="both"/>
    </w:pPr>
    <w:rPr>
      <w:rFonts w:eastAsia="华康简魏碑"/>
      <w:kern w:val="2"/>
      <w:sz w:val="28"/>
    </w:rPr>
  </w:style>
  <w:style w:type="paragraph" w:styleId="37">
    <w:name w:val="List Number 3"/>
    <w:basedOn w:val="1"/>
    <w:qFormat/>
    <w:uiPriority w:val="0"/>
    <w:pPr>
      <w:widowControl w:val="0"/>
      <w:tabs>
        <w:tab w:val="left" w:pos="1200"/>
      </w:tabs>
      <w:jc w:val="both"/>
    </w:pPr>
    <w:rPr>
      <w:kern w:val="2"/>
      <w:sz w:val="21"/>
    </w:rPr>
  </w:style>
  <w:style w:type="paragraph" w:styleId="38">
    <w:name w:val="List 2"/>
    <w:basedOn w:val="1"/>
    <w:qFormat/>
    <w:uiPriority w:val="0"/>
    <w:pPr>
      <w:widowControl w:val="0"/>
      <w:ind w:left="100" w:leftChars="200" w:hanging="200" w:hangingChars="200"/>
      <w:jc w:val="both"/>
    </w:pPr>
    <w:rPr>
      <w:kern w:val="2"/>
      <w:sz w:val="21"/>
    </w:rPr>
  </w:style>
  <w:style w:type="paragraph" w:styleId="39">
    <w:name w:val="List Continue"/>
    <w:basedOn w:val="1"/>
    <w:qFormat/>
    <w:uiPriority w:val="0"/>
    <w:pPr>
      <w:widowControl w:val="0"/>
      <w:spacing w:after="120"/>
      <w:ind w:left="420" w:leftChars="200"/>
      <w:jc w:val="both"/>
    </w:pPr>
    <w:rPr>
      <w:kern w:val="2"/>
      <w:sz w:val="21"/>
    </w:rPr>
  </w:style>
  <w:style w:type="paragraph" w:styleId="40">
    <w:name w:val="Block Text"/>
    <w:basedOn w:val="1"/>
    <w:qFormat/>
    <w:uiPriority w:val="0"/>
    <w:pPr>
      <w:widowControl w:val="0"/>
      <w:spacing w:after="120"/>
      <w:ind w:left="1440" w:leftChars="700" w:right="1440" w:rightChars="700"/>
      <w:jc w:val="both"/>
    </w:pPr>
    <w:rPr>
      <w:kern w:val="2"/>
      <w:sz w:val="21"/>
    </w:rPr>
  </w:style>
  <w:style w:type="paragraph" w:styleId="41">
    <w:name w:val="List Bullet 2"/>
    <w:basedOn w:val="1"/>
    <w:qFormat/>
    <w:uiPriority w:val="0"/>
    <w:pPr>
      <w:widowControl w:val="0"/>
      <w:tabs>
        <w:tab w:val="left" w:pos="780"/>
      </w:tabs>
      <w:ind w:left="992" w:hanging="510"/>
      <w:jc w:val="both"/>
    </w:pPr>
    <w:rPr>
      <w:kern w:val="2"/>
      <w:sz w:val="21"/>
    </w:rPr>
  </w:style>
  <w:style w:type="paragraph" w:styleId="42">
    <w:name w:val="HTML Address"/>
    <w:basedOn w:val="1"/>
    <w:link w:val="289"/>
    <w:qFormat/>
    <w:uiPriority w:val="0"/>
    <w:pPr>
      <w:widowControl w:val="0"/>
      <w:jc w:val="both"/>
    </w:pPr>
    <w:rPr>
      <w:i/>
      <w:iCs/>
      <w:kern w:val="2"/>
      <w:sz w:val="21"/>
    </w:rPr>
  </w:style>
  <w:style w:type="paragraph" w:styleId="43">
    <w:name w:val="index 4"/>
    <w:basedOn w:val="1"/>
    <w:next w:val="1"/>
    <w:qFormat/>
    <w:uiPriority w:val="0"/>
    <w:pPr>
      <w:widowControl w:val="0"/>
      <w:ind w:left="600" w:leftChars="600"/>
      <w:jc w:val="both"/>
    </w:pPr>
    <w:rPr>
      <w:kern w:val="2"/>
      <w:sz w:val="21"/>
    </w:rPr>
  </w:style>
  <w:style w:type="paragraph" w:styleId="44">
    <w:name w:val="toc 5"/>
    <w:basedOn w:val="1"/>
    <w:next w:val="1"/>
    <w:qFormat/>
    <w:uiPriority w:val="0"/>
    <w:pPr>
      <w:ind w:left="960"/>
    </w:pPr>
    <w:rPr>
      <w:rFonts w:ascii="Calibri" w:hAnsi="Calibri" w:cs="Calibri"/>
      <w:sz w:val="18"/>
      <w:szCs w:val="18"/>
    </w:rPr>
  </w:style>
  <w:style w:type="paragraph" w:styleId="45">
    <w:name w:val="toc 3"/>
    <w:basedOn w:val="1"/>
    <w:next w:val="1"/>
    <w:qFormat/>
    <w:uiPriority w:val="0"/>
    <w:pPr>
      <w:ind w:left="480"/>
    </w:pPr>
    <w:rPr>
      <w:rFonts w:ascii="Calibri" w:hAnsi="Calibri" w:cs="Calibri"/>
      <w:i/>
      <w:iCs/>
      <w:sz w:val="20"/>
      <w:szCs w:val="20"/>
    </w:rPr>
  </w:style>
  <w:style w:type="paragraph" w:styleId="46">
    <w:name w:val="Plain Text"/>
    <w:basedOn w:val="1"/>
    <w:link w:val="102"/>
    <w:qFormat/>
    <w:uiPriority w:val="0"/>
    <w:pPr>
      <w:widowControl w:val="0"/>
      <w:jc w:val="both"/>
    </w:pPr>
    <w:rPr>
      <w:rFonts w:ascii="宋体" w:hAnsi="Courier New"/>
      <w:kern w:val="2"/>
      <w:sz w:val="21"/>
      <w:szCs w:val="20"/>
    </w:rPr>
  </w:style>
  <w:style w:type="paragraph" w:styleId="47">
    <w:name w:val="List Bullet 5"/>
    <w:basedOn w:val="1"/>
    <w:qFormat/>
    <w:uiPriority w:val="0"/>
    <w:pPr>
      <w:widowControl w:val="0"/>
      <w:tabs>
        <w:tab w:val="left" w:pos="2040"/>
      </w:tabs>
      <w:ind w:left="1202" w:hanging="720"/>
      <w:jc w:val="both"/>
    </w:pPr>
    <w:rPr>
      <w:kern w:val="2"/>
      <w:sz w:val="21"/>
    </w:rPr>
  </w:style>
  <w:style w:type="paragraph" w:styleId="48">
    <w:name w:val="List Number 4"/>
    <w:basedOn w:val="1"/>
    <w:qFormat/>
    <w:uiPriority w:val="0"/>
    <w:pPr>
      <w:widowControl w:val="0"/>
      <w:tabs>
        <w:tab w:val="left" w:pos="1620"/>
      </w:tabs>
      <w:jc w:val="both"/>
    </w:pPr>
    <w:rPr>
      <w:kern w:val="2"/>
      <w:sz w:val="21"/>
    </w:rPr>
  </w:style>
  <w:style w:type="paragraph" w:styleId="49">
    <w:name w:val="toc 8"/>
    <w:basedOn w:val="1"/>
    <w:next w:val="1"/>
    <w:qFormat/>
    <w:uiPriority w:val="0"/>
    <w:pPr>
      <w:ind w:left="1680"/>
    </w:pPr>
    <w:rPr>
      <w:rFonts w:ascii="Calibri" w:hAnsi="Calibri" w:cs="Calibri"/>
      <w:sz w:val="18"/>
      <w:szCs w:val="18"/>
    </w:rPr>
  </w:style>
  <w:style w:type="paragraph" w:styleId="50">
    <w:name w:val="index 3"/>
    <w:basedOn w:val="1"/>
    <w:next w:val="1"/>
    <w:qFormat/>
    <w:uiPriority w:val="0"/>
    <w:pPr>
      <w:widowControl w:val="0"/>
      <w:ind w:left="400" w:leftChars="400"/>
      <w:jc w:val="both"/>
    </w:pPr>
    <w:rPr>
      <w:kern w:val="2"/>
      <w:sz w:val="21"/>
    </w:rPr>
  </w:style>
  <w:style w:type="paragraph" w:styleId="51">
    <w:name w:val="Date"/>
    <w:basedOn w:val="1"/>
    <w:next w:val="1"/>
    <w:link w:val="108"/>
    <w:qFormat/>
    <w:uiPriority w:val="0"/>
    <w:pPr>
      <w:widowControl w:val="0"/>
      <w:jc w:val="both"/>
    </w:pPr>
    <w:rPr>
      <w:kern w:val="2"/>
      <w:sz w:val="21"/>
      <w:szCs w:val="20"/>
    </w:rPr>
  </w:style>
  <w:style w:type="paragraph" w:styleId="52">
    <w:name w:val="Body Text Indent 2"/>
    <w:basedOn w:val="1"/>
    <w:link w:val="326"/>
    <w:qFormat/>
    <w:uiPriority w:val="0"/>
    <w:pPr>
      <w:widowControl w:val="0"/>
      <w:spacing w:before="156" w:line="440" w:lineRule="exact"/>
      <w:ind w:firstLine="555"/>
      <w:jc w:val="both"/>
    </w:pPr>
    <w:rPr>
      <w:rFonts w:ascii="华康简魏碑" w:eastAsia="华康简魏碑"/>
      <w:kern w:val="2"/>
      <w:sz w:val="28"/>
      <w:szCs w:val="20"/>
    </w:rPr>
  </w:style>
  <w:style w:type="paragraph" w:styleId="53">
    <w:name w:val="endnote text"/>
    <w:basedOn w:val="1"/>
    <w:link w:val="287"/>
    <w:qFormat/>
    <w:uiPriority w:val="0"/>
    <w:pPr>
      <w:widowControl w:val="0"/>
      <w:snapToGrid w:val="0"/>
    </w:pPr>
    <w:rPr>
      <w:kern w:val="2"/>
      <w:sz w:val="21"/>
    </w:rPr>
  </w:style>
  <w:style w:type="paragraph" w:styleId="54">
    <w:name w:val="List Continue 5"/>
    <w:basedOn w:val="1"/>
    <w:qFormat/>
    <w:uiPriority w:val="0"/>
    <w:pPr>
      <w:widowControl w:val="0"/>
      <w:spacing w:after="120"/>
      <w:ind w:left="2100" w:leftChars="1000"/>
      <w:jc w:val="both"/>
    </w:pPr>
    <w:rPr>
      <w:kern w:val="2"/>
      <w:sz w:val="21"/>
    </w:rPr>
  </w:style>
  <w:style w:type="paragraph" w:styleId="55">
    <w:name w:val="Balloon Text"/>
    <w:basedOn w:val="1"/>
    <w:link w:val="134"/>
    <w:qFormat/>
    <w:uiPriority w:val="0"/>
    <w:rPr>
      <w:sz w:val="18"/>
      <w:szCs w:val="18"/>
    </w:rPr>
  </w:style>
  <w:style w:type="paragraph" w:styleId="56">
    <w:name w:val="footer"/>
    <w:basedOn w:val="1"/>
    <w:link w:val="110"/>
    <w:qFormat/>
    <w:uiPriority w:val="0"/>
    <w:pPr>
      <w:widowControl w:val="0"/>
      <w:tabs>
        <w:tab w:val="center" w:pos="4153"/>
        <w:tab w:val="right" w:pos="8306"/>
      </w:tabs>
      <w:snapToGrid w:val="0"/>
    </w:pPr>
    <w:rPr>
      <w:kern w:val="2"/>
      <w:sz w:val="18"/>
      <w:szCs w:val="20"/>
    </w:rPr>
  </w:style>
  <w:style w:type="paragraph" w:styleId="57">
    <w:name w:val="envelope return"/>
    <w:basedOn w:val="1"/>
    <w:qFormat/>
    <w:uiPriority w:val="0"/>
    <w:pPr>
      <w:widowControl w:val="0"/>
      <w:snapToGrid w:val="0"/>
      <w:jc w:val="both"/>
    </w:pPr>
    <w:rPr>
      <w:rFonts w:ascii="Arial" w:hAnsi="Arial" w:cs="Arial"/>
      <w:kern w:val="2"/>
      <w:sz w:val="21"/>
    </w:rPr>
  </w:style>
  <w:style w:type="paragraph" w:styleId="58">
    <w:name w:val="header"/>
    <w:basedOn w:val="1"/>
    <w:link w:val="109"/>
    <w:qFormat/>
    <w:uiPriority w:val="0"/>
    <w:pPr>
      <w:widowControl w:val="0"/>
      <w:pBdr>
        <w:bottom w:val="single" w:color="auto" w:sz="6" w:space="1"/>
      </w:pBdr>
      <w:tabs>
        <w:tab w:val="center" w:pos="4153"/>
        <w:tab w:val="right" w:pos="8306"/>
      </w:tabs>
      <w:snapToGrid w:val="0"/>
      <w:jc w:val="center"/>
    </w:pPr>
    <w:rPr>
      <w:kern w:val="2"/>
      <w:sz w:val="18"/>
      <w:szCs w:val="20"/>
    </w:rPr>
  </w:style>
  <w:style w:type="paragraph" w:styleId="59">
    <w:name w:val="Signature"/>
    <w:basedOn w:val="1"/>
    <w:link w:val="291"/>
    <w:qFormat/>
    <w:uiPriority w:val="0"/>
    <w:pPr>
      <w:widowControl w:val="0"/>
      <w:ind w:left="100" w:leftChars="2100"/>
      <w:jc w:val="both"/>
    </w:pPr>
    <w:rPr>
      <w:kern w:val="2"/>
      <w:sz w:val="21"/>
    </w:rPr>
  </w:style>
  <w:style w:type="paragraph" w:styleId="60">
    <w:name w:val="toc 1"/>
    <w:basedOn w:val="1"/>
    <w:next w:val="1"/>
    <w:qFormat/>
    <w:uiPriority w:val="39"/>
    <w:pPr>
      <w:tabs>
        <w:tab w:val="right" w:leader="dot" w:pos="9060"/>
      </w:tabs>
      <w:spacing w:line="560" w:lineRule="exact"/>
    </w:pPr>
    <w:rPr>
      <w:rFonts w:ascii="Calibri" w:hAnsi="Calibri" w:cs="Calibri"/>
      <w:b/>
      <w:bCs/>
      <w:caps/>
      <w:szCs w:val="20"/>
    </w:rPr>
  </w:style>
  <w:style w:type="paragraph" w:styleId="61">
    <w:name w:val="List Continue 4"/>
    <w:basedOn w:val="1"/>
    <w:qFormat/>
    <w:uiPriority w:val="0"/>
    <w:pPr>
      <w:widowControl w:val="0"/>
      <w:spacing w:after="120"/>
      <w:ind w:left="1680" w:leftChars="800"/>
      <w:jc w:val="both"/>
    </w:pPr>
    <w:rPr>
      <w:kern w:val="2"/>
      <w:sz w:val="21"/>
    </w:rPr>
  </w:style>
  <w:style w:type="paragraph" w:styleId="62">
    <w:name w:val="toc 4"/>
    <w:basedOn w:val="1"/>
    <w:next w:val="1"/>
    <w:qFormat/>
    <w:uiPriority w:val="0"/>
    <w:pPr>
      <w:ind w:left="720"/>
    </w:pPr>
    <w:rPr>
      <w:rFonts w:ascii="Calibri" w:hAnsi="Calibri" w:cs="Calibri"/>
      <w:sz w:val="18"/>
      <w:szCs w:val="18"/>
    </w:rPr>
  </w:style>
  <w:style w:type="paragraph" w:styleId="63">
    <w:name w:val="index heading"/>
    <w:basedOn w:val="1"/>
    <w:next w:val="64"/>
    <w:qFormat/>
    <w:uiPriority w:val="0"/>
    <w:pPr>
      <w:widowControl w:val="0"/>
      <w:jc w:val="both"/>
    </w:pPr>
    <w:rPr>
      <w:rFonts w:ascii="Arial" w:hAnsi="Arial" w:cs="Arial"/>
      <w:b/>
      <w:bCs/>
      <w:kern w:val="2"/>
      <w:sz w:val="21"/>
    </w:rPr>
  </w:style>
  <w:style w:type="paragraph" w:styleId="64">
    <w:name w:val="index 1"/>
    <w:basedOn w:val="1"/>
    <w:next w:val="1"/>
    <w:semiHidden/>
    <w:qFormat/>
    <w:uiPriority w:val="0"/>
    <w:pPr>
      <w:widowControl w:val="0"/>
      <w:spacing w:line="320" w:lineRule="exact"/>
      <w:jc w:val="center"/>
    </w:pPr>
    <w:rPr>
      <w:rFonts w:ascii="宋体" w:hAnsi="宋体"/>
      <w:sz w:val="21"/>
      <w:szCs w:val="21"/>
    </w:rPr>
  </w:style>
  <w:style w:type="paragraph" w:styleId="65">
    <w:name w:val="Subtitle"/>
    <w:basedOn w:val="1"/>
    <w:link w:val="334"/>
    <w:qFormat/>
    <w:uiPriority w:val="0"/>
    <w:pPr>
      <w:widowControl w:val="0"/>
      <w:adjustRightInd w:val="0"/>
      <w:snapToGrid w:val="0"/>
      <w:spacing w:before="120" w:after="120" w:line="240" w:lineRule="atLeast"/>
      <w:jc w:val="center"/>
      <w:outlineLvl w:val="1"/>
    </w:pPr>
    <w:rPr>
      <w:rFonts w:eastAsia="黑体" w:cs="Arial"/>
      <w:bCs/>
      <w:kern w:val="28"/>
      <w:szCs w:val="32"/>
    </w:rPr>
  </w:style>
  <w:style w:type="paragraph" w:styleId="66">
    <w:name w:val="List Number 5"/>
    <w:basedOn w:val="1"/>
    <w:qFormat/>
    <w:uiPriority w:val="0"/>
    <w:pPr>
      <w:widowControl w:val="0"/>
      <w:tabs>
        <w:tab w:val="left" w:pos="2040"/>
      </w:tabs>
      <w:ind w:left="840" w:hanging="360"/>
      <w:jc w:val="both"/>
    </w:pPr>
    <w:rPr>
      <w:kern w:val="2"/>
      <w:sz w:val="21"/>
    </w:rPr>
  </w:style>
  <w:style w:type="paragraph" w:styleId="67">
    <w:name w:val="List"/>
    <w:basedOn w:val="1"/>
    <w:qFormat/>
    <w:uiPriority w:val="0"/>
    <w:pPr>
      <w:widowControl w:val="0"/>
      <w:ind w:left="420" w:hanging="420"/>
      <w:jc w:val="both"/>
    </w:pPr>
    <w:rPr>
      <w:kern w:val="2"/>
      <w:sz w:val="21"/>
      <w:szCs w:val="21"/>
    </w:rPr>
  </w:style>
  <w:style w:type="paragraph" w:styleId="68">
    <w:name w:val="footnote text"/>
    <w:basedOn w:val="1"/>
    <w:link w:val="196"/>
    <w:qFormat/>
    <w:uiPriority w:val="0"/>
    <w:pPr>
      <w:widowControl w:val="0"/>
      <w:snapToGrid w:val="0"/>
    </w:pPr>
    <w:rPr>
      <w:kern w:val="2"/>
      <w:sz w:val="18"/>
      <w:szCs w:val="18"/>
    </w:rPr>
  </w:style>
  <w:style w:type="paragraph" w:styleId="69">
    <w:name w:val="toc 6"/>
    <w:basedOn w:val="1"/>
    <w:next w:val="1"/>
    <w:qFormat/>
    <w:uiPriority w:val="0"/>
    <w:pPr>
      <w:ind w:left="1200"/>
    </w:pPr>
    <w:rPr>
      <w:rFonts w:ascii="Calibri" w:hAnsi="Calibri" w:cs="Calibri"/>
      <w:sz w:val="18"/>
      <w:szCs w:val="18"/>
    </w:rPr>
  </w:style>
  <w:style w:type="paragraph" w:styleId="70">
    <w:name w:val="List 5"/>
    <w:basedOn w:val="1"/>
    <w:qFormat/>
    <w:uiPriority w:val="0"/>
    <w:pPr>
      <w:widowControl w:val="0"/>
      <w:ind w:left="100" w:leftChars="800" w:hanging="200" w:hangingChars="200"/>
      <w:jc w:val="both"/>
    </w:pPr>
    <w:rPr>
      <w:kern w:val="2"/>
      <w:sz w:val="21"/>
    </w:rPr>
  </w:style>
  <w:style w:type="paragraph" w:styleId="71">
    <w:name w:val="Body Text Indent 3"/>
    <w:basedOn w:val="1"/>
    <w:link w:val="324"/>
    <w:qFormat/>
    <w:uiPriority w:val="0"/>
    <w:pPr>
      <w:widowControl w:val="0"/>
      <w:snapToGrid w:val="0"/>
      <w:spacing w:line="440" w:lineRule="exact"/>
      <w:ind w:firstLine="570"/>
      <w:jc w:val="both"/>
    </w:pPr>
    <w:rPr>
      <w:rFonts w:eastAsia="华康简魏碑"/>
      <w:kern w:val="2"/>
      <w:sz w:val="28"/>
      <w:szCs w:val="20"/>
    </w:rPr>
  </w:style>
  <w:style w:type="paragraph" w:styleId="72">
    <w:name w:val="index 7"/>
    <w:basedOn w:val="1"/>
    <w:next w:val="1"/>
    <w:qFormat/>
    <w:uiPriority w:val="0"/>
    <w:pPr>
      <w:widowControl w:val="0"/>
      <w:ind w:left="1200" w:leftChars="1200"/>
      <w:jc w:val="both"/>
    </w:pPr>
    <w:rPr>
      <w:kern w:val="2"/>
      <w:sz w:val="21"/>
    </w:rPr>
  </w:style>
  <w:style w:type="paragraph" w:styleId="73">
    <w:name w:val="index 9"/>
    <w:basedOn w:val="1"/>
    <w:next w:val="1"/>
    <w:qFormat/>
    <w:uiPriority w:val="0"/>
    <w:pPr>
      <w:widowControl w:val="0"/>
      <w:ind w:left="1600" w:leftChars="1600"/>
      <w:jc w:val="both"/>
    </w:pPr>
    <w:rPr>
      <w:kern w:val="2"/>
      <w:sz w:val="21"/>
    </w:rPr>
  </w:style>
  <w:style w:type="paragraph" w:styleId="74">
    <w:name w:val="table of figures"/>
    <w:basedOn w:val="1"/>
    <w:next w:val="1"/>
    <w:qFormat/>
    <w:uiPriority w:val="0"/>
    <w:pPr>
      <w:widowControl w:val="0"/>
      <w:ind w:left="200" w:leftChars="200" w:hanging="200" w:hangingChars="200"/>
      <w:jc w:val="both"/>
    </w:pPr>
    <w:rPr>
      <w:kern w:val="2"/>
      <w:sz w:val="21"/>
    </w:rPr>
  </w:style>
  <w:style w:type="paragraph" w:styleId="75">
    <w:name w:val="toc 2"/>
    <w:basedOn w:val="1"/>
    <w:next w:val="1"/>
    <w:qFormat/>
    <w:uiPriority w:val="39"/>
    <w:pPr>
      <w:tabs>
        <w:tab w:val="right" w:leader="dot" w:pos="9060"/>
      </w:tabs>
      <w:spacing w:line="360" w:lineRule="exact"/>
      <w:ind w:left="238"/>
    </w:pPr>
    <w:rPr>
      <w:rFonts w:ascii="Calibri" w:hAnsi="Calibri" w:cs="Calibri"/>
      <w:smallCaps/>
      <w:sz w:val="21"/>
      <w:szCs w:val="20"/>
    </w:rPr>
  </w:style>
  <w:style w:type="paragraph" w:styleId="76">
    <w:name w:val="toc 9"/>
    <w:basedOn w:val="1"/>
    <w:next w:val="1"/>
    <w:qFormat/>
    <w:uiPriority w:val="0"/>
    <w:pPr>
      <w:ind w:left="1920"/>
    </w:pPr>
    <w:rPr>
      <w:rFonts w:ascii="Calibri" w:hAnsi="Calibri" w:cs="Calibri"/>
      <w:sz w:val="18"/>
      <w:szCs w:val="18"/>
    </w:rPr>
  </w:style>
  <w:style w:type="paragraph" w:styleId="77">
    <w:name w:val="Body Text 2"/>
    <w:basedOn w:val="1"/>
    <w:link w:val="329"/>
    <w:qFormat/>
    <w:uiPriority w:val="0"/>
    <w:pPr>
      <w:snapToGrid w:val="0"/>
      <w:spacing w:line="280" w:lineRule="exact"/>
      <w:jc w:val="center"/>
    </w:pPr>
    <w:rPr>
      <w:rFonts w:ascii="仿宋_GB2312" w:eastAsia="仿宋_GB2312"/>
      <w:sz w:val="21"/>
    </w:rPr>
  </w:style>
  <w:style w:type="paragraph" w:styleId="78">
    <w:name w:val="List 4"/>
    <w:basedOn w:val="1"/>
    <w:qFormat/>
    <w:uiPriority w:val="0"/>
    <w:pPr>
      <w:widowControl w:val="0"/>
      <w:ind w:left="100" w:leftChars="600" w:hanging="200" w:hangingChars="200"/>
      <w:jc w:val="both"/>
    </w:pPr>
    <w:rPr>
      <w:kern w:val="2"/>
      <w:sz w:val="21"/>
    </w:rPr>
  </w:style>
  <w:style w:type="paragraph" w:styleId="79">
    <w:name w:val="List Continue 2"/>
    <w:basedOn w:val="1"/>
    <w:qFormat/>
    <w:uiPriority w:val="0"/>
    <w:pPr>
      <w:widowControl w:val="0"/>
      <w:spacing w:after="120"/>
      <w:ind w:left="840" w:leftChars="400"/>
      <w:jc w:val="both"/>
    </w:pPr>
    <w:rPr>
      <w:kern w:val="2"/>
      <w:sz w:val="21"/>
    </w:rPr>
  </w:style>
  <w:style w:type="paragraph" w:styleId="80">
    <w:name w:val="Message Header"/>
    <w:basedOn w:val="1"/>
    <w:link w:val="293"/>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Arial" w:hAnsi="Arial" w:cs="Arial"/>
      <w:kern w:val="2"/>
    </w:rPr>
  </w:style>
  <w:style w:type="paragraph" w:styleId="81">
    <w:name w:val="HTML Preformatted"/>
    <w:basedOn w:val="1"/>
    <w:link w:val="33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rPr>
  </w:style>
  <w:style w:type="paragraph" w:styleId="82">
    <w:name w:val="Normal (Web)"/>
    <w:basedOn w:val="1"/>
    <w:qFormat/>
    <w:uiPriority w:val="99"/>
    <w:pPr>
      <w:spacing w:before="100" w:beforeAutospacing="1" w:after="100" w:afterAutospacing="1"/>
    </w:pPr>
    <w:rPr>
      <w:rFonts w:ascii="宋体" w:hAnsi="宋体" w:cs="宋体"/>
    </w:rPr>
  </w:style>
  <w:style w:type="paragraph" w:styleId="83">
    <w:name w:val="List Continue 3"/>
    <w:basedOn w:val="1"/>
    <w:qFormat/>
    <w:uiPriority w:val="0"/>
    <w:pPr>
      <w:widowControl w:val="0"/>
      <w:spacing w:after="120"/>
      <w:ind w:left="1260" w:leftChars="600"/>
      <w:jc w:val="both"/>
    </w:pPr>
    <w:rPr>
      <w:kern w:val="2"/>
      <w:sz w:val="21"/>
    </w:rPr>
  </w:style>
  <w:style w:type="paragraph" w:styleId="84">
    <w:name w:val="index 2"/>
    <w:basedOn w:val="1"/>
    <w:next w:val="1"/>
    <w:qFormat/>
    <w:uiPriority w:val="0"/>
    <w:pPr>
      <w:widowControl w:val="0"/>
      <w:ind w:left="200" w:leftChars="200"/>
      <w:jc w:val="both"/>
    </w:pPr>
    <w:rPr>
      <w:kern w:val="2"/>
      <w:sz w:val="21"/>
    </w:rPr>
  </w:style>
  <w:style w:type="paragraph" w:styleId="85">
    <w:name w:val="Title"/>
    <w:basedOn w:val="1"/>
    <w:link w:val="290"/>
    <w:qFormat/>
    <w:uiPriority w:val="0"/>
    <w:pPr>
      <w:widowControl w:val="0"/>
      <w:spacing w:before="240" w:after="60"/>
      <w:jc w:val="center"/>
      <w:outlineLvl w:val="0"/>
    </w:pPr>
    <w:rPr>
      <w:rFonts w:ascii="Arial" w:hAnsi="Arial" w:cs="Arial"/>
      <w:b/>
      <w:bCs/>
      <w:kern w:val="2"/>
      <w:sz w:val="32"/>
      <w:szCs w:val="32"/>
    </w:rPr>
  </w:style>
  <w:style w:type="paragraph" w:styleId="86">
    <w:name w:val="annotation subject"/>
    <w:basedOn w:val="29"/>
    <w:next w:val="29"/>
    <w:link w:val="133"/>
    <w:qFormat/>
    <w:uiPriority w:val="0"/>
    <w:rPr>
      <w:b/>
      <w:bCs/>
    </w:rPr>
  </w:style>
  <w:style w:type="paragraph" w:styleId="87">
    <w:name w:val="Body Text First Indent 2"/>
    <w:basedOn w:val="36"/>
    <w:next w:val="1"/>
    <w:link w:val="330"/>
    <w:qFormat/>
    <w:uiPriority w:val="0"/>
    <w:pPr>
      <w:spacing w:after="120"/>
      <w:ind w:left="420" w:leftChars="200" w:firstLine="420"/>
    </w:pPr>
    <w:rPr>
      <w:sz w:val="21"/>
    </w:rPr>
  </w:style>
  <w:style w:type="table" w:styleId="89">
    <w:name w:val="Table Grid"/>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Professional"/>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93">
    <w:name w:val="Strong"/>
    <w:qFormat/>
    <w:uiPriority w:val="22"/>
    <w:rPr>
      <w:b/>
      <w:bCs/>
    </w:rPr>
  </w:style>
  <w:style w:type="character" w:styleId="94">
    <w:name w:val="page number"/>
    <w:basedOn w:val="92"/>
    <w:qFormat/>
    <w:uiPriority w:val="0"/>
  </w:style>
  <w:style w:type="character" w:styleId="95">
    <w:name w:val="FollowedHyperlink"/>
    <w:qFormat/>
    <w:uiPriority w:val="0"/>
    <w:rPr>
      <w:color w:val="800080"/>
      <w:u w:val="single"/>
    </w:rPr>
  </w:style>
  <w:style w:type="character" w:styleId="96">
    <w:name w:val="HTML Definition"/>
    <w:basedOn w:val="92"/>
    <w:semiHidden/>
    <w:unhideWhenUsed/>
    <w:qFormat/>
    <w:uiPriority w:val="0"/>
    <w:rPr>
      <w:i/>
    </w:rPr>
  </w:style>
  <w:style w:type="character" w:styleId="97">
    <w:name w:val="Hyperlink"/>
    <w:qFormat/>
    <w:uiPriority w:val="99"/>
    <w:rPr>
      <w:color w:val="0000FF"/>
      <w:u w:val="single"/>
    </w:rPr>
  </w:style>
  <w:style w:type="character" w:styleId="98">
    <w:name w:val="HTML Code"/>
    <w:basedOn w:val="92"/>
    <w:semiHidden/>
    <w:unhideWhenUsed/>
    <w:qFormat/>
    <w:uiPriority w:val="0"/>
    <w:rPr>
      <w:rFonts w:hint="default" w:ascii="Consolas" w:hAnsi="Consolas" w:eastAsia="Consolas" w:cs="Consolas"/>
      <w:color w:val="C7254E"/>
      <w:sz w:val="21"/>
      <w:szCs w:val="21"/>
      <w:shd w:val="clear" w:color="auto" w:fill="F9F2F4"/>
    </w:rPr>
  </w:style>
  <w:style w:type="character" w:styleId="99">
    <w:name w:val="annotation reference"/>
    <w:qFormat/>
    <w:uiPriority w:val="0"/>
    <w:rPr>
      <w:sz w:val="21"/>
      <w:szCs w:val="21"/>
    </w:rPr>
  </w:style>
  <w:style w:type="character" w:styleId="100">
    <w:name w:val="HTML Keyboard"/>
    <w:basedOn w:val="92"/>
    <w:semiHidden/>
    <w:unhideWhenUsed/>
    <w:qFormat/>
    <w:uiPriority w:val="0"/>
    <w:rPr>
      <w:rFonts w:hint="default" w:ascii="Consolas" w:hAnsi="Consolas" w:eastAsia="Consolas" w:cs="Consolas"/>
      <w:color w:val="FFFFFF"/>
      <w:sz w:val="21"/>
      <w:szCs w:val="21"/>
      <w:shd w:val="clear" w:color="auto" w:fill="333333"/>
    </w:rPr>
  </w:style>
  <w:style w:type="character" w:styleId="101">
    <w:name w:val="HTML Sample"/>
    <w:basedOn w:val="92"/>
    <w:semiHidden/>
    <w:unhideWhenUsed/>
    <w:qFormat/>
    <w:uiPriority w:val="0"/>
    <w:rPr>
      <w:rFonts w:ascii="Consolas" w:hAnsi="Consolas" w:eastAsia="Consolas" w:cs="Consolas"/>
      <w:sz w:val="21"/>
      <w:szCs w:val="21"/>
    </w:rPr>
  </w:style>
  <w:style w:type="character" w:customStyle="1" w:styleId="102">
    <w:name w:val="纯文本 Char"/>
    <w:link w:val="46"/>
    <w:qFormat/>
    <w:uiPriority w:val="0"/>
    <w:rPr>
      <w:rFonts w:ascii="宋体" w:hAnsi="Courier New" w:eastAsia="宋体"/>
      <w:kern w:val="2"/>
      <w:sz w:val="21"/>
      <w:lang w:val="en-US" w:eastAsia="zh-CN" w:bidi="ar-SA"/>
    </w:rPr>
  </w:style>
  <w:style w:type="paragraph" w:customStyle="1" w:styleId="103">
    <w:name w:val="报告正文"/>
    <w:basedOn w:val="1"/>
    <w:link w:val="104"/>
    <w:qFormat/>
    <w:uiPriority w:val="0"/>
    <w:pPr>
      <w:widowControl w:val="0"/>
      <w:spacing w:line="480" w:lineRule="exact"/>
      <w:ind w:firstLine="200" w:firstLineChars="200"/>
      <w:jc w:val="both"/>
    </w:pPr>
    <w:rPr>
      <w:color w:val="000000"/>
      <w:kern w:val="2"/>
    </w:rPr>
  </w:style>
  <w:style w:type="character" w:customStyle="1" w:styleId="104">
    <w:name w:val="报告正文 Char"/>
    <w:link w:val="103"/>
    <w:qFormat/>
    <w:uiPriority w:val="0"/>
    <w:rPr>
      <w:rFonts w:eastAsia="宋体"/>
      <w:color w:val="000000"/>
      <w:kern w:val="2"/>
      <w:sz w:val="24"/>
      <w:szCs w:val="24"/>
      <w:lang w:val="en-US" w:eastAsia="zh-CN" w:bidi="ar-SA"/>
    </w:rPr>
  </w:style>
  <w:style w:type="character" w:customStyle="1" w:styleId="105">
    <w:name w:val="标题 1 Char"/>
    <w:link w:val="4"/>
    <w:qFormat/>
    <w:uiPriority w:val="99"/>
    <w:rPr>
      <w:rFonts w:eastAsia="华康简魏碑"/>
      <w:b/>
      <w:kern w:val="44"/>
      <w:sz w:val="32"/>
      <w:lang w:val="en-US" w:eastAsia="zh-CN" w:bidi="ar-SA"/>
    </w:rPr>
  </w:style>
  <w:style w:type="character" w:customStyle="1" w:styleId="106">
    <w:name w:val="标题 2 Char"/>
    <w:basedOn w:val="92"/>
    <w:link w:val="5"/>
    <w:qFormat/>
    <w:uiPriority w:val="99"/>
    <w:rPr>
      <w:rFonts w:eastAsia="华康简魏碑"/>
      <w:b/>
      <w:kern w:val="2"/>
      <w:sz w:val="30"/>
    </w:rPr>
  </w:style>
  <w:style w:type="character" w:customStyle="1" w:styleId="107">
    <w:name w:val="标题 3 Char"/>
    <w:basedOn w:val="92"/>
    <w:link w:val="6"/>
    <w:qFormat/>
    <w:uiPriority w:val="99"/>
    <w:rPr>
      <w:rFonts w:eastAsia="华康简魏碑"/>
      <w:b/>
      <w:bCs/>
      <w:i/>
      <w:iCs/>
      <w:color w:val="000000"/>
      <w:kern w:val="2"/>
      <w:sz w:val="28"/>
      <w:szCs w:val="32"/>
    </w:rPr>
  </w:style>
  <w:style w:type="character" w:customStyle="1" w:styleId="108">
    <w:name w:val="日期 Char"/>
    <w:basedOn w:val="92"/>
    <w:link w:val="51"/>
    <w:qFormat/>
    <w:uiPriority w:val="0"/>
    <w:rPr>
      <w:kern w:val="2"/>
      <w:sz w:val="21"/>
    </w:rPr>
  </w:style>
  <w:style w:type="character" w:customStyle="1" w:styleId="109">
    <w:name w:val="页眉 Char"/>
    <w:link w:val="58"/>
    <w:qFormat/>
    <w:uiPriority w:val="0"/>
    <w:rPr>
      <w:rFonts w:eastAsia="宋体"/>
      <w:kern w:val="2"/>
      <w:sz w:val="18"/>
      <w:lang w:val="en-US" w:eastAsia="zh-CN" w:bidi="ar-SA"/>
    </w:rPr>
  </w:style>
  <w:style w:type="character" w:customStyle="1" w:styleId="110">
    <w:name w:val="页脚 Char"/>
    <w:link w:val="56"/>
    <w:qFormat/>
    <w:uiPriority w:val="0"/>
    <w:rPr>
      <w:kern w:val="2"/>
      <w:sz w:val="18"/>
    </w:rPr>
  </w:style>
  <w:style w:type="paragraph" w:customStyle="1" w:styleId="111">
    <w:name w:val="Char Char Char Char"/>
    <w:basedOn w:val="1"/>
    <w:qFormat/>
    <w:uiPriority w:val="0"/>
    <w:pPr>
      <w:widowControl w:val="0"/>
      <w:spacing w:line="360" w:lineRule="auto"/>
      <w:ind w:firstLine="200" w:firstLineChars="200"/>
      <w:jc w:val="both"/>
    </w:pPr>
    <w:rPr>
      <w:rFonts w:ascii="宋体" w:hAnsi="宋体" w:cs="宋体"/>
      <w:kern w:val="2"/>
    </w:rPr>
  </w:style>
  <w:style w:type="paragraph" w:customStyle="1" w:styleId="112">
    <w:name w:val="缩进"/>
    <w:basedOn w:val="1"/>
    <w:qFormat/>
    <w:uiPriority w:val="0"/>
    <w:pPr>
      <w:widowControl w:val="0"/>
      <w:autoSpaceDE w:val="0"/>
      <w:autoSpaceDN w:val="0"/>
      <w:adjustRightInd w:val="0"/>
      <w:spacing w:line="400" w:lineRule="atLeast"/>
      <w:ind w:firstLine="425"/>
      <w:jc w:val="both"/>
      <w:textAlignment w:val="baseline"/>
    </w:pPr>
    <w:rPr>
      <w:kern w:val="2"/>
      <w:szCs w:val="20"/>
    </w:rPr>
  </w:style>
  <w:style w:type="character" w:customStyle="1" w:styleId="113">
    <w:name w:val="正文缩进 Char"/>
    <w:link w:val="22"/>
    <w:qFormat/>
    <w:uiPriority w:val="0"/>
    <w:rPr>
      <w:rFonts w:eastAsia="宋体"/>
      <w:kern w:val="2"/>
      <w:sz w:val="24"/>
      <w:szCs w:val="24"/>
      <w:lang w:val="en-US" w:eastAsia="zh-CN" w:bidi="ar-SA"/>
    </w:rPr>
  </w:style>
  <w:style w:type="paragraph" w:customStyle="1" w:styleId="114">
    <w:name w:val="表格"/>
    <w:basedOn w:val="1"/>
    <w:next w:val="1"/>
    <w:link w:val="115"/>
    <w:qFormat/>
    <w:uiPriority w:val="0"/>
    <w:pPr>
      <w:widowControl w:val="0"/>
      <w:autoSpaceDE w:val="0"/>
      <w:autoSpaceDN w:val="0"/>
      <w:adjustRightInd w:val="0"/>
      <w:jc w:val="center"/>
      <w:textAlignment w:val="baseline"/>
    </w:pPr>
    <w:rPr>
      <w:szCs w:val="20"/>
    </w:rPr>
  </w:style>
  <w:style w:type="character" w:customStyle="1" w:styleId="115">
    <w:name w:val="表格 Char"/>
    <w:link w:val="114"/>
    <w:qFormat/>
    <w:uiPriority w:val="0"/>
    <w:rPr>
      <w:sz w:val="24"/>
    </w:rPr>
  </w:style>
  <w:style w:type="paragraph" w:customStyle="1" w:styleId="116">
    <w:name w:val="Char Char Char Char Char Char Char Char Char Char Char Char Char Char Char Char Char Char Char"/>
    <w:basedOn w:val="1"/>
    <w:qFormat/>
    <w:uiPriority w:val="0"/>
    <w:pPr>
      <w:widowControl w:val="0"/>
      <w:spacing w:line="360" w:lineRule="auto"/>
      <w:ind w:firstLine="200" w:firstLineChars="200"/>
      <w:jc w:val="both"/>
    </w:pPr>
    <w:rPr>
      <w:rFonts w:ascii="宋体" w:hAnsi="宋体" w:cs="宋体"/>
      <w:kern w:val="2"/>
    </w:rPr>
  </w:style>
  <w:style w:type="paragraph" w:customStyle="1" w:styleId="117">
    <w:name w:val="Char Char Char"/>
    <w:basedOn w:val="1"/>
    <w:qFormat/>
    <w:uiPriority w:val="0"/>
    <w:pPr>
      <w:widowControl w:val="0"/>
      <w:jc w:val="both"/>
    </w:pPr>
    <w:rPr>
      <w:sz w:val="21"/>
      <w:szCs w:val="20"/>
    </w:rPr>
  </w:style>
  <w:style w:type="paragraph" w:customStyle="1" w:styleId="118">
    <w:name w:val="表格1"/>
    <w:basedOn w:val="1"/>
    <w:link w:val="119"/>
    <w:qFormat/>
    <w:uiPriority w:val="0"/>
    <w:pPr>
      <w:widowControl w:val="0"/>
      <w:tabs>
        <w:tab w:val="left" w:pos="360"/>
        <w:tab w:val="left" w:pos="4201"/>
      </w:tabs>
      <w:adjustRightInd w:val="0"/>
      <w:snapToGrid w:val="0"/>
      <w:jc w:val="both"/>
      <w:textAlignment w:val="baseline"/>
    </w:pPr>
    <w:rPr>
      <w:rFonts w:eastAsia="黑体"/>
      <w:bCs/>
      <w:color w:val="FF6600"/>
      <w:sz w:val="18"/>
      <w:szCs w:val="18"/>
    </w:rPr>
  </w:style>
  <w:style w:type="character" w:customStyle="1" w:styleId="119">
    <w:name w:val="表格1 Char"/>
    <w:link w:val="118"/>
    <w:qFormat/>
    <w:uiPriority w:val="0"/>
    <w:rPr>
      <w:rFonts w:eastAsia="黑体"/>
      <w:bCs/>
      <w:color w:val="FF6600"/>
      <w:sz w:val="18"/>
      <w:szCs w:val="18"/>
      <w:lang w:val="en-US" w:eastAsia="zh-CN" w:bidi="ar-SA"/>
    </w:rPr>
  </w:style>
  <w:style w:type="paragraph" w:customStyle="1" w:styleId="120">
    <w:name w:val="表标题"/>
    <w:basedOn w:val="1"/>
    <w:qFormat/>
    <w:uiPriority w:val="0"/>
    <w:pPr>
      <w:widowControl w:val="0"/>
      <w:adjustRightInd w:val="0"/>
      <w:spacing w:before="60" w:line="300" w:lineRule="auto"/>
      <w:ind w:firstLine="200" w:firstLineChars="200"/>
      <w:jc w:val="center"/>
      <w:textAlignment w:val="baseline"/>
    </w:pPr>
    <w:rPr>
      <w:rFonts w:ascii="宋体"/>
      <w:b/>
      <w:color w:val="000000"/>
      <w:szCs w:val="20"/>
    </w:rPr>
  </w:style>
  <w:style w:type="paragraph" w:customStyle="1" w:styleId="121">
    <w:name w:val="表格，内容"/>
    <w:basedOn w:val="1"/>
    <w:qFormat/>
    <w:uiPriority w:val="0"/>
    <w:pPr>
      <w:widowControl w:val="0"/>
      <w:jc w:val="center"/>
    </w:pPr>
    <w:rPr>
      <w:spacing w:val="10"/>
      <w:kern w:val="44"/>
      <w:sz w:val="21"/>
    </w:rPr>
  </w:style>
  <w:style w:type="paragraph" w:customStyle="1" w:styleId="122">
    <w:name w:val="标注"/>
    <w:basedOn w:val="1"/>
    <w:qFormat/>
    <w:uiPriority w:val="0"/>
    <w:pPr>
      <w:widowControl w:val="0"/>
      <w:adjustRightInd w:val="0"/>
      <w:snapToGrid w:val="0"/>
      <w:jc w:val="both"/>
    </w:pPr>
    <w:rPr>
      <w:rFonts w:eastAsia="黑体"/>
      <w:spacing w:val="6"/>
      <w:kern w:val="44"/>
      <w:sz w:val="18"/>
      <w:szCs w:val="18"/>
    </w:rPr>
  </w:style>
  <w:style w:type="paragraph" w:customStyle="1" w:styleId="123">
    <w:name w:val="xl25"/>
    <w:basedOn w:val="1"/>
    <w:qFormat/>
    <w:uiPriority w:val="0"/>
    <w:pPr>
      <w:spacing w:before="100" w:beforeAutospacing="1" w:after="100" w:afterAutospacing="1"/>
      <w:jc w:val="center"/>
      <w:textAlignment w:val="center"/>
    </w:pPr>
    <w:rPr>
      <w:rFonts w:ascii="Arial Unicode MS" w:hAnsi="Arial Unicode MS" w:eastAsia="Arial Unicode MS" w:cs="Arial Unicode MS"/>
      <w:color w:val="FF0000"/>
      <w:sz w:val="20"/>
      <w:szCs w:val="20"/>
    </w:rPr>
  </w:style>
  <w:style w:type="paragraph" w:customStyle="1" w:styleId="124">
    <w:name w:val="Char"/>
    <w:basedOn w:val="1"/>
    <w:qFormat/>
    <w:uiPriority w:val="0"/>
    <w:pPr>
      <w:widowControl w:val="0"/>
      <w:jc w:val="both"/>
    </w:pPr>
    <w:rPr>
      <w:kern w:val="2"/>
    </w:rPr>
  </w:style>
  <w:style w:type="paragraph" w:customStyle="1" w:styleId="125">
    <w:name w:val="Char Char Char Char Char Char Char"/>
    <w:basedOn w:val="1"/>
    <w:qFormat/>
    <w:uiPriority w:val="0"/>
    <w:pPr>
      <w:widowControl w:val="0"/>
      <w:snapToGrid w:val="0"/>
      <w:spacing w:line="440" w:lineRule="atLeast"/>
      <w:jc w:val="both"/>
    </w:pPr>
    <w:rPr>
      <w:rFonts w:ascii="宋体"/>
      <w:kern w:val="2"/>
    </w:rPr>
  </w:style>
  <w:style w:type="paragraph" w:customStyle="1" w:styleId="126">
    <w:name w:val="表头"/>
    <w:basedOn w:val="1"/>
    <w:link w:val="127"/>
    <w:qFormat/>
    <w:uiPriority w:val="0"/>
    <w:pPr>
      <w:widowControl w:val="0"/>
      <w:spacing w:beforeLines="50"/>
      <w:jc w:val="center"/>
    </w:pPr>
    <w:rPr>
      <w:rFonts w:eastAsia="黑体" w:cs="Courier New"/>
      <w:kern w:val="2"/>
      <w:sz w:val="21"/>
      <w:szCs w:val="21"/>
    </w:rPr>
  </w:style>
  <w:style w:type="character" w:customStyle="1" w:styleId="127">
    <w:name w:val="表头 Char"/>
    <w:link w:val="126"/>
    <w:qFormat/>
    <w:uiPriority w:val="0"/>
    <w:rPr>
      <w:rFonts w:eastAsia="黑体" w:cs="Courier New"/>
      <w:kern w:val="2"/>
      <w:sz w:val="21"/>
      <w:szCs w:val="21"/>
      <w:lang w:val="en-US" w:eastAsia="zh-CN" w:bidi="ar-SA"/>
    </w:rPr>
  </w:style>
  <w:style w:type="paragraph" w:customStyle="1" w:styleId="128">
    <w:name w:val="第三级"/>
    <w:basedOn w:val="1"/>
    <w:qFormat/>
    <w:uiPriority w:val="0"/>
    <w:pPr>
      <w:keepNext/>
      <w:keepLines/>
      <w:widowControl w:val="0"/>
      <w:spacing w:line="360" w:lineRule="auto"/>
      <w:jc w:val="both"/>
      <w:outlineLvl w:val="1"/>
    </w:pPr>
    <w:rPr>
      <w:b/>
      <w:bCs/>
      <w:sz w:val="28"/>
      <w:szCs w:val="28"/>
      <w:shd w:val="clear" w:color="auto" w:fill="FFFFFF"/>
    </w:rPr>
  </w:style>
  <w:style w:type="paragraph" w:customStyle="1" w:styleId="129">
    <w:name w:val="表"/>
    <w:basedOn w:val="1"/>
    <w:qFormat/>
    <w:uiPriority w:val="0"/>
    <w:pPr>
      <w:widowControl w:val="0"/>
      <w:spacing w:line="280" w:lineRule="exact"/>
      <w:jc w:val="center"/>
    </w:pPr>
    <w:rPr>
      <w:kern w:val="2"/>
      <w:sz w:val="21"/>
      <w:szCs w:val="20"/>
    </w:rPr>
  </w:style>
  <w:style w:type="paragraph" w:customStyle="1" w:styleId="130">
    <w:name w:val="图表头"/>
    <w:basedOn w:val="1"/>
    <w:qFormat/>
    <w:uiPriority w:val="0"/>
    <w:pPr>
      <w:widowControl w:val="0"/>
      <w:adjustRightInd w:val="0"/>
      <w:spacing w:line="360" w:lineRule="auto"/>
      <w:jc w:val="center"/>
      <w:textAlignment w:val="baseline"/>
    </w:pPr>
    <w:rPr>
      <w:rFonts w:ascii="黑体" w:eastAsia="黑体"/>
      <w:spacing w:val="5"/>
    </w:rPr>
  </w:style>
  <w:style w:type="paragraph" w:customStyle="1" w:styleId="131">
    <w:name w:val="表格，表头"/>
    <w:basedOn w:val="1"/>
    <w:next w:val="1"/>
    <w:qFormat/>
    <w:uiPriority w:val="0"/>
    <w:pPr>
      <w:widowControl w:val="0"/>
      <w:jc w:val="center"/>
    </w:pPr>
    <w:rPr>
      <w:b/>
      <w:spacing w:val="16"/>
      <w:kern w:val="44"/>
    </w:rPr>
  </w:style>
  <w:style w:type="character" w:customStyle="1" w:styleId="132">
    <w:name w:val="批注文字 Char"/>
    <w:basedOn w:val="92"/>
    <w:link w:val="29"/>
    <w:qFormat/>
    <w:uiPriority w:val="99"/>
    <w:rPr>
      <w:sz w:val="24"/>
      <w:szCs w:val="24"/>
    </w:rPr>
  </w:style>
  <w:style w:type="character" w:customStyle="1" w:styleId="133">
    <w:name w:val="批注主题 Char"/>
    <w:basedOn w:val="92"/>
    <w:link w:val="86"/>
    <w:qFormat/>
    <w:uiPriority w:val="0"/>
    <w:rPr>
      <w:b/>
      <w:bCs/>
      <w:sz w:val="24"/>
      <w:szCs w:val="24"/>
    </w:rPr>
  </w:style>
  <w:style w:type="character" w:customStyle="1" w:styleId="134">
    <w:name w:val="批注框文本 Char"/>
    <w:basedOn w:val="92"/>
    <w:link w:val="55"/>
    <w:qFormat/>
    <w:uiPriority w:val="0"/>
    <w:rPr>
      <w:sz w:val="18"/>
      <w:szCs w:val="18"/>
    </w:rPr>
  </w:style>
  <w:style w:type="paragraph" w:customStyle="1" w:styleId="135">
    <w:name w:val="图表格式"/>
    <w:basedOn w:val="1"/>
    <w:qFormat/>
    <w:uiPriority w:val="0"/>
    <w:pPr>
      <w:widowControl w:val="0"/>
      <w:jc w:val="both"/>
    </w:pPr>
    <w:rPr>
      <w:rFonts w:eastAsia="黑体"/>
      <w:kern w:val="2"/>
      <w:szCs w:val="20"/>
    </w:rPr>
  </w:style>
  <w:style w:type="paragraph" w:customStyle="1" w:styleId="136">
    <w:name w:val="纯文本2"/>
    <w:basedOn w:val="1"/>
    <w:qFormat/>
    <w:uiPriority w:val="0"/>
    <w:pPr>
      <w:widowControl w:val="0"/>
      <w:adjustRightInd w:val="0"/>
      <w:jc w:val="both"/>
      <w:textAlignment w:val="baseline"/>
    </w:pPr>
    <w:rPr>
      <w:rFonts w:ascii="宋体" w:hAnsi="Courier New"/>
      <w:kern w:val="2"/>
      <w:sz w:val="21"/>
      <w:szCs w:val="20"/>
    </w:rPr>
  </w:style>
  <w:style w:type="character" w:customStyle="1" w:styleId="137">
    <w:name w:val="Char Char4"/>
    <w:semiHidden/>
    <w:qFormat/>
    <w:uiPriority w:val="0"/>
    <w:rPr>
      <w:sz w:val="18"/>
      <w:szCs w:val="18"/>
    </w:rPr>
  </w:style>
  <w:style w:type="paragraph" w:customStyle="1" w:styleId="138">
    <w:name w:val="我的样式4正文"/>
    <w:basedOn w:val="1"/>
    <w:link w:val="139"/>
    <w:qFormat/>
    <w:uiPriority w:val="0"/>
    <w:pPr>
      <w:widowControl w:val="0"/>
      <w:spacing w:line="520" w:lineRule="exact"/>
      <w:ind w:firstLine="492" w:firstLineChars="205"/>
      <w:jc w:val="both"/>
    </w:pPr>
    <w:rPr>
      <w:kern w:val="2"/>
    </w:rPr>
  </w:style>
  <w:style w:type="character" w:customStyle="1" w:styleId="139">
    <w:name w:val="我的样式4正文 Char"/>
    <w:link w:val="138"/>
    <w:qFormat/>
    <w:uiPriority w:val="0"/>
    <w:rPr>
      <w:rFonts w:eastAsia="宋体"/>
      <w:kern w:val="2"/>
      <w:sz w:val="24"/>
      <w:szCs w:val="24"/>
      <w:lang w:val="en-US" w:eastAsia="zh-CN" w:bidi="ar-SA"/>
    </w:rPr>
  </w:style>
  <w:style w:type="paragraph" w:customStyle="1" w:styleId="140">
    <w:name w:val="表格字体"/>
    <w:basedOn w:val="103"/>
    <w:qFormat/>
    <w:uiPriority w:val="0"/>
    <w:pPr>
      <w:adjustRightInd w:val="0"/>
      <w:spacing w:line="300" w:lineRule="exact"/>
      <w:ind w:firstLine="0" w:firstLineChars="0"/>
      <w:jc w:val="center"/>
    </w:pPr>
    <w:rPr>
      <w:rFonts w:ascii="宋体" w:hAnsi="宋体"/>
      <w:sz w:val="18"/>
      <w:szCs w:val="18"/>
    </w:rPr>
  </w:style>
  <w:style w:type="character" w:customStyle="1" w:styleId="141">
    <w:name w:val="正文(首行缩进) Char"/>
    <w:link w:val="142"/>
    <w:qFormat/>
    <w:uiPriority w:val="0"/>
    <w:rPr>
      <w:rFonts w:eastAsia="宋体"/>
      <w:snapToGrid w:val="0"/>
      <w:sz w:val="24"/>
      <w:lang w:val="en-US" w:eastAsia="zh-CN" w:bidi="ar-SA"/>
    </w:rPr>
  </w:style>
  <w:style w:type="paragraph" w:customStyle="1" w:styleId="142">
    <w:name w:val="正文(首行缩进)"/>
    <w:basedOn w:val="1"/>
    <w:link w:val="141"/>
    <w:qFormat/>
    <w:uiPriority w:val="0"/>
    <w:pPr>
      <w:widowControl w:val="0"/>
      <w:adjustRightInd w:val="0"/>
      <w:snapToGrid w:val="0"/>
      <w:spacing w:line="360" w:lineRule="auto"/>
      <w:ind w:firstLine="200" w:firstLineChars="200"/>
      <w:jc w:val="both"/>
    </w:pPr>
    <w:rPr>
      <w:snapToGrid w:val="0"/>
      <w:szCs w:val="20"/>
    </w:rPr>
  </w:style>
  <w:style w:type="paragraph" w:customStyle="1" w:styleId="143">
    <w:name w:val="2 Char Char Char Char"/>
    <w:basedOn w:val="1"/>
    <w:qFormat/>
    <w:uiPriority w:val="0"/>
    <w:pPr>
      <w:widowControl w:val="0"/>
      <w:snapToGrid w:val="0"/>
      <w:spacing w:line="360" w:lineRule="auto"/>
      <w:ind w:firstLine="529" w:firstLineChars="200"/>
      <w:jc w:val="both"/>
    </w:pPr>
    <w:rPr>
      <w:rFonts w:ascii="宋体" w:hAnsi="宋体"/>
      <w:b/>
      <w:kern w:val="2"/>
      <w:sz w:val="21"/>
    </w:rPr>
  </w:style>
  <w:style w:type="paragraph" w:customStyle="1" w:styleId="144">
    <w:name w:val="表格居中"/>
    <w:basedOn w:val="1"/>
    <w:qFormat/>
    <w:uiPriority w:val="0"/>
    <w:pPr>
      <w:widowControl w:val="0"/>
      <w:jc w:val="center"/>
    </w:pPr>
    <w:rPr>
      <w:rFonts w:ascii="宋体" w:hAnsi="宋体" w:cs="宋体"/>
      <w:snapToGrid w:val="0"/>
      <w:spacing w:val="-4"/>
      <w:w w:val="90"/>
    </w:rPr>
  </w:style>
  <w:style w:type="paragraph" w:customStyle="1" w:styleId="145">
    <w:name w:val="样式 规划正文 + 仿宋_GB2312 三号 首行缩进:  2 字符 行距: 单倍行距"/>
    <w:basedOn w:val="1"/>
    <w:qFormat/>
    <w:uiPriority w:val="0"/>
    <w:pPr>
      <w:widowControl w:val="0"/>
      <w:ind w:firstLine="560" w:firstLineChars="200"/>
      <w:jc w:val="both"/>
    </w:pPr>
    <w:rPr>
      <w:rFonts w:ascii="仿宋_GB2312" w:eastAsia="仿宋_GB2312" w:cs="宋体"/>
      <w:kern w:val="2"/>
      <w:sz w:val="28"/>
      <w:szCs w:val="28"/>
    </w:rPr>
  </w:style>
  <w:style w:type="paragraph" w:customStyle="1" w:styleId="146">
    <w:name w:val="说明书正文"/>
    <w:basedOn w:val="1"/>
    <w:qFormat/>
    <w:uiPriority w:val="0"/>
    <w:pPr>
      <w:widowControl w:val="0"/>
      <w:spacing w:line="480" w:lineRule="exact"/>
      <w:ind w:firstLine="600" w:firstLineChars="200"/>
      <w:jc w:val="both"/>
    </w:pPr>
    <w:rPr>
      <w:rFonts w:eastAsia="仿宋_GB2312"/>
      <w:color w:val="000000"/>
      <w:kern w:val="2"/>
      <w:sz w:val="30"/>
    </w:rPr>
  </w:style>
  <w:style w:type="paragraph" w:customStyle="1" w:styleId="147">
    <w:name w:val="宋体"/>
    <w:basedOn w:val="1"/>
    <w:next w:val="5"/>
    <w:semiHidden/>
    <w:qFormat/>
    <w:uiPriority w:val="0"/>
    <w:pPr>
      <w:widowControl w:val="0"/>
      <w:tabs>
        <w:tab w:val="left" w:pos="540"/>
      </w:tabs>
      <w:spacing w:line="360" w:lineRule="auto"/>
      <w:ind w:firstLine="560" w:firstLineChars="200"/>
      <w:jc w:val="both"/>
    </w:pPr>
    <w:rPr>
      <w:b/>
      <w:kern w:val="2"/>
      <w:sz w:val="28"/>
      <w:szCs w:val="28"/>
    </w:rPr>
  </w:style>
  <w:style w:type="character" w:customStyle="1" w:styleId="148">
    <w:name w:val="标题1 Char"/>
    <w:qFormat/>
    <w:uiPriority w:val="0"/>
    <w:rPr>
      <w:rFonts w:ascii="Times New Roman" w:hAnsi="Times New Roman" w:eastAsia="黑体" w:cs="Times New Roman"/>
      <w:b/>
      <w:bCs/>
      <w:sz w:val="32"/>
      <w:szCs w:val="20"/>
    </w:rPr>
  </w:style>
  <w:style w:type="character" w:customStyle="1" w:styleId="149">
    <w:name w:val="标题 3 Char Char Char"/>
    <w:qFormat/>
    <w:uiPriority w:val="0"/>
    <w:rPr>
      <w:rFonts w:eastAsia="幼圆"/>
      <w:b/>
      <w:kern w:val="2"/>
      <w:sz w:val="28"/>
      <w:lang w:val="en-US" w:eastAsia="zh-CN" w:bidi="ar-SA"/>
    </w:rPr>
  </w:style>
  <w:style w:type="paragraph" w:customStyle="1" w:styleId="150">
    <w:name w:val="默认段落字体 Para Char Char Char Char"/>
    <w:basedOn w:val="1"/>
    <w:qFormat/>
    <w:uiPriority w:val="0"/>
    <w:pPr>
      <w:widowControl w:val="0"/>
      <w:jc w:val="both"/>
    </w:pPr>
    <w:rPr>
      <w:kern w:val="2"/>
    </w:rPr>
  </w:style>
  <w:style w:type="character" w:customStyle="1" w:styleId="151">
    <w:name w:val="t_tag"/>
    <w:basedOn w:val="92"/>
    <w:qFormat/>
    <w:uiPriority w:val="0"/>
  </w:style>
  <w:style w:type="paragraph" w:customStyle="1" w:styleId="152">
    <w:name w:val="段落1"/>
    <w:basedOn w:val="1"/>
    <w:qFormat/>
    <w:uiPriority w:val="0"/>
    <w:pPr>
      <w:widowControl w:val="0"/>
      <w:spacing w:line="480" w:lineRule="exact"/>
      <w:ind w:firstLine="200" w:firstLineChars="200"/>
      <w:jc w:val="both"/>
    </w:pPr>
    <w:rPr>
      <w:rFonts w:eastAsia="楷体_GB2312"/>
      <w:spacing w:val="6"/>
      <w:kern w:val="2"/>
      <w:sz w:val="28"/>
    </w:rPr>
  </w:style>
  <w:style w:type="character" w:customStyle="1" w:styleId="153">
    <w:name w:val="样式 宋体 加粗"/>
    <w:qFormat/>
    <w:uiPriority w:val="0"/>
    <w:rPr>
      <w:rFonts w:ascii="Times New Roman" w:hAnsi="Times New Roman" w:eastAsia="宋体"/>
      <w:b/>
      <w:bCs/>
      <w:sz w:val="21"/>
    </w:rPr>
  </w:style>
  <w:style w:type="paragraph" w:customStyle="1" w:styleId="154">
    <w:name w:val="样式 小四 行距: 固定值 24 磅"/>
    <w:basedOn w:val="1"/>
    <w:qFormat/>
    <w:uiPriority w:val="0"/>
    <w:pPr>
      <w:widowControl w:val="0"/>
      <w:adjustRightInd w:val="0"/>
      <w:snapToGrid w:val="0"/>
      <w:spacing w:line="360" w:lineRule="auto"/>
      <w:ind w:firstLine="200" w:firstLineChars="200"/>
      <w:jc w:val="both"/>
    </w:pPr>
    <w:rPr>
      <w:rFonts w:cs="宋体"/>
      <w:kern w:val="2"/>
      <w:szCs w:val="20"/>
    </w:rPr>
  </w:style>
  <w:style w:type="character" w:customStyle="1" w:styleId="155">
    <w:name w:val="正文格式 Char"/>
    <w:link w:val="156"/>
    <w:qFormat/>
    <w:uiPriority w:val="0"/>
    <w:rPr>
      <w:rFonts w:ascii="宋体" w:hAnsi="宋体"/>
      <w:kern w:val="2"/>
      <w:sz w:val="24"/>
      <w:szCs w:val="24"/>
      <w:lang w:bidi="ar-SA"/>
    </w:rPr>
  </w:style>
  <w:style w:type="paragraph" w:customStyle="1" w:styleId="156">
    <w:name w:val="正文格式"/>
    <w:basedOn w:val="1"/>
    <w:link w:val="155"/>
    <w:qFormat/>
    <w:uiPriority w:val="0"/>
    <w:pPr>
      <w:widowControl w:val="0"/>
      <w:spacing w:line="360" w:lineRule="auto"/>
      <w:ind w:firstLine="544" w:firstLineChars="200"/>
      <w:jc w:val="both"/>
    </w:pPr>
    <w:rPr>
      <w:rFonts w:ascii="宋体" w:hAnsi="宋体"/>
      <w:kern w:val="2"/>
    </w:rPr>
  </w:style>
  <w:style w:type="character" w:customStyle="1" w:styleId="157">
    <w:name w:val="样式 小四"/>
    <w:qFormat/>
    <w:uiPriority w:val="0"/>
    <w:rPr>
      <w:rFonts w:ascii="Times New Roman" w:hAnsi="Times New Roman" w:eastAsia="宋体"/>
      <w:sz w:val="24"/>
    </w:rPr>
  </w:style>
  <w:style w:type="paragraph" w:customStyle="1" w:styleId="158">
    <w:name w:val="样式 宋体 加粗 居中 行距: 固定值 25 磅"/>
    <w:basedOn w:val="1"/>
    <w:qFormat/>
    <w:uiPriority w:val="0"/>
    <w:pPr>
      <w:widowControl w:val="0"/>
      <w:adjustRightInd w:val="0"/>
      <w:snapToGrid w:val="0"/>
      <w:jc w:val="center"/>
    </w:pPr>
    <w:rPr>
      <w:rFonts w:cs="宋体"/>
      <w:b/>
      <w:bCs/>
      <w:kern w:val="2"/>
      <w:sz w:val="21"/>
      <w:szCs w:val="20"/>
    </w:rPr>
  </w:style>
  <w:style w:type="paragraph" w:customStyle="1" w:styleId="159">
    <w:name w:val="样式 小四 行距: 1.5 倍行距"/>
    <w:basedOn w:val="1"/>
    <w:qFormat/>
    <w:uiPriority w:val="0"/>
    <w:pPr>
      <w:widowControl w:val="0"/>
      <w:adjustRightInd w:val="0"/>
      <w:snapToGrid w:val="0"/>
      <w:spacing w:line="360" w:lineRule="auto"/>
      <w:ind w:firstLine="200" w:firstLineChars="200"/>
      <w:jc w:val="both"/>
    </w:pPr>
    <w:rPr>
      <w:rFonts w:cs="宋体"/>
      <w:kern w:val="2"/>
      <w:szCs w:val="20"/>
    </w:rPr>
  </w:style>
  <w:style w:type="paragraph" w:customStyle="1" w:styleId="160">
    <w:name w:val="样式 样式1 + 加粗 段前: 6 磅 段后: 0 磅 行距: 1.5 倍行距"/>
    <w:basedOn w:val="1"/>
    <w:qFormat/>
    <w:uiPriority w:val="0"/>
    <w:pPr>
      <w:keepNext/>
      <w:keepLines/>
      <w:widowControl w:val="0"/>
      <w:spacing w:before="120" w:line="360" w:lineRule="auto"/>
      <w:jc w:val="both"/>
      <w:outlineLvl w:val="4"/>
    </w:pPr>
    <w:rPr>
      <w:rFonts w:cs="宋体"/>
      <w:b/>
      <w:bCs/>
      <w:kern w:val="2"/>
      <w:szCs w:val="20"/>
    </w:rPr>
  </w:style>
  <w:style w:type="paragraph" w:customStyle="1" w:styleId="161">
    <w:name w:val="样式 首行缩进:  0.77 厘米 行距: 固定值 20 磅"/>
    <w:basedOn w:val="1"/>
    <w:qFormat/>
    <w:uiPriority w:val="0"/>
    <w:pPr>
      <w:widowControl w:val="0"/>
      <w:spacing w:line="360" w:lineRule="auto"/>
      <w:ind w:firstLine="435"/>
      <w:jc w:val="both"/>
    </w:pPr>
    <w:rPr>
      <w:kern w:val="2"/>
      <w:szCs w:val="20"/>
    </w:rPr>
  </w:style>
  <w:style w:type="paragraph" w:customStyle="1" w:styleId="162">
    <w:name w:val="君邦正文"/>
    <w:link w:val="163"/>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character" w:customStyle="1" w:styleId="163">
    <w:name w:val="君邦正文 Char"/>
    <w:link w:val="162"/>
    <w:qFormat/>
    <w:uiPriority w:val="0"/>
    <w:rPr>
      <w:rFonts w:ascii="宋体" w:hAnsi="宋体"/>
      <w:kern w:val="2"/>
      <w:sz w:val="24"/>
      <w:lang w:val="en-US" w:eastAsia="zh-CN" w:bidi="ar-SA"/>
    </w:rPr>
  </w:style>
  <w:style w:type="character" w:customStyle="1" w:styleId="164">
    <w:name w:val="Char Char6"/>
    <w:qFormat/>
    <w:uiPriority w:val="0"/>
    <w:rPr>
      <w:rFonts w:eastAsia="宋体"/>
      <w:b/>
      <w:bCs/>
      <w:kern w:val="44"/>
      <w:sz w:val="44"/>
      <w:szCs w:val="44"/>
      <w:lang w:val="en-US" w:eastAsia="zh-CN" w:bidi="ar-SA"/>
    </w:rPr>
  </w:style>
  <w:style w:type="paragraph" w:customStyle="1" w:styleId="165">
    <w:name w:val="Char1"/>
    <w:basedOn w:val="1"/>
    <w:qFormat/>
    <w:uiPriority w:val="0"/>
    <w:pPr>
      <w:widowControl w:val="0"/>
      <w:adjustRightInd w:val="0"/>
      <w:spacing w:line="360" w:lineRule="atLeast"/>
      <w:jc w:val="both"/>
    </w:pPr>
    <w:rPr>
      <w:rFonts w:eastAsia="黑体"/>
      <w:b/>
      <w:kern w:val="28"/>
      <w:sz w:val="28"/>
      <w:szCs w:val="20"/>
    </w:rPr>
  </w:style>
  <w:style w:type="paragraph" w:styleId="166">
    <w:name w:val="List Paragraph"/>
    <w:basedOn w:val="1"/>
    <w:qFormat/>
    <w:uiPriority w:val="0"/>
    <w:pPr>
      <w:widowControl w:val="0"/>
      <w:ind w:firstLine="420" w:firstLineChars="200"/>
      <w:jc w:val="both"/>
    </w:pPr>
    <w:rPr>
      <w:kern w:val="2"/>
      <w:sz w:val="21"/>
    </w:rPr>
  </w:style>
  <w:style w:type="paragraph" w:customStyle="1" w:styleId="167">
    <w:name w:val="样式 样式 标题 211.1标题 21.1标题2标题 2 Char Char节SeHead wsa2二级标题节标题... + 段..."/>
    <w:basedOn w:val="1"/>
    <w:qFormat/>
    <w:uiPriority w:val="0"/>
    <w:pPr>
      <w:keepNext/>
      <w:keepLines/>
      <w:widowControl w:val="0"/>
      <w:adjustRightInd w:val="0"/>
      <w:snapToGrid w:val="0"/>
      <w:spacing w:beforeLines="50" w:afterLines="50" w:line="360" w:lineRule="auto"/>
      <w:jc w:val="both"/>
      <w:outlineLvl w:val="1"/>
    </w:pPr>
    <w:rPr>
      <w:rFonts w:cs="宋体"/>
      <w:b/>
      <w:bCs/>
      <w:kern w:val="2"/>
      <w:sz w:val="28"/>
      <w:szCs w:val="20"/>
    </w:rPr>
  </w:style>
  <w:style w:type="paragraph" w:customStyle="1" w:styleId="168">
    <w:name w:val="样式 样式 标题 3 + 楷体_GB2312 小四 段前: 7.8 磅 段后: 7.8 磅 行距: 固定值 25 磅 + 段前:..."/>
    <w:basedOn w:val="1"/>
    <w:qFormat/>
    <w:uiPriority w:val="0"/>
    <w:pPr>
      <w:keepNext/>
      <w:keepLines/>
      <w:widowControl w:val="0"/>
      <w:adjustRightInd w:val="0"/>
      <w:snapToGrid w:val="0"/>
      <w:spacing w:beforeLines="50" w:afterLines="50" w:line="360" w:lineRule="auto"/>
      <w:jc w:val="both"/>
      <w:outlineLvl w:val="2"/>
    </w:pPr>
    <w:rPr>
      <w:rFonts w:cs="宋体"/>
      <w:b/>
      <w:bCs/>
      <w:kern w:val="2"/>
      <w:szCs w:val="20"/>
    </w:rPr>
  </w:style>
  <w:style w:type="character" w:customStyle="1" w:styleId="169">
    <w:name w:val="表格内容居中 Char"/>
    <w:link w:val="170"/>
    <w:qFormat/>
    <w:uiPriority w:val="0"/>
    <w:rPr>
      <w:rFonts w:ascii="宋体" w:hAnsi="宋体" w:eastAsia="宋体" w:cs="宋体"/>
      <w:kern w:val="2"/>
      <w:sz w:val="21"/>
      <w:szCs w:val="24"/>
      <w:lang w:val="en-US" w:eastAsia="zh-CN" w:bidi="ar-SA"/>
    </w:rPr>
  </w:style>
  <w:style w:type="paragraph" w:customStyle="1" w:styleId="170">
    <w:name w:val="表格内容居中"/>
    <w:basedOn w:val="1"/>
    <w:link w:val="169"/>
    <w:qFormat/>
    <w:uiPriority w:val="0"/>
    <w:pPr>
      <w:widowControl w:val="0"/>
      <w:adjustRightInd w:val="0"/>
      <w:snapToGrid w:val="0"/>
      <w:spacing w:line="0" w:lineRule="atLeast"/>
      <w:jc w:val="center"/>
    </w:pPr>
    <w:rPr>
      <w:rFonts w:ascii="宋体" w:hAnsi="宋体" w:cs="宋体"/>
      <w:kern w:val="2"/>
      <w:sz w:val="21"/>
    </w:rPr>
  </w:style>
  <w:style w:type="character" w:customStyle="1" w:styleId="171">
    <w:name w:val="自设正文 Char"/>
    <w:link w:val="172"/>
    <w:qFormat/>
    <w:uiPriority w:val="0"/>
    <w:rPr>
      <w:rFonts w:ascii="宋体" w:hAnsi="宋体" w:eastAsia="宋体" w:cs="宋体"/>
      <w:kern w:val="2"/>
      <w:sz w:val="28"/>
      <w:lang w:val="en-US" w:eastAsia="zh-CN" w:bidi="ar-SA"/>
    </w:rPr>
  </w:style>
  <w:style w:type="paragraph" w:customStyle="1" w:styleId="172">
    <w:name w:val="自设正文"/>
    <w:basedOn w:val="1"/>
    <w:link w:val="171"/>
    <w:qFormat/>
    <w:uiPriority w:val="0"/>
    <w:pPr>
      <w:widowControl w:val="0"/>
      <w:spacing w:line="520" w:lineRule="exact"/>
      <w:ind w:firstLine="560" w:firstLineChars="200"/>
      <w:jc w:val="both"/>
    </w:pPr>
    <w:rPr>
      <w:rFonts w:ascii="宋体" w:hAnsi="宋体" w:cs="宋体"/>
      <w:kern w:val="2"/>
      <w:sz w:val="28"/>
      <w:szCs w:val="20"/>
    </w:rPr>
  </w:style>
  <w:style w:type="paragraph" w:customStyle="1" w:styleId="173">
    <w:name w:val="中文报告书样式"/>
    <w:basedOn w:val="1"/>
    <w:qFormat/>
    <w:uiPriority w:val="0"/>
    <w:pPr>
      <w:widowControl w:val="0"/>
      <w:adjustRightInd w:val="0"/>
      <w:snapToGrid w:val="0"/>
      <w:spacing w:line="360" w:lineRule="auto"/>
      <w:ind w:firstLine="480" w:firstLineChars="200"/>
      <w:jc w:val="both"/>
      <w:textAlignment w:val="baseline"/>
    </w:pPr>
    <w:rPr>
      <w:kern w:val="24"/>
      <w:szCs w:val="20"/>
    </w:rPr>
  </w:style>
  <w:style w:type="paragraph" w:customStyle="1" w:styleId="174">
    <w:name w:val="表内格式"/>
    <w:basedOn w:val="1"/>
    <w:qFormat/>
    <w:uiPriority w:val="0"/>
    <w:pPr>
      <w:widowControl w:val="0"/>
      <w:jc w:val="center"/>
    </w:pPr>
    <w:rPr>
      <w:kern w:val="2"/>
      <w:sz w:val="18"/>
      <w:szCs w:val="20"/>
    </w:rPr>
  </w:style>
  <w:style w:type="paragraph" w:customStyle="1" w:styleId="175">
    <w:name w:val="1正文段落"/>
    <w:basedOn w:val="1"/>
    <w:qFormat/>
    <w:uiPriority w:val="0"/>
    <w:pPr>
      <w:widowControl w:val="0"/>
      <w:spacing w:line="360" w:lineRule="auto"/>
      <w:ind w:firstLine="480" w:firstLineChars="200"/>
    </w:pPr>
    <w:rPr>
      <w:snapToGrid w:val="0"/>
    </w:rPr>
  </w:style>
  <w:style w:type="character" w:customStyle="1" w:styleId="176">
    <w:name w:val="样式 (符号) 宋体 小四"/>
    <w:qFormat/>
    <w:uiPriority w:val="0"/>
    <w:rPr>
      <w:rFonts w:ascii="Times New Roman" w:hAnsi="Times New Roman" w:eastAsia="宋体"/>
      <w:kern w:val="0"/>
      <w:sz w:val="24"/>
    </w:rPr>
  </w:style>
  <w:style w:type="paragraph" w:customStyle="1" w:styleId="177">
    <w:name w:val="p0"/>
    <w:basedOn w:val="1"/>
    <w:qFormat/>
    <w:uiPriority w:val="0"/>
    <w:pPr>
      <w:jc w:val="both"/>
    </w:pPr>
    <w:rPr>
      <w:sz w:val="21"/>
      <w:szCs w:val="21"/>
    </w:rPr>
  </w:style>
  <w:style w:type="paragraph" w:customStyle="1" w:styleId="178">
    <w:name w:val="样式 君邦正文 + Times New Roman"/>
    <w:basedOn w:val="162"/>
    <w:link w:val="179"/>
    <w:qFormat/>
    <w:uiPriority w:val="0"/>
    <w:pPr>
      <w:adjustRightInd w:val="0"/>
      <w:snapToGrid w:val="0"/>
      <w:ind w:left="-2" w:firstLine="200"/>
    </w:pPr>
    <w:rPr>
      <w:rFonts w:ascii="Times New Roman" w:hAnsi="Times New Roman"/>
    </w:rPr>
  </w:style>
  <w:style w:type="character" w:customStyle="1" w:styleId="179">
    <w:name w:val="样式 君邦正文 + Times New Roman Char"/>
    <w:basedOn w:val="163"/>
    <w:link w:val="178"/>
    <w:qFormat/>
    <w:uiPriority w:val="0"/>
    <w:rPr>
      <w:rFonts w:ascii="宋体" w:hAnsi="宋体"/>
      <w:kern w:val="2"/>
      <w:sz w:val="24"/>
      <w:lang w:val="en-US" w:eastAsia="zh-CN" w:bidi="ar-SA"/>
    </w:rPr>
  </w:style>
  <w:style w:type="paragraph" w:customStyle="1" w:styleId="180">
    <w:name w:val="Char Char Char Char Char Char Char Char Char Char Char Char Char"/>
    <w:basedOn w:val="1"/>
    <w:qFormat/>
    <w:uiPriority w:val="0"/>
    <w:pPr>
      <w:widowControl w:val="0"/>
      <w:spacing w:afterLines="50" w:line="560" w:lineRule="exact"/>
      <w:jc w:val="both"/>
    </w:pPr>
    <w:rPr>
      <w:rFonts w:eastAsia="黑体"/>
      <w:kern w:val="2"/>
      <w:sz w:val="30"/>
      <w:szCs w:val="30"/>
    </w:rPr>
  </w:style>
  <w:style w:type="paragraph" w:customStyle="1" w:styleId="181">
    <w:name w:val="Char Char Char Char Char Char3 Char Char Char Char Char Char Char"/>
    <w:basedOn w:val="1"/>
    <w:next w:val="1"/>
    <w:qFormat/>
    <w:uiPriority w:val="0"/>
    <w:pPr>
      <w:widowControl w:val="0"/>
      <w:jc w:val="both"/>
    </w:pPr>
    <w:rPr>
      <w:kern w:val="2"/>
      <w:sz w:val="21"/>
    </w:rPr>
  </w:style>
  <w:style w:type="paragraph" w:customStyle="1" w:styleId="182">
    <w:name w:val="Char Char Char Char Char Char Char Char Char Char"/>
    <w:basedOn w:val="1"/>
    <w:qFormat/>
    <w:uiPriority w:val="0"/>
    <w:pPr>
      <w:widowControl w:val="0"/>
      <w:spacing w:line="240" w:lineRule="exact"/>
      <w:ind w:firstLine="200" w:firstLineChars="200"/>
      <w:jc w:val="both"/>
    </w:pPr>
    <w:rPr>
      <w:rFonts w:ascii="宋体" w:hAnsi="宋体" w:cs="宋体"/>
      <w:kern w:val="2"/>
    </w:rPr>
  </w:style>
  <w:style w:type="paragraph" w:customStyle="1" w:styleId="183">
    <w:name w:val="Char Char Char Char Char Char Char Char Char Char Char Char"/>
    <w:basedOn w:val="1"/>
    <w:qFormat/>
    <w:uiPriority w:val="0"/>
    <w:pPr>
      <w:widowControl w:val="0"/>
      <w:snapToGrid w:val="0"/>
      <w:spacing w:line="360" w:lineRule="auto"/>
      <w:ind w:firstLine="200" w:firstLineChars="200"/>
      <w:jc w:val="both"/>
    </w:pPr>
    <w:rPr>
      <w:rFonts w:eastAsia="仿宋_GB2312"/>
      <w:kern w:val="2"/>
      <w:szCs w:val="28"/>
    </w:rPr>
  </w:style>
  <w:style w:type="paragraph" w:customStyle="1" w:styleId="184">
    <w:name w:val="Char Char1"/>
    <w:basedOn w:val="1"/>
    <w:qFormat/>
    <w:uiPriority w:val="0"/>
    <w:pPr>
      <w:widowControl w:val="0"/>
      <w:snapToGrid w:val="0"/>
      <w:spacing w:line="360" w:lineRule="auto"/>
      <w:ind w:firstLine="529" w:firstLineChars="200"/>
      <w:jc w:val="both"/>
    </w:pPr>
    <w:rPr>
      <w:rFonts w:ascii="宋体" w:hAnsi="宋体"/>
      <w:b/>
      <w:kern w:val="2"/>
      <w:sz w:val="21"/>
    </w:rPr>
  </w:style>
  <w:style w:type="paragraph" w:customStyle="1" w:styleId="185">
    <w:name w:val="_Style 36"/>
    <w:basedOn w:val="1"/>
    <w:semiHidden/>
    <w:qFormat/>
    <w:uiPriority w:val="0"/>
    <w:pPr>
      <w:widowControl w:val="0"/>
      <w:snapToGrid w:val="0"/>
      <w:spacing w:line="360" w:lineRule="auto"/>
      <w:ind w:firstLine="200" w:firstLineChars="200"/>
      <w:jc w:val="both"/>
    </w:pPr>
    <w:rPr>
      <w:kern w:val="2"/>
      <w:szCs w:val="20"/>
    </w:rPr>
  </w:style>
  <w:style w:type="paragraph" w:customStyle="1" w:styleId="186">
    <w:name w:val="Char2"/>
    <w:basedOn w:val="1"/>
    <w:qFormat/>
    <w:uiPriority w:val="0"/>
    <w:pPr>
      <w:widowControl w:val="0"/>
      <w:jc w:val="both"/>
    </w:pPr>
    <w:rPr>
      <w:kern w:val="2"/>
      <w:sz w:val="21"/>
      <w:szCs w:val="20"/>
    </w:rPr>
  </w:style>
  <w:style w:type="character" w:customStyle="1" w:styleId="187">
    <w:name w:val="君邦正文 Char Char"/>
    <w:qFormat/>
    <w:uiPriority w:val="0"/>
    <w:rPr>
      <w:rFonts w:ascii="宋体" w:hAnsi="宋体"/>
      <w:kern w:val="2"/>
      <w:sz w:val="24"/>
      <w:lang w:val="en-US" w:eastAsia="zh-CN" w:bidi="ar-SA"/>
    </w:rPr>
  </w:style>
  <w:style w:type="character" w:customStyle="1" w:styleId="188">
    <w:name w:val="正文格式 Char Char"/>
    <w:qFormat/>
    <w:uiPriority w:val="0"/>
    <w:rPr>
      <w:rFonts w:ascii="宋体" w:hAnsi="宋体"/>
      <w:kern w:val="2"/>
      <w:sz w:val="24"/>
      <w:szCs w:val="24"/>
      <w:lang w:bidi="ar-SA"/>
    </w:rPr>
  </w:style>
  <w:style w:type="paragraph" w:customStyle="1" w:styleId="189">
    <w:name w:val="TOC 标题1"/>
    <w:basedOn w:val="4"/>
    <w:next w:val="1"/>
    <w:semiHidden/>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paragraph" w:customStyle="1" w:styleId="19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91">
    <w:name w:val="Char Char2"/>
    <w:basedOn w:val="1"/>
    <w:next w:val="1"/>
    <w:qFormat/>
    <w:uiPriority w:val="0"/>
    <w:pPr>
      <w:keepNext/>
      <w:keepLines/>
      <w:adjustRightInd w:val="0"/>
      <w:spacing w:before="360" w:after="480" w:line="360" w:lineRule="auto"/>
      <w:ind w:firstLine="200" w:firstLineChars="200"/>
      <w:textAlignment w:val="baseline"/>
      <w:outlineLvl w:val="1"/>
    </w:pPr>
    <w:rPr>
      <w:rFonts w:eastAsia="仿宋_GB2312"/>
      <w:kern w:val="2"/>
      <w:sz w:val="28"/>
      <w:szCs w:val="20"/>
    </w:rPr>
  </w:style>
  <w:style w:type="paragraph" w:customStyle="1" w:styleId="192">
    <w:name w:val="报告表正文"/>
    <w:basedOn w:val="1"/>
    <w:link w:val="193"/>
    <w:qFormat/>
    <w:uiPriority w:val="0"/>
    <w:pPr>
      <w:widowControl w:val="0"/>
      <w:adjustRightInd w:val="0"/>
      <w:spacing w:line="312" w:lineRule="auto"/>
      <w:ind w:left="113" w:right="113" w:firstLine="482"/>
      <w:textAlignment w:val="baseline"/>
    </w:pPr>
    <w:rPr>
      <w:szCs w:val="20"/>
    </w:rPr>
  </w:style>
  <w:style w:type="character" w:customStyle="1" w:styleId="193">
    <w:name w:val="报告表正文 Char"/>
    <w:link w:val="192"/>
    <w:qFormat/>
    <w:uiPriority w:val="0"/>
    <w:rPr>
      <w:sz w:val="24"/>
    </w:rPr>
  </w:style>
  <w:style w:type="character" w:customStyle="1" w:styleId="194">
    <w:name w:val="正文缩进 Char2"/>
    <w:qFormat/>
    <w:uiPriority w:val="0"/>
    <w:rPr>
      <w:rFonts w:eastAsia="宋体"/>
      <w:kern w:val="2"/>
      <w:sz w:val="24"/>
      <w:lang w:val="en-US" w:eastAsia="zh-CN" w:bidi="ar-SA"/>
    </w:rPr>
  </w:style>
  <w:style w:type="character" w:customStyle="1" w:styleId="195">
    <w:name w:val="表头 Char Char"/>
    <w:qFormat/>
    <w:uiPriority w:val="0"/>
    <w:rPr>
      <w:rFonts w:cs="宋体"/>
      <w:b/>
      <w:kern w:val="2"/>
      <w:sz w:val="24"/>
      <w:lang w:val="en-US" w:eastAsia="zh-CN" w:bidi="ar-SA"/>
    </w:rPr>
  </w:style>
  <w:style w:type="character" w:customStyle="1" w:styleId="196">
    <w:name w:val="脚注文本 Char"/>
    <w:link w:val="68"/>
    <w:qFormat/>
    <w:uiPriority w:val="0"/>
    <w:rPr>
      <w:kern w:val="2"/>
      <w:sz w:val="18"/>
      <w:szCs w:val="18"/>
    </w:rPr>
  </w:style>
  <w:style w:type="paragraph" w:customStyle="1" w:styleId="197">
    <w:name w:val="正文1"/>
    <w:basedOn w:val="1"/>
    <w:link w:val="198"/>
    <w:qFormat/>
    <w:uiPriority w:val="0"/>
    <w:pPr>
      <w:widowControl w:val="0"/>
      <w:adjustRightInd w:val="0"/>
      <w:snapToGrid w:val="0"/>
      <w:spacing w:line="500" w:lineRule="atLeast"/>
      <w:ind w:firstLine="567"/>
      <w:jc w:val="both"/>
    </w:pPr>
    <w:rPr>
      <w:kern w:val="2"/>
      <w:sz w:val="28"/>
      <w:szCs w:val="20"/>
    </w:rPr>
  </w:style>
  <w:style w:type="character" w:customStyle="1" w:styleId="198">
    <w:name w:val="正文1 Char"/>
    <w:link w:val="197"/>
    <w:qFormat/>
    <w:uiPriority w:val="0"/>
    <w:rPr>
      <w:kern w:val="2"/>
      <w:sz w:val="28"/>
    </w:rPr>
  </w:style>
  <w:style w:type="paragraph" w:customStyle="1" w:styleId="199">
    <w:name w:val="报告表格"/>
    <w:basedOn w:val="1"/>
    <w:qFormat/>
    <w:uiPriority w:val="0"/>
    <w:pPr>
      <w:widowControl w:val="0"/>
      <w:autoSpaceDE w:val="0"/>
      <w:autoSpaceDN w:val="0"/>
      <w:adjustRightInd w:val="0"/>
      <w:spacing w:before="40" w:after="40"/>
      <w:jc w:val="center"/>
    </w:pPr>
    <w:rPr>
      <w:sz w:val="21"/>
      <w:szCs w:val="20"/>
    </w:rPr>
  </w:style>
  <w:style w:type="paragraph" w:customStyle="1" w:styleId="200">
    <w:name w:val="段落"/>
    <w:basedOn w:val="1"/>
    <w:qFormat/>
    <w:uiPriority w:val="0"/>
    <w:pPr>
      <w:widowControl w:val="0"/>
      <w:spacing w:line="500" w:lineRule="exact"/>
      <w:ind w:firstLine="578"/>
      <w:jc w:val="both"/>
    </w:pPr>
    <w:rPr>
      <w:rFonts w:ascii="宋体" w:hAnsi="宋体"/>
      <w:kern w:val="2"/>
      <w:sz w:val="28"/>
      <w:szCs w:val="28"/>
    </w:rPr>
  </w:style>
  <w:style w:type="paragraph" w:customStyle="1" w:styleId="201">
    <w:name w:val="样式 行距: 1.5 倍行距"/>
    <w:basedOn w:val="1"/>
    <w:qFormat/>
    <w:uiPriority w:val="0"/>
    <w:pPr>
      <w:widowControl w:val="0"/>
      <w:spacing w:line="480" w:lineRule="exact"/>
      <w:ind w:firstLine="200" w:firstLineChars="200"/>
      <w:jc w:val="both"/>
    </w:pPr>
    <w:rPr>
      <w:kern w:val="2"/>
      <w:szCs w:val="20"/>
    </w:rPr>
  </w:style>
  <w:style w:type="character" w:customStyle="1" w:styleId="202">
    <w:name w:val="apple-converted-space"/>
    <w:basedOn w:val="92"/>
    <w:qFormat/>
    <w:uiPriority w:val="0"/>
  </w:style>
  <w:style w:type="character" w:customStyle="1" w:styleId="203">
    <w:name w:val="提头 Char Char"/>
    <w:basedOn w:val="92"/>
    <w:link w:val="204"/>
    <w:qFormat/>
    <w:uiPriority w:val="0"/>
    <w:rPr>
      <w:b/>
      <w:kern w:val="2"/>
      <w:sz w:val="24"/>
      <w:szCs w:val="24"/>
    </w:rPr>
  </w:style>
  <w:style w:type="paragraph" w:customStyle="1" w:styleId="204">
    <w:name w:val="提头"/>
    <w:basedOn w:val="1"/>
    <w:next w:val="1"/>
    <w:link w:val="203"/>
    <w:qFormat/>
    <w:uiPriority w:val="0"/>
    <w:pPr>
      <w:tabs>
        <w:tab w:val="left" w:pos="227"/>
      </w:tabs>
      <w:spacing w:line="360" w:lineRule="auto"/>
      <w:jc w:val="center"/>
    </w:pPr>
    <w:rPr>
      <w:b/>
      <w:kern w:val="2"/>
    </w:rPr>
  </w:style>
  <w:style w:type="character" w:customStyle="1" w:styleId="205">
    <w:name w:val="正文文本 (2)_"/>
    <w:basedOn w:val="92"/>
    <w:link w:val="206"/>
    <w:qFormat/>
    <w:uiPriority w:val="0"/>
    <w:rPr>
      <w:rFonts w:ascii="MingLiU" w:hAnsi="MingLiU" w:eastAsia="MingLiU" w:cs="MingLiU"/>
      <w:sz w:val="22"/>
      <w:szCs w:val="22"/>
      <w:shd w:val="clear" w:color="auto" w:fill="FFFFFF"/>
    </w:rPr>
  </w:style>
  <w:style w:type="paragraph" w:customStyle="1" w:styleId="206">
    <w:name w:val="正文文本 (2)"/>
    <w:basedOn w:val="1"/>
    <w:link w:val="205"/>
    <w:qFormat/>
    <w:uiPriority w:val="0"/>
    <w:pPr>
      <w:widowControl w:val="0"/>
      <w:shd w:val="clear" w:color="auto" w:fill="FFFFFF"/>
      <w:spacing w:line="494" w:lineRule="exact"/>
      <w:jc w:val="distribute"/>
    </w:pPr>
    <w:rPr>
      <w:rFonts w:ascii="MingLiU" w:hAnsi="MingLiU" w:eastAsia="MingLiU" w:cs="MingLiU"/>
      <w:sz w:val="22"/>
      <w:szCs w:val="22"/>
    </w:rPr>
  </w:style>
  <w:style w:type="character" w:customStyle="1" w:styleId="207">
    <w:name w:val="正文文本 (2) + AngsanaUPC"/>
    <w:basedOn w:val="205"/>
    <w:qFormat/>
    <w:uiPriority w:val="0"/>
    <w:rPr>
      <w:rFonts w:ascii="AngsanaUPC" w:hAnsi="AngsanaUPC" w:eastAsia="AngsanaUPC" w:cs="AngsanaUPC"/>
      <w:color w:val="000000"/>
      <w:spacing w:val="0"/>
      <w:w w:val="100"/>
      <w:position w:val="0"/>
      <w:sz w:val="36"/>
      <w:szCs w:val="36"/>
      <w:shd w:val="clear" w:color="auto" w:fill="FFFFFF"/>
      <w:lang w:val="en-US" w:eastAsia="en-US" w:bidi="en-US"/>
    </w:rPr>
  </w:style>
  <w:style w:type="character" w:customStyle="1" w:styleId="208">
    <w:name w:val="正文文本 (3)_"/>
    <w:basedOn w:val="92"/>
    <w:link w:val="209"/>
    <w:qFormat/>
    <w:uiPriority w:val="0"/>
    <w:rPr>
      <w:rFonts w:ascii="MingLiU" w:hAnsi="MingLiU" w:eastAsia="MingLiU" w:cs="MingLiU"/>
      <w:b/>
      <w:bCs/>
      <w:sz w:val="22"/>
      <w:szCs w:val="22"/>
      <w:shd w:val="clear" w:color="auto" w:fill="FFFFFF"/>
    </w:rPr>
  </w:style>
  <w:style w:type="paragraph" w:customStyle="1" w:styleId="209">
    <w:name w:val="正文文本 (3)"/>
    <w:basedOn w:val="1"/>
    <w:link w:val="208"/>
    <w:qFormat/>
    <w:uiPriority w:val="0"/>
    <w:pPr>
      <w:widowControl w:val="0"/>
      <w:shd w:val="clear" w:color="auto" w:fill="FFFFFF"/>
      <w:spacing w:line="626" w:lineRule="exact"/>
    </w:pPr>
    <w:rPr>
      <w:rFonts w:ascii="MingLiU" w:hAnsi="MingLiU" w:eastAsia="MingLiU" w:cs="MingLiU"/>
      <w:b/>
      <w:bCs/>
      <w:sz w:val="22"/>
      <w:szCs w:val="22"/>
    </w:rPr>
  </w:style>
  <w:style w:type="character" w:customStyle="1" w:styleId="210">
    <w:name w:val="正文文本 (3) + 间距 -1 pt"/>
    <w:basedOn w:val="208"/>
    <w:qFormat/>
    <w:uiPriority w:val="0"/>
    <w:rPr>
      <w:rFonts w:ascii="MingLiU" w:hAnsi="MingLiU" w:eastAsia="MingLiU" w:cs="MingLiU"/>
      <w:color w:val="000000"/>
      <w:spacing w:val="-30"/>
      <w:w w:val="100"/>
      <w:position w:val="0"/>
      <w:sz w:val="22"/>
      <w:szCs w:val="22"/>
      <w:shd w:val="clear" w:color="auto" w:fill="FFFFFF"/>
      <w:lang w:val="en-US" w:eastAsia="en-US" w:bidi="en-US"/>
    </w:rPr>
  </w:style>
  <w:style w:type="character" w:customStyle="1" w:styleId="211">
    <w:name w:val="正文文本 (4)_"/>
    <w:basedOn w:val="92"/>
    <w:link w:val="212"/>
    <w:qFormat/>
    <w:uiPriority w:val="0"/>
    <w:rPr>
      <w:rFonts w:ascii="MingLiU" w:hAnsi="MingLiU" w:eastAsia="MingLiU" w:cs="MingLiU"/>
      <w:sz w:val="22"/>
      <w:szCs w:val="22"/>
      <w:shd w:val="clear" w:color="auto" w:fill="FFFFFF"/>
    </w:rPr>
  </w:style>
  <w:style w:type="paragraph" w:customStyle="1" w:styleId="212">
    <w:name w:val="正文文本 (4)"/>
    <w:basedOn w:val="1"/>
    <w:link w:val="211"/>
    <w:qFormat/>
    <w:uiPriority w:val="0"/>
    <w:pPr>
      <w:widowControl w:val="0"/>
      <w:shd w:val="clear" w:color="auto" w:fill="FFFFFF"/>
      <w:spacing w:line="487" w:lineRule="exact"/>
      <w:jc w:val="distribute"/>
    </w:pPr>
    <w:rPr>
      <w:rFonts w:ascii="MingLiU" w:hAnsi="MingLiU" w:eastAsia="MingLiU" w:cs="MingLiU"/>
      <w:sz w:val="22"/>
      <w:szCs w:val="22"/>
    </w:rPr>
  </w:style>
  <w:style w:type="character" w:customStyle="1" w:styleId="213">
    <w:name w:val="正文文本 (3) + 非粗体"/>
    <w:basedOn w:val="208"/>
    <w:qFormat/>
    <w:uiPriority w:val="0"/>
    <w:rPr>
      <w:rFonts w:ascii="MingLiU" w:hAnsi="MingLiU" w:eastAsia="MingLiU" w:cs="MingLiU"/>
      <w:color w:val="000000"/>
      <w:spacing w:val="0"/>
      <w:w w:val="100"/>
      <w:position w:val="0"/>
      <w:sz w:val="22"/>
      <w:szCs w:val="22"/>
      <w:shd w:val="clear" w:color="auto" w:fill="FFFFFF"/>
      <w:lang w:val="zh-CN" w:eastAsia="zh-CN" w:bidi="zh-CN"/>
    </w:rPr>
  </w:style>
  <w:style w:type="character" w:customStyle="1" w:styleId="214">
    <w:name w:val="正文文本 (4) + 间距 3 pt"/>
    <w:basedOn w:val="211"/>
    <w:qFormat/>
    <w:uiPriority w:val="0"/>
    <w:rPr>
      <w:rFonts w:ascii="MingLiU" w:hAnsi="MingLiU" w:eastAsia="MingLiU" w:cs="MingLiU"/>
      <w:color w:val="000000"/>
      <w:spacing w:val="70"/>
      <w:w w:val="100"/>
      <w:position w:val="0"/>
      <w:sz w:val="22"/>
      <w:szCs w:val="22"/>
      <w:shd w:val="clear" w:color="auto" w:fill="FFFFFF"/>
      <w:lang w:val="zh-CN" w:eastAsia="zh-CN" w:bidi="zh-CN"/>
    </w:rPr>
  </w:style>
  <w:style w:type="character" w:customStyle="1" w:styleId="215">
    <w:name w:val="正文文本 (2) + 粗体"/>
    <w:basedOn w:val="205"/>
    <w:qFormat/>
    <w:uiPriority w:val="0"/>
    <w:rPr>
      <w:rFonts w:ascii="MingLiU" w:hAnsi="MingLiU" w:eastAsia="MingLiU" w:cs="MingLiU"/>
      <w:b/>
      <w:bCs/>
      <w:color w:val="000000"/>
      <w:spacing w:val="-30"/>
      <w:w w:val="100"/>
      <w:position w:val="0"/>
      <w:sz w:val="22"/>
      <w:szCs w:val="22"/>
      <w:u w:val="none"/>
      <w:shd w:val="clear" w:color="auto" w:fill="FFFFFF"/>
      <w:lang w:val="en-US" w:eastAsia="en-US" w:bidi="en-US"/>
    </w:rPr>
  </w:style>
  <w:style w:type="character" w:customStyle="1" w:styleId="216">
    <w:name w:val="正文文本 (5)_"/>
    <w:basedOn w:val="92"/>
    <w:link w:val="217"/>
    <w:qFormat/>
    <w:uiPriority w:val="0"/>
    <w:rPr>
      <w:rFonts w:ascii="Sylfaen" w:hAnsi="Sylfaen" w:eastAsia="Sylfaen" w:cs="Sylfaen"/>
      <w:sz w:val="12"/>
      <w:szCs w:val="12"/>
      <w:shd w:val="clear" w:color="auto" w:fill="FFFFFF"/>
    </w:rPr>
  </w:style>
  <w:style w:type="paragraph" w:customStyle="1" w:styleId="217">
    <w:name w:val="正文文本 (5)"/>
    <w:basedOn w:val="1"/>
    <w:link w:val="216"/>
    <w:qFormat/>
    <w:uiPriority w:val="0"/>
    <w:pPr>
      <w:widowControl w:val="0"/>
      <w:shd w:val="clear" w:color="auto" w:fill="FFFFFF"/>
      <w:spacing w:after="120" w:line="0" w:lineRule="atLeast"/>
    </w:pPr>
    <w:rPr>
      <w:rFonts w:ascii="Sylfaen" w:hAnsi="Sylfaen" w:eastAsia="Sylfaen" w:cs="Sylfaen"/>
      <w:sz w:val="12"/>
      <w:szCs w:val="12"/>
    </w:rPr>
  </w:style>
  <w:style w:type="character" w:customStyle="1" w:styleId="218">
    <w:name w:val="标题 #3_"/>
    <w:basedOn w:val="92"/>
    <w:link w:val="219"/>
    <w:qFormat/>
    <w:uiPriority w:val="0"/>
    <w:rPr>
      <w:rFonts w:ascii="MingLiU" w:hAnsi="MingLiU" w:eastAsia="MingLiU" w:cs="MingLiU"/>
      <w:b/>
      <w:bCs/>
      <w:sz w:val="22"/>
      <w:szCs w:val="22"/>
      <w:shd w:val="clear" w:color="auto" w:fill="FFFFFF"/>
    </w:rPr>
  </w:style>
  <w:style w:type="paragraph" w:customStyle="1" w:styleId="219">
    <w:name w:val="标题 #3"/>
    <w:basedOn w:val="1"/>
    <w:link w:val="218"/>
    <w:qFormat/>
    <w:uiPriority w:val="0"/>
    <w:pPr>
      <w:widowControl w:val="0"/>
      <w:shd w:val="clear" w:color="auto" w:fill="FFFFFF"/>
      <w:spacing w:before="120" w:line="502" w:lineRule="exact"/>
      <w:jc w:val="distribute"/>
      <w:outlineLvl w:val="2"/>
    </w:pPr>
    <w:rPr>
      <w:rFonts w:ascii="MingLiU" w:hAnsi="MingLiU" w:eastAsia="MingLiU" w:cs="MingLiU"/>
      <w:b/>
      <w:bCs/>
      <w:sz w:val="22"/>
      <w:szCs w:val="22"/>
    </w:rPr>
  </w:style>
  <w:style w:type="character" w:customStyle="1" w:styleId="220">
    <w:name w:val="标题 #2_"/>
    <w:basedOn w:val="92"/>
    <w:link w:val="221"/>
    <w:qFormat/>
    <w:uiPriority w:val="0"/>
    <w:rPr>
      <w:rFonts w:ascii="MingLiU" w:hAnsi="MingLiU" w:eastAsia="MingLiU" w:cs="MingLiU"/>
      <w:sz w:val="28"/>
      <w:szCs w:val="28"/>
      <w:shd w:val="clear" w:color="auto" w:fill="FFFFFF"/>
    </w:rPr>
  </w:style>
  <w:style w:type="paragraph" w:customStyle="1" w:styleId="221">
    <w:name w:val="标题 #2"/>
    <w:basedOn w:val="1"/>
    <w:link w:val="220"/>
    <w:qFormat/>
    <w:uiPriority w:val="0"/>
    <w:pPr>
      <w:widowControl w:val="0"/>
      <w:shd w:val="clear" w:color="auto" w:fill="FFFFFF"/>
      <w:spacing w:before="780" w:line="626" w:lineRule="exact"/>
      <w:outlineLvl w:val="1"/>
    </w:pPr>
    <w:rPr>
      <w:rFonts w:ascii="MingLiU" w:hAnsi="MingLiU" w:eastAsia="MingLiU" w:cs="MingLiU"/>
      <w:sz w:val="28"/>
      <w:szCs w:val="28"/>
    </w:rPr>
  </w:style>
  <w:style w:type="character" w:customStyle="1" w:styleId="222">
    <w:name w:val="正文文本 (6)_"/>
    <w:basedOn w:val="92"/>
    <w:qFormat/>
    <w:uiPriority w:val="0"/>
    <w:rPr>
      <w:rFonts w:ascii="MingLiU" w:hAnsi="MingLiU" w:eastAsia="MingLiU" w:cs="MingLiU"/>
      <w:sz w:val="22"/>
      <w:szCs w:val="22"/>
      <w:u w:val="none"/>
    </w:rPr>
  </w:style>
  <w:style w:type="character" w:customStyle="1" w:styleId="223">
    <w:name w:val="正文文本 (6)"/>
    <w:basedOn w:val="222"/>
    <w:qFormat/>
    <w:uiPriority w:val="0"/>
    <w:rPr>
      <w:rFonts w:ascii="MingLiU" w:hAnsi="MingLiU" w:eastAsia="MingLiU" w:cs="MingLiU"/>
      <w:color w:val="000000"/>
      <w:spacing w:val="0"/>
      <w:w w:val="100"/>
      <w:position w:val="0"/>
      <w:sz w:val="22"/>
      <w:szCs w:val="22"/>
      <w:u w:val="single"/>
      <w:lang w:val="zh-CN" w:eastAsia="zh-CN" w:bidi="zh-CN"/>
    </w:rPr>
  </w:style>
  <w:style w:type="character" w:customStyle="1" w:styleId="224">
    <w:name w:val="正文文本 (6) + 4.5 pt"/>
    <w:basedOn w:val="222"/>
    <w:qFormat/>
    <w:uiPriority w:val="0"/>
    <w:rPr>
      <w:rFonts w:ascii="MingLiU" w:hAnsi="MingLiU" w:eastAsia="MingLiU" w:cs="MingLiU"/>
      <w:color w:val="000000"/>
      <w:spacing w:val="130"/>
      <w:w w:val="100"/>
      <w:position w:val="0"/>
      <w:sz w:val="9"/>
      <w:szCs w:val="9"/>
      <w:u w:val="single"/>
      <w:lang w:val="zh-CN" w:eastAsia="zh-CN" w:bidi="zh-CN"/>
    </w:rPr>
  </w:style>
  <w:style w:type="character" w:customStyle="1" w:styleId="225">
    <w:name w:val="表格标题_"/>
    <w:basedOn w:val="92"/>
    <w:link w:val="226"/>
    <w:qFormat/>
    <w:uiPriority w:val="0"/>
    <w:rPr>
      <w:rFonts w:ascii="MingLiU" w:hAnsi="MingLiU" w:eastAsia="MingLiU" w:cs="MingLiU"/>
      <w:sz w:val="22"/>
      <w:szCs w:val="22"/>
      <w:shd w:val="clear" w:color="auto" w:fill="FFFFFF"/>
    </w:rPr>
  </w:style>
  <w:style w:type="paragraph" w:customStyle="1" w:styleId="226">
    <w:name w:val="表格标题"/>
    <w:basedOn w:val="1"/>
    <w:link w:val="225"/>
    <w:qFormat/>
    <w:uiPriority w:val="0"/>
    <w:pPr>
      <w:widowControl w:val="0"/>
      <w:shd w:val="clear" w:color="auto" w:fill="FFFFFF"/>
      <w:spacing w:line="0" w:lineRule="atLeast"/>
      <w:jc w:val="distribute"/>
    </w:pPr>
    <w:rPr>
      <w:rFonts w:ascii="MingLiU" w:hAnsi="MingLiU" w:eastAsia="MingLiU" w:cs="MingLiU"/>
      <w:sz w:val="22"/>
      <w:szCs w:val="22"/>
    </w:rPr>
  </w:style>
  <w:style w:type="character" w:customStyle="1" w:styleId="227">
    <w:name w:val="正文文本 (2) + 10 pt"/>
    <w:basedOn w:val="205"/>
    <w:qFormat/>
    <w:uiPriority w:val="0"/>
    <w:rPr>
      <w:rFonts w:ascii="MingLiU" w:hAnsi="MingLiU" w:eastAsia="MingLiU" w:cs="MingLiU"/>
      <w:color w:val="000000"/>
      <w:spacing w:val="0"/>
      <w:w w:val="100"/>
      <w:position w:val="0"/>
      <w:sz w:val="20"/>
      <w:szCs w:val="20"/>
      <w:u w:val="none"/>
      <w:shd w:val="clear" w:color="auto" w:fill="FFFFFF"/>
      <w:lang w:val="zh-CN" w:eastAsia="zh-CN" w:bidi="zh-CN"/>
    </w:rPr>
  </w:style>
  <w:style w:type="character" w:customStyle="1" w:styleId="228">
    <w:name w:val="正文文本 (2) + Tahoma"/>
    <w:basedOn w:val="205"/>
    <w:qFormat/>
    <w:uiPriority w:val="0"/>
    <w:rPr>
      <w:rFonts w:ascii="Tahoma" w:hAnsi="Tahoma" w:eastAsia="Tahoma" w:cs="Tahoma"/>
      <w:color w:val="000000"/>
      <w:spacing w:val="-10"/>
      <w:w w:val="100"/>
      <w:position w:val="0"/>
      <w:sz w:val="20"/>
      <w:szCs w:val="20"/>
      <w:u w:val="none"/>
      <w:shd w:val="clear" w:color="auto" w:fill="FFFFFF"/>
      <w:lang w:val="zh-CN" w:eastAsia="zh-CN" w:bidi="zh-CN"/>
    </w:rPr>
  </w:style>
  <w:style w:type="character" w:customStyle="1" w:styleId="229">
    <w:name w:val="正文文本 (7)_"/>
    <w:basedOn w:val="92"/>
    <w:link w:val="230"/>
    <w:qFormat/>
    <w:uiPriority w:val="0"/>
    <w:rPr>
      <w:rFonts w:ascii="MingLiU" w:hAnsi="MingLiU" w:eastAsia="MingLiU" w:cs="MingLiU"/>
      <w:sz w:val="21"/>
      <w:szCs w:val="21"/>
      <w:shd w:val="clear" w:color="auto" w:fill="FFFFFF"/>
    </w:rPr>
  </w:style>
  <w:style w:type="paragraph" w:customStyle="1" w:styleId="230">
    <w:name w:val="正文文本 (7)"/>
    <w:basedOn w:val="1"/>
    <w:link w:val="229"/>
    <w:qFormat/>
    <w:uiPriority w:val="0"/>
    <w:pPr>
      <w:widowControl w:val="0"/>
      <w:shd w:val="clear" w:color="auto" w:fill="FFFFFF"/>
      <w:spacing w:line="499" w:lineRule="exact"/>
      <w:jc w:val="distribute"/>
    </w:pPr>
    <w:rPr>
      <w:rFonts w:ascii="MingLiU" w:hAnsi="MingLiU" w:eastAsia="MingLiU" w:cs="MingLiU"/>
      <w:sz w:val="21"/>
      <w:szCs w:val="21"/>
    </w:rPr>
  </w:style>
  <w:style w:type="character" w:customStyle="1" w:styleId="231">
    <w:name w:val="正文文本 (2) + 4 pt"/>
    <w:basedOn w:val="205"/>
    <w:qFormat/>
    <w:uiPriority w:val="0"/>
    <w:rPr>
      <w:rFonts w:ascii="MingLiU" w:hAnsi="MingLiU" w:eastAsia="MingLiU" w:cs="MingLiU"/>
      <w:color w:val="000000"/>
      <w:spacing w:val="30"/>
      <w:w w:val="100"/>
      <w:position w:val="0"/>
      <w:sz w:val="8"/>
      <w:szCs w:val="8"/>
      <w:u w:val="none"/>
      <w:shd w:val="clear" w:color="auto" w:fill="FFFFFF"/>
      <w:lang w:val="zh-CN" w:eastAsia="zh-CN" w:bidi="zh-CN"/>
    </w:rPr>
  </w:style>
  <w:style w:type="character" w:customStyle="1" w:styleId="232">
    <w:name w:val="正文文本 (2) + 4.5 pt"/>
    <w:basedOn w:val="205"/>
    <w:qFormat/>
    <w:uiPriority w:val="0"/>
    <w:rPr>
      <w:rFonts w:ascii="MingLiU" w:hAnsi="MingLiU" w:eastAsia="MingLiU" w:cs="MingLiU"/>
      <w:color w:val="000000"/>
      <w:spacing w:val="140"/>
      <w:w w:val="100"/>
      <w:position w:val="0"/>
      <w:sz w:val="9"/>
      <w:szCs w:val="9"/>
      <w:u w:val="none"/>
      <w:shd w:val="clear" w:color="auto" w:fill="FFFFFF"/>
      <w:lang w:val="zh-CN" w:eastAsia="zh-CN" w:bidi="zh-CN"/>
    </w:rPr>
  </w:style>
  <w:style w:type="character" w:customStyle="1" w:styleId="233">
    <w:name w:val="正文文本 (2) + 间距 2 pt"/>
    <w:basedOn w:val="205"/>
    <w:qFormat/>
    <w:uiPriority w:val="0"/>
    <w:rPr>
      <w:rFonts w:ascii="MingLiU" w:hAnsi="MingLiU" w:eastAsia="MingLiU" w:cs="MingLiU"/>
      <w:color w:val="000000"/>
      <w:spacing w:val="40"/>
      <w:w w:val="100"/>
      <w:position w:val="0"/>
      <w:sz w:val="22"/>
      <w:szCs w:val="22"/>
      <w:u w:val="none"/>
      <w:shd w:val="clear" w:color="auto" w:fill="FFFFFF"/>
      <w:lang w:val="zh-CN" w:eastAsia="zh-CN" w:bidi="zh-CN"/>
    </w:rPr>
  </w:style>
  <w:style w:type="paragraph" w:customStyle="1" w:styleId="234">
    <w:name w:val="样式 标题 2 + 首行缩进:  2 字符 段前: 1 行 段后: 1 行"/>
    <w:basedOn w:val="5"/>
    <w:qFormat/>
    <w:uiPriority w:val="0"/>
    <w:pPr>
      <w:spacing w:before="480" w:after="260" w:line="360" w:lineRule="auto"/>
      <w:ind w:firstLine="723" w:firstLineChars="200"/>
    </w:pPr>
    <w:rPr>
      <w:rFonts w:ascii="黑体" w:hAnsi="Arial" w:eastAsia="黑体"/>
      <w:sz w:val="36"/>
    </w:rPr>
  </w:style>
  <w:style w:type="character" w:customStyle="1" w:styleId="235">
    <w:name w:val="Table caption_"/>
    <w:basedOn w:val="92"/>
    <w:link w:val="236"/>
    <w:qFormat/>
    <w:uiPriority w:val="0"/>
    <w:rPr>
      <w:rFonts w:ascii="MingLiU" w:hAnsi="MingLiU" w:eastAsia="MingLiU" w:cs="MingLiU"/>
      <w:shd w:val="clear" w:color="auto" w:fill="FFFFFF"/>
    </w:rPr>
  </w:style>
  <w:style w:type="paragraph" w:customStyle="1" w:styleId="236">
    <w:name w:val="Table caption"/>
    <w:basedOn w:val="1"/>
    <w:link w:val="235"/>
    <w:qFormat/>
    <w:uiPriority w:val="0"/>
    <w:pPr>
      <w:widowControl w:val="0"/>
      <w:shd w:val="clear" w:color="auto" w:fill="FFFFFF"/>
      <w:spacing w:line="0" w:lineRule="atLeast"/>
      <w:jc w:val="distribute"/>
    </w:pPr>
    <w:rPr>
      <w:rFonts w:ascii="MingLiU" w:hAnsi="MingLiU" w:eastAsia="MingLiU" w:cs="MingLiU"/>
      <w:sz w:val="20"/>
      <w:szCs w:val="20"/>
    </w:rPr>
  </w:style>
  <w:style w:type="character" w:customStyle="1" w:styleId="237">
    <w:name w:val="Body text (2)_"/>
    <w:basedOn w:val="92"/>
    <w:link w:val="238"/>
    <w:qFormat/>
    <w:uiPriority w:val="0"/>
    <w:rPr>
      <w:rFonts w:ascii="MingLiU" w:hAnsi="MingLiU" w:eastAsia="MingLiU" w:cs="MingLiU"/>
      <w:sz w:val="22"/>
      <w:szCs w:val="22"/>
      <w:shd w:val="clear" w:color="auto" w:fill="FFFFFF"/>
    </w:rPr>
  </w:style>
  <w:style w:type="paragraph" w:customStyle="1" w:styleId="238">
    <w:name w:val="Body text (2)"/>
    <w:basedOn w:val="1"/>
    <w:link w:val="237"/>
    <w:qFormat/>
    <w:uiPriority w:val="0"/>
    <w:pPr>
      <w:widowControl w:val="0"/>
      <w:shd w:val="clear" w:color="auto" w:fill="FFFFFF"/>
      <w:spacing w:before="240" w:line="504" w:lineRule="exact"/>
      <w:ind w:firstLine="480"/>
      <w:jc w:val="distribute"/>
    </w:pPr>
    <w:rPr>
      <w:rFonts w:ascii="MingLiU" w:hAnsi="MingLiU" w:eastAsia="MingLiU" w:cs="MingLiU"/>
      <w:sz w:val="22"/>
      <w:szCs w:val="22"/>
    </w:rPr>
  </w:style>
  <w:style w:type="character" w:customStyle="1" w:styleId="239">
    <w:name w:val="Body text (2) + 10 pt"/>
    <w:basedOn w:val="237"/>
    <w:qFormat/>
    <w:uiPriority w:val="0"/>
    <w:rPr>
      <w:rFonts w:ascii="MingLiU" w:hAnsi="MingLiU" w:eastAsia="MingLiU" w:cs="MingLiU"/>
      <w:color w:val="000000"/>
      <w:spacing w:val="0"/>
      <w:w w:val="100"/>
      <w:position w:val="0"/>
      <w:sz w:val="20"/>
      <w:szCs w:val="20"/>
      <w:shd w:val="clear" w:color="auto" w:fill="FFFFFF"/>
      <w:lang w:val="zh-CN" w:eastAsia="zh-CN" w:bidi="zh-CN"/>
    </w:rPr>
  </w:style>
  <w:style w:type="character" w:customStyle="1" w:styleId="240">
    <w:name w:val="Body text (2) + Book Antiqua"/>
    <w:basedOn w:val="237"/>
    <w:qFormat/>
    <w:uiPriority w:val="0"/>
    <w:rPr>
      <w:rFonts w:ascii="Book Antiqua" w:hAnsi="Book Antiqua" w:eastAsia="Book Antiqua" w:cs="Book Antiqua"/>
      <w:color w:val="000000"/>
      <w:spacing w:val="0"/>
      <w:w w:val="100"/>
      <w:position w:val="0"/>
      <w:sz w:val="24"/>
      <w:szCs w:val="24"/>
      <w:shd w:val="clear" w:color="auto" w:fill="FFFFFF"/>
      <w:lang w:val="zh-CN" w:eastAsia="zh-CN" w:bidi="zh-CN"/>
    </w:rPr>
  </w:style>
  <w:style w:type="character" w:customStyle="1" w:styleId="241">
    <w:name w:val="Body text (2) + David"/>
    <w:basedOn w:val="237"/>
    <w:qFormat/>
    <w:uiPriority w:val="0"/>
    <w:rPr>
      <w:rFonts w:ascii="David" w:hAnsi="David" w:eastAsia="David" w:cs="David"/>
      <w:i/>
      <w:iCs/>
      <w:color w:val="000000"/>
      <w:spacing w:val="0"/>
      <w:w w:val="100"/>
      <w:position w:val="0"/>
      <w:sz w:val="21"/>
      <w:szCs w:val="21"/>
      <w:u w:val="none"/>
      <w:shd w:val="clear" w:color="auto" w:fill="FFFFFF"/>
      <w:lang w:val="en-US" w:eastAsia="en-US" w:bidi="en-US"/>
    </w:rPr>
  </w:style>
  <w:style w:type="paragraph" w:customStyle="1" w:styleId="242">
    <w:name w:val="表中"/>
    <w:basedOn w:val="1"/>
    <w:qFormat/>
    <w:uiPriority w:val="0"/>
    <w:pPr>
      <w:widowControl w:val="0"/>
      <w:spacing w:line="360" w:lineRule="exact"/>
      <w:jc w:val="center"/>
    </w:pPr>
    <w:rPr>
      <w:kern w:val="2"/>
      <w:sz w:val="21"/>
      <w:szCs w:val="20"/>
    </w:rPr>
  </w:style>
  <w:style w:type="paragraph" w:customStyle="1" w:styleId="243">
    <w:name w:val="1.1.1标题"/>
    <w:basedOn w:val="6"/>
    <w:qFormat/>
    <w:uiPriority w:val="0"/>
    <w:pPr>
      <w:spacing w:before="240" w:after="260" w:line="360" w:lineRule="exact"/>
      <w:ind w:firstLine="200" w:firstLineChars="200"/>
      <w:jc w:val="left"/>
    </w:pPr>
    <w:rPr>
      <w:rFonts w:eastAsia="黑体"/>
      <w:b w:val="0"/>
      <w:i w:val="0"/>
      <w:iCs w:val="0"/>
      <w:color w:val="auto"/>
      <w:szCs w:val="28"/>
    </w:rPr>
  </w:style>
  <w:style w:type="paragraph" w:customStyle="1" w:styleId="244">
    <w:name w:val="5号表格"/>
    <w:qFormat/>
    <w:uiPriority w:val="0"/>
    <w:pPr>
      <w:snapToGrid w:val="0"/>
      <w:jc w:val="center"/>
    </w:pPr>
    <w:rPr>
      <w:rFonts w:ascii="Times New Roman" w:hAnsi="Times New Roman" w:eastAsia="宋体" w:cs="Times New Roman"/>
      <w:bCs/>
      <w:kern w:val="2"/>
      <w:sz w:val="21"/>
      <w:szCs w:val="21"/>
      <w:lang w:val="en-US" w:eastAsia="zh-CN" w:bidi="ar-SA"/>
    </w:rPr>
  </w:style>
  <w:style w:type="paragraph" w:customStyle="1" w:styleId="245">
    <w:name w:val="健牛正文"/>
    <w:basedOn w:val="1"/>
    <w:qFormat/>
    <w:uiPriority w:val="0"/>
    <w:pPr>
      <w:widowControl w:val="0"/>
      <w:spacing w:line="480" w:lineRule="exact"/>
      <w:ind w:firstLine="560" w:firstLineChars="200"/>
      <w:jc w:val="both"/>
    </w:pPr>
    <w:rPr>
      <w:kern w:val="2"/>
      <w:sz w:val="28"/>
      <w:szCs w:val="28"/>
    </w:rPr>
  </w:style>
  <w:style w:type="paragraph" w:customStyle="1" w:styleId="246">
    <w:name w:val="Char4"/>
    <w:basedOn w:val="1"/>
    <w:qFormat/>
    <w:uiPriority w:val="0"/>
    <w:pPr>
      <w:widowControl w:val="0"/>
      <w:snapToGrid w:val="0"/>
      <w:spacing w:line="360" w:lineRule="auto"/>
      <w:ind w:firstLine="529" w:firstLineChars="200"/>
      <w:jc w:val="both"/>
    </w:pPr>
    <w:rPr>
      <w:rFonts w:ascii="宋体" w:hAnsi="宋体"/>
      <w:b/>
      <w:kern w:val="2"/>
      <w:sz w:val="21"/>
    </w:rPr>
  </w:style>
  <w:style w:type="paragraph" w:customStyle="1" w:styleId="247">
    <w:name w:val="表格文字小"/>
    <w:basedOn w:val="46"/>
    <w:qFormat/>
    <w:uiPriority w:val="0"/>
    <w:pPr>
      <w:spacing w:line="400" w:lineRule="exact"/>
      <w:jc w:val="center"/>
    </w:pPr>
    <w:rPr>
      <w:rFonts w:ascii="Times New Roman" w:hAnsi="Times New Roman"/>
    </w:rPr>
  </w:style>
  <w:style w:type="paragraph" w:customStyle="1" w:styleId="248">
    <w:name w:val="朔电正文"/>
    <w:basedOn w:val="1"/>
    <w:link w:val="249"/>
    <w:qFormat/>
    <w:uiPriority w:val="0"/>
    <w:pPr>
      <w:widowControl w:val="0"/>
      <w:adjustRightInd w:val="0"/>
      <w:snapToGrid w:val="0"/>
      <w:spacing w:beforeLines="25" w:line="440" w:lineRule="exact"/>
      <w:ind w:firstLine="480" w:firstLineChars="200"/>
      <w:jc w:val="both"/>
    </w:pPr>
    <w:rPr>
      <w:color w:val="000000"/>
      <w:kern w:val="32"/>
    </w:rPr>
  </w:style>
  <w:style w:type="character" w:customStyle="1" w:styleId="249">
    <w:name w:val="朔电正文 Char1"/>
    <w:basedOn w:val="92"/>
    <w:link w:val="248"/>
    <w:qFormat/>
    <w:uiPriority w:val="0"/>
    <w:rPr>
      <w:color w:val="000000"/>
      <w:kern w:val="32"/>
      <w:sz w:val="24"/>
      <w:szCs w:val="24"/>
    </w:rPr>
  </w:style>
  <w:style w:type="paragraph" w:customStyle="1" w:styleId="250">
    <w:name w:val="新利正文"/>
    <w:basedOn w:val="1"/>
    <w:qFormat/>
    <w:uiPriority w:val="0"/>
    <w:pPr>
      <w:widowControl w:val="0"/>
      <w:adjustRightInd w:val="0"/>
      <w:snapToGrid w:val="0"/>
      <w:spacing w:beforeLines="25" w:line="440" w:lineRule="exact"/>
      <w:ind w:firstLine="200" w:firstLineChars="200"/>
      <w:jc w:val="both"/>
    </w:pPr>
    <w:rPr>
      <w:color w:val="000000"/>
      <w:kern w:val="2"/>
    </w:rPr>
  </w:style>
  <w:style w:type="paragraph" w:customStyle="1" w:styleId="251">
    <w:name w:val="健牛文字"/>
    <w:basedOn w:val="1"/>
    <w:qFormat/>
    <w:uiPriority w:val="0"/>
    <w:pPr>
      <w:widowControl w:val="0"/>
      <w:adjustRightInd w:val="0"/>
      <w:snapToGrid w:val="0"/>
      <w:spacing w:line="440" w:lineRule="exact"/>
      <w:ind w:firstLine="560" w:firstLineChars="200"/>
      <w:jc w:val="both"/>
    </w:pPr>
    <w:rPr>
      <w:kern w:val="2"/>
      <w:sz w:val="28"/>
    </w:rPr>
  </w:style>
  <w:style w:type="paragraph" w:customStyle="1" w:styleId="252">
    <w:name w:val="Char Char Char Char Char Char Char Char Char Char1"/>
    <w:basedOn w:val="1"/>
    <w:qFormat/>
    <w:uiPriority w:val="0"/>
    <w:pPr>
      <w:widowControl w:val="0"/>
      <w:jc w:val="both"/>
    </w:pPr>
    <w:rPr>
      <w:kern w:val="2"/>
      <w:sz w:val="21"/>
    </w:rPr>
  </w:style>
  <w:style w:type="paragraph" w:customStyle="1" w:styleId="253">
    <w:name w:val="表中文字"/>
    <w:basedOn w:val="35"/>
    <w:qFormat/>
    <w:uiPriority w:val="0"/>
    <w:pPr>
      <w:widowControl/>
      <w:jc w:val="left"/>
    </w:pPr>
    <w:rPr>
      <w:rFonts w:ascii="仿宋_GB2312" w:hAnsi="华文仿宋" w:eastAsia="仿宋_GB2312" w:cs="宋体"/>
      <w:kern w:val="0"/>
      <w:sz w:val="24"/>
      <w:szCs w:val="20"/>
    </w:rPr>
  </w:style>
  <w:style w:type="character" w:customStyle="1" w:styleId="254">
    <w:name w:val="Body text (2) + Palatino Linotype"/>
    <w:basedOn w:val="237"/>
    <w:qFormat/>
    <w:uiPriority w:val="0"/>
    <w:rPr>
      <w:rFonts w:ascii="Palatino Linotype" w:hAnsi="Palatino Linotype" w:eastAsia="Palatino Linotype" w:cs="Palatino Linotype"/>
      <w:color w:val="000000"/>
      <w:spacing w:val="0"/>
      <w:w w:val="100"/>
      <w:position w:val="0"/>
      <w:sz w:val="46"/>
      <w:szCs w:val="46"/>
      <w:shd w:val="clear" w:color="auto" w:fill="FFFFFF"/>
      <w:lang w:val="en-US" w:eastAsia="en-US" w:bidi="en-US"/>
    </w:rPr>
  </w:style>
  <w:style w:type="character" w:customStyle="1" w:styleId="255">
    <w:name w:val="Body text (2) + Bold"/>
    <w:basedOn w:val="237"/>
    <w:qFormat/>
    <w:uiPriority w:val="0"/>
    <w:rPr>
      <w:rFonts w:ascii="MingLiU" w:hAnsi="MingLiU" w:eastAsia="MingLiU" w:cs="MingLiU"/>
      <w:b/>
      <w:bCs/>
      <w:color w:val="000000"/>
      <w:spacing w:val="0"/>
      <w:w w:val="100"/>
      <w:position w:val="0"/>
      <w:sz w:val="46"/>
      <w:szCs w:val="46"/>
      <w:shd w:val="clear" w:color="auto" w:fill="FFFFFF"/>
      <w:lang w:val="zh-CN" w:eastAsia="zh-CN" w:bidi="zh-CN"/>
    </w:rPr>
  </w:style>
  <w:style w:type="character" w:customStyle="1" w:styleId="256">
    <w:name w:val="Heading #7_"/>
    <w:basedOn w:val="92"/>
    <w:link w:val="257"/>
    <w:qFormat/>
    <w:uiPriority w:val="0"/>
    <w:rPr>
      <w:rFonts w:ascii="MingLiU" w:hAnsi="MingLiU" w:eastAsia="MingLiU" w:cs="MingLiU"/>
      <w:b/>
      <w:bCs/>
      <w:sz w:val="46"/>
      <w:szCs w:val="46"/>
      <w:shd w:val="clear" w:color="auto" w:fill="FFFFFF"/>
    </w:rPr>
  </w:style>
  <w:style w:type="paragraph" w:customStyle="1" w:styleId="257">
    <w:name w:val="Heading #7"/>
    <w:basedOn w:val="1"/>
    <w:link w:val="256"/>
    <w:qFormat/>
    <w:uiPriority w:val="0"/>
    <w:pPr>
      <w:widowControl w:val="0"/>
      <w:shd w:val="clear" w:color="auto" w:fill="FFFFFF"/>
      <w:spacing w:before="540" w:after="660" w:line="0" w:lineRule="atLeast"/>
      <w:ind w:hanging="1000"/>
      <w:outlineLvl w:val="6"/>
    </w:pPr>
    <w:rPr>
      <w:rFonts w:ascii="MingLiU" w:hAnsi="MingLiU" w:eastAsia="MingLiU" w:cs="MingLiU"/>
      <w:b/>
      <w:bCs/>
      <w:sz w:val="46"/>
      <w:szCs w:val="46"/>
    </w:rPr>
  </w:style>
  <w:style w:type="character" w:customStyle="1" w:styleId="258">
    <w:name w:val="Body text (2) + Spacing 3 pt"/>
    <w:basedOn w:val="237"/>
    <w:qFormat/>
    <w:uiPriority w:val="0"/>
    <w:rPr>
      <w:rFonts w:ascii="MingLiU" w:hAnsi="MingLiU" w:eastAsia="MingLiU" w:cs="MingLiU"/>
      <w:color w:val="000000"/>
      <w:spacing w:val="70"/>
      <w:w w:val="100"/>
      <w:position w:val="0"/>
      <w:sz w:val="46"/>
      <w:szCs w:val="46"/>
      <w:shd w:val="clear" w:color="auto" w:fill="FFFFFF"/>
      <w:lang w:val="zh-CN" w:eastAsia="zh-CN" w:bidi="zh-CN"/>
    </w:rPr>
  </w:style>
  <w:style w:type="character" w:customStyle="1" w:styleId="259">
    <w:name w:val="Body text (9)_"/>
    <w:basedOn w:val="92"/>
    <w:qFormat/>
    <w:uiPriority w:val="0"/>
    <w:rPr>
      <w:rFonts w:ascii="MingLiU" w:hAnsi="MingLiU" w:eastAsia="MingLiU" w:cs="MingLiU"/>
      <w:b/>
      <w:bCs/>
      <w:sz w:val="46"/>
      <w:szCs w:val="46"/>
      <w:u w:val="none"/>
    </w:rPr>
  </w:style>
  <w:style w:type="character" w:customStyle="1" w:styleId="260">
    <w:name w:val="Body text (9) + Constantia"/>
    <w:basedOn w:val="259"/>
    <w:qFormat/>
    <w:uiPriority w:val="0"/>
    <w:rPr>
      <w:rFonts w:ascii="Constantia" w:hAnsi="Constantia" w:eastAsia="Constantia" w:cs="Constantia"/>
      <w:color w:val="000000"/>
      <w:spacing w:val="0"/>
      <w:w w:val="100"/>
      <w:position w:val="0"/>
      <w:sz w:val="48"/>
      <w:szCs w:val="48"/>
      <w:u w:val="none"/>
      <w:lang w:val="en-US" w:eastAsia="en-US" w:bidi="en-US"/>
    </w:rPr>
  </w:style>
  <w:style w:type="character" w:customStyle="1" w:styleId="261">
    <w:name w:val="Body text (9) + Not Bold"/>
    <w:basedOn w:val="259"/>
    <w:qFormat/>
    <w:uiPriority w:val="0"/>
    <w:rPr>
      <w:rFonts w:ascii="MingLiU" w:hAnsi="MingLiU" w:eastAsia="MingLiU" w:cs="MingLiU"/>
      <w:color w:val="000000"/>
      <w:spacing w:val="0"/>
      <w:w w:val="100"/>
      <w:position w:val="0"/>
      <w:sz w:val="46"/>
      <w:szCs w:val="46"/>
      <w:u w:val="none"/>
      <w:lang w:val="zh-CN" w:eastAsia="zh-CN" w:bidi="zh-CN"/>
    </w:rPr>
  </w:style>
  <w:style w:type="character" w:customStyle="1" w:styleId="262">
    <w:name w:val="Body text (9)"/>
    <w:basedOn w:val="259"/>
    <w:qFormat/>
    <w:uiPriority w:val="0"/>
    <w:rPr>
      <w:rFonts w:ascii="MingLiU" w:hAnsi="MingLiU" w:eastAsia="MingLiU" w:cs="MingLiU"/>
      <w:color w:val="000000"/>
      <w:spacing w:val="0"/>
      <w:w w:val="100"/>
      <w:position w:val="0"/>
      <w:sz w:val="46"/>
      <w:szCs w:val="46"/>
      <w:u w:val="none"/>
      <w:lang w:val="zh-CN" w:eastAsia="zh-CN" w:bidi="zh-CN"/>
    </w:rPr>
  </w:style>
  <w:style w:type="character" w:customStyle="1" w:styleId="263">
    <w:name w:val="Body text (2) + 21 pt"/>
    <w:basedOn w:val="237"/>
    <w:qFormat/>
    <w:uiPriority w:val="0"/>
    <w:rPr>
      <w:rFonts w:ascii="MingLiU" w:hAnsi="MingLiU" w:eastAsia="MingLiU" w:cs="MingLiU"/>
      <w:color w:val="000000"/>
      <w:spacing w:val="0"/>
      <w:w w:val="100"/>
      <w:position w:val="0"/>
      <w:sz w:val="42"/>
      <w:szCs w:val="42"/>
      <w:u w:val="none"/>
      <w:shd w:val="clear" w:color="auto" w:fill="FFFFFF"/>
      <w:lang w:val="zh-CN" w:eastAsia="zh-CN" w:bidi="zh-CN"/>
    </w:rPr>
  </w:style>
  <w:style w:type="paragraph" w:customStyle="1" w:styleId="264">
    <w:name w:val="Char3"/>
    <w:basedOn w:val="1"/>
    <w:qFormat/>
    <w:uiPriority w:val="0"/>
    <w:pPr>
      <w:widowControl w:val="0"/>
      <w:snapToGrid w:val="0"/>
      <w:spacing w:line="360" w:lineRule="auto"/>
      <w:ind w:firstLine="529" w:firstLineChars="200"/>
      <w:jc w:val="both"/>
    </w:pPr>
    <w:rPr>
      <w:rFonts w:ascii="宋体" w:hAnsi="宋体"/>
      <w:b/>
      <w:kern w:val="2"/>
      <w:sz w:val="21"/>
    </w:rPr>
  </w:style>
  <w:style w:type="paragraph" w:customStyle="1" w:styleId="265">
    <w:name w:val="表格文字L14fs"/>
    <w:basedOn w:val="1"/>
    <w:qFormat/>
    <w:uiPriority w:val="0"/>
    <w:pPr>
      <w:widowControl w:val="0"/>
      <w:adjustRightInd w:val="0"/>
      <w:snapToGrid w:val="0"/>
      <w:spacing w:line="280" w:lineRule="exact"/>
      <w:jc w:val="center"/>
    </w:pPr>
    <w:rPr>
      <w:color w:val="000000"/>
      <w:kern w:val="32"/>
      <w:sz w:val="18"/>
      <w:szCs w:val="18"/>
    </w:rPr>
  </w:style>
  <w:style w:type="paragraph" w:customStyle="1" w:styleId="266">
    <w:name w:val="威顿报告正文"/>
    <w:basedOn w:val="1"/>
    <w:link w:val="267"/>
    <w:qFormat/>
    <w:uiPriority w:val="0"/>
    <w:pPr>
      <w:widowControl w:val="0"/>
      <w:adjustRightInd w:val="0"/>
      <w:snapToGrid w:val="0"/>
      <w:spacing w:beforeLines="25" w:line="440" w:lineRule="exact"/>
      <w:ind w:firstLine="200" w:firstLineChars="200"/>
      <w:jc w:val="both"/>
    </w:pPr>
    <w:rPr>
      <w:color w:val="000000"/>
      <w:kern w:val="2"/>
    </w:rPr>
  </w:style>
  <w:style w:type="character" w:customStyle="1" w:styleId="267">
    <w:name w:val="威顿报告正文 Char"/>
    <w:basedOn w:val="92"/>
    <w:link w:val="266"/>
    <w:qFormat/>
    <w:uiPriority w:val="0"/>
    <w:rPr>
      <w:color w:val="000000"/>
      <w:kern w:val="2"/>
      <w:sz w:val="24"/>
      <w:szCs w:val="24"/>
    </w:rPr>
  </w:style>
  <w:style w:type="paragraph" w:customStyle="1" w:styleId="268">
    <w:name w:val="监测表格"/>
    <w:basedOn w:val="1"/>
    <w:qFormat/>
    <w:uiPriority w:val="0"/>
    <w:pPr>
      <w:framePr w:hSpace="180" w:wrap="around" w:vAnchor="text" w:hAnchor="margin" w:y="82"/>
      <w:widowControl w:val="0"/>
      <w:jc w:val="center"/>
    </w:pPr>
    <w:rPr>
      <w:rFonts w:ascii="仿宋_GB2312" w:eastAsia="仿宋_GB2312"/>
      <w:kern w:val="2"/>
      <w:sz w:val="21"/>
      <w:szCs w:val="21"/>
    </w:rPr>
  </w:style>
  <w:style w:type="paragraph" w:customStyle="1" w:styleId="269">
    <w:name w:val="表格文字n"/>
    <w:basedOn w:val="1"/>
    <w:qFormat/>
    <w:uiPriority w:val="0"/>
    <w:pPr>
      <w:widowControl w:val="0"/>
      <w:snapToGrid w:val="0"/>
      <w:spacing w:line="320" w:lineRule="exact"/>
      <w:jc w:val="center"/>
    </w:pPr>
    <w:rPr>
      <w:kern w:val="2"/>
      <w:sz w:val="21"/>
      <w:szCs w:val="20"/>
    </w:rPr>
  </w:style>
  <w:style w:type="paragraph" w:customStyle="1" w:styleId="270">
    <w:name w:val="普通文字 Char Char Char Char Char Char Char Char"/>
    <w:basedOn w:val="1"/>
    <w:next w:val="82"/>
    <w:link w:val="271"/>
    <w:qFormat/>
    <w:uiPriority w:val="0"/>
    <w:rPr>
      <w:szCs w:val="20"/>
    </w:rPr>
  </w:style>
  <w:style w:type="character" w:customStyle="1" w:styleId="271">
    <w:name w:val="普通文字 Char Char Char Char Char Char Char Char Char"/>
    <w:basedOn w:val="92"/>
    <w:link w:val="270"/>
    <w:qFormat/>
    <w:uiPriority w:val="0"/>
    <w:rPr>
      <w:sz w:val="24"/>
    </w:rPr>
  </w:style>
  <w:style w:type="character" w:customStyle="1" w:styleId="272">
    <w:name w:val="朔电正文 Char"/>
    <w:basedOn w:val="92"/>
    <w:qFormat/>
    <w:uiPriority w:val="0"/>
    <w:rPr>
      <w:rFonts w:eastAsia="宋体"/>
      <w:color w:val="000000"/>
      <w:kern w:val="2"/>
      <w:sz w:val="24"/>
      <w:szCs w:val="24"/>
      <w:lang w:val="en-US" w:eastAsia="zh-CN" w:bidi="ar-SA"/>
    </w:rPr>
  </w:style>
  <w:style w:type="paragraph" w:customStyle="1" w:styleId="273">
    <w:name w:val="表格文字L16"/>
    <w:basedOn w:val="1"/>
    <w:qFormat/>
    <w:uiPriority w:val="0"/>
    <w:pPr>
      <w:widowControl w:val="0"/>
      <w:adjustRightInd w:val="0"/>
      <w:snapToGrid w:val="0"/>
      <w:spacing w:line="320" w:lineRule="exact"/>
      <w:jc w:val="center"/>
    </w:pPr>
    <w:rPr>
      <w:kern w:val="32"/>
      <w:sz w:val="21"/>
      <w:szCs w:val="20"/>
    </w:rPr>
  </w:style>
  <w:style w:type="paragraph" w:customStyle="1" w:styleId="274">
    <w:name w:val="Char Char Char Char Char Char Char Char Char Char Char Char Char3"/>
    <w:basedOn w:val="1"/>
    <w:qFormat/>
    <w:uiPriority w:val="0"/>
    <w:pPr>
      <w:widowControl w:val="0"/>
      <w:adjustRightInd w:val="0"/>
      <w:snapToGrid w:val="0"/>
      <w:spacing w:line="360" w:lineRule="auto"/>
      <w:ind w:firstLine="200" w:firstLineChars="200"/>
      <w:jc w:val="both"/>
    </w:pPr>
    <w:rPr>
      <w:kern w:val="2"/>
      <w:sz w:val="21"/>
    </w:rPr>
  </w:style>
  <w:style w:type="paragraph" w:customStyle="1" w:styleId="275">
    <w:name w:val="表内正文"/>
    <w:basedOn w:val="1"/>
    <w:qFormat/>
    <w:uiPriority w:val="0"/>
    <w:pPr>
      <w:widowControl w:val="0"/>
      <w:jc w:val="both"/>
    </w:pPr>
    <w:rPr>
      <w:rFonts w:ascii="仿宋_GB2312" w:hAnsi="宋体" w:eastAsia="仿宋_GB2312"/>
      <w:kern w:val="2"/>
      <w:sz w:val="21"/>
    </w:rPr>
  </w:style>
  <w:style w:type="paragraph" w:customStyle="1" w:styleId="276">
    <w:name w:val="Char Char Char Char Char Char Char Char Char Char Char Char Char2"/>
    <w:basedOn w:val="1"/>
    <w:qFormat/>
    <w:uiPriority w:val="0"/>
    <w:pPr>
      <w:widowControl w:val="0"/>
      <w:adjustRightInd w:val="0"/>
      <w:snapToGrid w:val="0"/>
      <w:spacing w:line="360" w:lineRule="auto"/>
      <w:ind w:firstLine="200" w:firstLineChars="200"/>
      <w:jc w:val="both"/>
    </w:pPr>
    <w:rPr>
      <w:kern w:val="2"/>
      <w:sz w:val="21"/>
    </w:rPr>
  </w:style>
  <w:style w:type="character" w:customStyle="1" w:styleId="277">
    <w:name w:val="15"/>
    <w:basedOn w:val="92"/>
    <w:qFormat/>
    <w:uiPriority w:val="0"/>
    <w:rPr>
      <w:rFonts w:hint="default" w:ascii="Times New Roman" w:hAnsi="Times New Roman" w:eastAsia="仿宋_GB2312" w:cs="Times New Roman"/>
      <w:b/>
      <w:bCs/>
      <w:sz w:val="30"/>
      <w:szCs w:val="30"/>
    </w:rPr>
  </w:style>
  <w:style w:type="paragraph" w:customStyle="1" w:styleId="278">
    <w:name w:val="Char11"/>
    <w:basedOn w:val="1"/>
    <w:qFormat/>
    <w:uiPriority w:val="0"/>
    <w:pPr>
      <w:spacing w:after="20"/>
    </w:pPr>
    <w:rPr>
      <w:kern w:val="2"/>
      <w:sz w:val="21"/>
    </w:rPr>
  </w:style>
  <w:style w:type="character" w:customStyle="1" w:styleId="279">
    <w:name w:val="font01"/>
    <w:basedOn w:val="92"/>
    <w:qFormat/>
    <w:uiPriority w:val="0"/>
    <w:rPr>
      <w:rFonts w:hint="eastAsia" w:ascii="宋体" w:hAnsi="宋体" w:eastAsia="宋体" w:cs="宋体"/>
      <w:color w:val="000000"/>
      <w:sz w:val="18"/>
      <w:szCs w:val="18"/>
      <w:u w:val="none"/>
    </w:rPr>
  </w:style>
  <w:style w:type="character" w:customStyle="1" w:styleId="280">
    <w:name w:val="font11"/>
    <w:basedOn w:val="92"/>
    <w:qFormat/>
    <w:uiPriority w:val="0"/>
    <w:rPr>
      <w:rFonts w:hint="default" w:ascii="Times New Roman" w:hAnsi="Times New Roman" w:cs="Times New Roman"/>
      <w:color w:val="000000"/>
      <w:sz w:val="18"/>
      <w:szCs w:val="18"/>
      <w:u w:val="none"/>
    </w:rPr>
  </w:style>
  <w:style w:type="character" w:customStyle="1" w:styleId="281">
    <w:name w:val="5表标题 Char"/>
    <w:basedOn w:val="92"/>
    <w:link w:val="282"/>
    <w:qFormat/>
    <w:uiPriority w:val="0"/>
    <w:rPr>
      <w:rFonts w:eastAsia="Times New Roman" w:cs="宋体"/>
      <w:b/>
      <w:bCs/>
      <w:kern w:val="2"/>
      <w:sz w:val="21"/>
    </w:rPr>
  </w:style>
  <w:style w:type="paragraph" w:customStyle="1" w:styleId="282">
    <w:name w:val="5表标题"/>
    <w:link w:val="281"/>
    <w:qFormat/>
    <w:uiPriority w:val="0"/>
    <w:pPr>
      <w:jc w:val="center"/>
    </w:pPr>
    <w:rPr>
      <w:rFonts w:ascii="Times New Roman" w:hAnsi="Times New Roman" w:eastAsia="Times New Roman" w:cs="宋体"/>
      <w:b/>
      <w:bCs/>
      <w:kern w:val="2"/>
      <w:sz w:val="21"/>
      <w:lang w:val="en-US" w:eastAsia="zh-CN" w:bidi="ar-SA"/>
    </w:rPr>
  </w:style>
  <w:style w:type="character" w:customStyle="1" w:styleId="283">
    <w:name w:val="宏文本 Char"/>
    <w:basedOn w:val="92"/>
    <w:link w:val="3"/>
    <w:qFormat/>
    <w:uiPriority w:val="0"/>
    <w:rPr>
      <w:rFonts w:ascii="Courier New" w:hAnsi="Courier New" w:cs="Courier New"/>
      <w:kern w:val="2"/>
      <w:sz w:val="24"/>
      <w:szCs w:val="24"/>
    </w:rPr>
  </w:style>
  <w:style w:type="character" w:customStyle="1" w:styleId="284">
    <w:name w:val="注释标题 Char"/>
    <w:basedOn w:val="92"/>
    <w:link w:val="17"/>
    <w:qFormat/>
    <w:uiPriority w:val="0"/>
    <w:rPr>
      <w:kern w:val="2"/>
      <w:sz w:val="21"/>
      <w:szCs w:val="24"/>
    </w:rPr>
  </w:style>
  <w:style w:type="character" w:customStyle="1" w:styleId="285">
    <w:name w:val="电子邮件签名 Char"/>
    <w:basedOn w:val="92"/>
    <w:link w:val="20"/>
    <w:qFormat/>
    <w:uiPriority w:val="0"/>
    <w:rPr>
      <w:kern w:val="2"/>
      <w:sz w:val="21"/>
      <w:szCs w:val="24"/>
    </w:rPr>
  </w:style>
  <w:style w:type="character" w:customStyle="1" w:styleId="286">
    <w:name w:val="称呼 Char"/>
    <w:basedOn w:val="92"/>
    <w:link w:val="31"/>
    <w:qFormat/>
    <w:uiPriority w:val="0"/>
    <w:rPr>
      <w:kern w:val="2"/>
      <w:sz w:val="21"/>
      <w:szCs w:val="24"/>
    </w:rPr>
  </w:style>
  <w:style w:type="character" w:customStyle="1" w:styleId="287">
    <w:name w:val="尾注文本 Char"/>
    <w:basedOn w:val="92"/>
    <w:link w:val="53"/>
    <w:qFormat/>
    <w:uiPriority w:val="0"/>
    <w:rPr>
      <w:kern w:val="2"/>
      <w:sz w:val="21"/>
      <w:szCs w:val="24"/>
    </w:rPr>
  </w:style>
  <w:style w:type="character" w:customStyle="1" w:styleId="288">
    <w:name w:val="结束语 Char"/>
    <w:basedOn w:val="92"/>
    <w:link w:val="33"/>
    <w:qFormat/>
    <w:uiPriority w:val="0"/>
    <w:rPr>
      <w:kern w:val="2"/>
      <w:sz w:val="21"/>
      <w:szCs w:val="24"/>
    </w:rPr>
  </w:style>
  <w:style w:type="character" w:customStyle="1" w:styleId="289">
    <w:name w:val="HTML 地址 Char"/>
    <w:basedOn w:val="92"/>
    <w:link w:val="42"/>
    <w:qFormat/>
    <w:uiPriority w:val="0"/>
    <w:rPr>
      <w:i/>
      <w:iCs/>
      <w:kern w:val="2"/>
      <w:sz w:val="21"/>
      <w:szCs w:val="24"/>
    </w:rPr>
  </w:style>
  <w:style w:type="character" w:customStyle="1" w:styleId="290">
    <w:name w:val="标题 Char"/>
    <w:basedOn w:val="92"/>
    <w:link w:val="85"/>
    <w:qFormat/>
    <w:uiPriority w:val="0"/>
    <w:rPr>
      <w:rFonts w:ascii="Arial" w:hAnsi="Arial" w:cs="Arial"/>
      <w:b/>
      <w:bCs/>
      <w:kern w:val="2"/>
      <w:sz w:val="32"/>
      <w:szCs w:val="32"/>
    </w:rPr>
  </w:style>
  <w:style w:type="character" w:customStyle="1" w:styleId="291">
    <w:name w:val="签名 Char"/>
    <w:basedOn w:val="92"/>
    <w:link w:val="59"/>
    <w:qFormat/>
    <w:uiPriority w:val="0"/>
    <w:rPr>
      <w:kern w:val="2"/>
      <w:sz w:val="21"/>
      <w:szCs w:val="24"/>
    </w:rPr>
  </w:style>
  <w:style w:type="paragraph" w:customStyle="1" w:styleId="292">
    <w:name w:val="Char2 Char Char Char Char Char Char"/>
    <w:basedOn w:val="1"/>
    <w:qFormat/>
    <w:uiPriority w:val="0"/>
    <w:pPr>
      <w:widowControl w:val="0"/>
      <w:tabs>
        <w:tab w:val="left" w:pos="360"/>
      </w:tabs>
      <w:ind w:firstLine="420" w:firstLineChars="150"/>
      <w:jc w:val="both"/>
    </w:pPr>
    <w:rPr>
      <w:rFonts w:ascii="Arial" w:hAnsi="Arial" w:cs="Arial"/>
      <w:kern w:val="2"/>
      <w:sz w:val="20"/>
      <w:szCs w:val="20"/>
    </w:rPr>
  </w:style>
  <w:style w:type="character" w:customStyle="1" w:styleId="293">
    <w:name w:val="信息标题 Char"/>
    <w:basedOn w:val="92"/>
    <w:link w:val="80"/>
    <w:qFormat/>
    <w:uiPriority w:val="0"/>
    <w:rPr>
      <w:rFonts w:ascii="Arial" w:hAnsi="Arial" w:cs="Arial"/>
      <w:kern w:val="2"/>
      <w:sz w:val="24"/>
      <w:szCs w:val="24"/>
      <w:shd w:val="pct20" w:color="auto" w:fill="auto"/>
    </w:rPr>
  </w:style>
  <w:style w:type="paragraph" w:customStyle="1" w:styleId="294">
    <w:name w:val="样式 标题 2 + 首行缩进:  2 字符"/>
    <w:basedOn w:val="5"/>
    <w:qFormat/>
    <w:uiPriority w:val="0"/>
    <w:pPr>
      <w:spacing w:beforeLines="50" w:afterLines="50" w:line="460" w:lineRule="exact"/>
      <w:ind w:firstLine="643" w:firstLineChars="200"/>
    </w:pPr>
    <w:rPr>
      <w:rFonts w:ascii="黑体" w:hAnsi="黑体" w:eastAsia="黑体" w:cs="黑体"/>
      <w:bCs/>
      <w:sz w:val="32"/>
      <w:szCs w:val="32"/>
    </w:rPr>
  </w:style>
  <w:style w:type="paragraph" w:customStyle="1" w:styleId="295">
    <w:name w:val="页眉内容"/>
    <w:basedOn w:val="58"/>
    <w:qFormat/>
    <w:uiPriority w:val="0"/>
    <w:pPr>
      <w:spacing w:line="240" w:lineRule="exact"/>
    </w:pPr>
    <w:rPr>
      <w:rFonts w:ascii="宋体" w:hAnsi="宋体"/>
      <w:kern w:val="0"/>
      <w:szCs w:val="18"/>
    </w:rPr>
  </w:style>
  <w:style w:type="paragraph" w:customStyle="1" w:styleId="296">
    <w:name w:val="Char1 Char Char Char"/>
    <w:basedOn w:val="1"/>
    <w:qFormat/>
    <w:uiPriority w:val="0"/>
    <w:pPr>
      <w:widowControl w:val="0"/>
      <w:tabs>
        <w:tab w:val="left" w:pos="360"/>
      </w:tabs>
      <w:ind w:firstLine="420" w:firstLineChars="150"/>
      <w:jc w:val="both"/>
    </w:pPr>
    <w:rPr>
      <w:rFonts w:ascii="Arial" w:hAnsi="Arial" w:cs="Arial"/>
      <w:kern w:val="2"/>
      <w:sz w:val="20"/>
      <w:szCs w:val="20"/>
    </w:rPr>
  </w:style>
  <w:style w:type="paragraph" w:customStyle="1" w:styleId="297">
    <w:name w:val="表格01 Char Char Char"/>
    <w:basedOn w:val="1"/>
    <w:qFormat/>
    <w:uiPriority w:val="0"/>
    <w:pPr>
      <w:widowControl w:val="0"/>
      <w:adjustRightInd w:val="0"/>
      <w:snapToGrid w:val="0"/>
      <w:spacing w:before="120" w:line="480" w:lineRule="exact"/>
      <w:jc w:val="center"/>
      <w:textAlignment w:val="baseline"/>
    </w:pPr>
    <w:rPr>
      <w:rFonts w:cs="宋体"/>
      <w:snapToGrid w:val="0"/>
      <w:spacing w:val="-2"/>
      <w:sz w:val="28"/>
      <w:szCs w:val="28"/>
    </w:rPr>
  </w:style>
  <w:style w:type="paragraph" w:customStyle="1" w:styleId="298">
    <w:name w:val="Char Char Char1 Char Char Char Char Char Char Char Char Char Char"/>
    <w:basedOn w:val="1"/>
    <w:qFormat/>
    <w:uiPriority w:val="0"/>
    <w:pPr>
      <w:widowControl w:val="0"/>
      <w:snapToGrid w:val="0"/>
      <w:jc w:val="both"/>
    </w:pPr>
    <w:rPr>
      <w:kern w:val="2"/>
      <w:sz w:val="21"/>
    </w:rPr>
  </w:style>
  <w:style w:type="paragraph" w:customStyle="1" w:styleId="299">
    <w:name w:val="Char Char Char Char Char Char Char Char Char Char Char Char Char Char Char Char"/>
    <w:basedOn w:val="1"/>
    <w:qFormat/>
    <w:uiPriority w:val="0"/>
    <w:pPr>
      <w:widowControl w:val="0"/>
      <w:snapToGrid w:val="0"/>
      <w:spacing w:line="360" w:lineRule="auto"/>
      <w:ind w:firstLine="200" w:firstLineChars="200"/>
      <w:jc w:val="both"/>
    </w:pPr>
    <w:rPr>
      <w:rFonts w:eastAsia="仿宋_GB2312"/>
      <w:kern w:val="2"/>
    </w:rPr>
  </w:style>
  <w:style w:type="paragraph" w:customStyle="1" w:styleId="300">
    <w:name w:val="xl24"/>
    <w:basedOn w:val="1"/>
    <w:qFormat/>
    <w:uiPriority w:val="0"/>
    <w:pPr>
      <w:spacing w:before="100" w:beforeAutospacing="1" w:after="100" w:afterAutospacing="1"/>
      <w:jc w:val="center"/>
    </w:pPr>
    <w:rPr>
      <w:rFonts w:ascii="Arial Unicode MS" w:hAnsi="Arial Unicode MS" w:eastAsia="Arial Unicode MS" w:cs="Arial Unicode MS"/>
    </w:rPr>
  </w:style>
  <w:style w:type="paragraph" w:customStyle="1" w:styleId="301">
    <w:name w:val="表格内容5号"/>
    <w:qFormat/>
    <w:uiPriority w:val="0"/>
    <w:pPr>
      <w:widowControl w:val="0"/>
      <w:snapToGrid w:val="0"/>
      <w:spacing w:line="300" w:lineRule="atLeast"/>
      <w:jc w:val="center"/>
    </w:pPr>
    <w:rPr>
      <w:rFonts w:ascii="Times New Roman" w:hAnsi="Times New Roman" w:eastAsia="宋体" w:cs="Times New Roman"/>
      <w:kern w:val="2"/>
      <w:sz w:val="21"/>
      <w:szCs w:val="24"/>
      <w:lang w:val="en-US" w:eastAsia="zh-CN" w:bidi="ar-SA"/>
    </w:rPr>
  </w:style>
  <w:style w:type="paragraph" w:customStyle="1" w:styleId="302">
    <w:name w:val="表文字"/>
    <w:basedOn w:val="1"/>
    <w:qFormat/>
    <w:uiPriority w:val="0"/>
    <w:pPr>
      <w:widowControl w:val="0"/>
      <w:jc w:val="center"/>
    </w:pPr>
    <w:rPr>
      <w:rFonts w:ascii="宋体" w:hAnsi="宋体"/>
      <w:bCs/>
      <w:color w:val="000000"/>
      <w:kern w:val="2"/>
      <w:sz w:val="21"/>
      <w:szCs w:val="21"/>
    </w:rPr>
  </w:style>
  <w:style w:type="paragraph" w:customStyle="1" w:styleId="303">
    <w:name w:val="0正文"/>
    <w:basedOn w:val="36"/>
    <w:qFormat/>
    <w:uiPriority w:val="0"/>
    <w:pPr>
      <w:snapToGrid/>
      <w:spacing w:line="300" w:lineRule="auto"/>
      <w:ind w:firstLine="480"/>
    </w:pPr>
    <w:rPr>
      <w:rFonts w:eastAsia="宋体" w:cs="宋体"/>
      <w:kern w:val="0"/>
      <w:sz w:val="24"/>
    </w:rPr>
  </w:style>
  <w:style w:type="paragraph" w:customStyle="1" w:styleId="304">
    <w:name w:val="正文内容"/>
    <w:basedOn w:val="1"/>
    <w:qFormat/>
    <w:uiPriority w:val="0"/>
    <w:pPr>
      <w:widowControl w:val="0"/>
      <w:spacing w:line="440" w:lineRule="exact"/>
      <w:ind w:firstLine="480" w:firstLineChars="200"/>
      <w:jc w:val="both"/>
    </w:pPr>
    <w:rPr>
      <w:rFonts w:hAnsi="宋体"/>
      <w:color w:val="000000"/>
      <w:kern w:val="2"/>
    </w:rPr>
  </w:style>
  <w:style w:type="paragraph" w:customStyle="1" w:styleId="305">
    <w:name w:val="Char2 Char Char Char"/>
    <w:basedOn w:val="1"/>
    <w:qFormat/>
    <w:uiPriority w:val="0"/>
    <w:pPr>
      <w:widowControl w:val="0"/>
      <w:tabs>
        <w:tab w:val="left" w:pos="360"/>
      </w:tabs>
      <w:ind w:firstLine="420" w:firstLineChars="150"/>
      <w:jc w:val="both"/>
    </w:pPr>
    <w:rPr>
      <w:rFonts w:ascii="Arial" w:hAnsi="Arial" w:cs="Arial"/>
      <w:kern w:val="2"/>
      <w:sz w:val="20"/>
      <w:szCs w:val="20"/>
    </w:rPr>
  </w:style>
  <w:style w:type="paragraph" w:customStyle="1" w:styleId="306">
    <w:name w:val="Char Char1 Char Char"/>
    <w:basedOn w:val="1"/>
    <w:qFormat/>
    <w:uiPriority w:val="0"/>
    <w:pPr>
      <w:widowControl w:val="0"/>
      <w:spacing w:line="560" w:lineRule="exact"/>
      <w:ind w:firstLine="200" w:firstLineChars="200"/>
      <w:jc w:val="both"/>
    </w:pPr>
    <w:rPr>
      <w:rFonts w:ascii="宋体" w:hAnsi="宋体" w:cs="宋体"/>
      <w:kern w:val="2"/>
      <w:sz w:val="28"/>
      <w:szCs w:val="28"/>
    </w:rPr>
  </w:style>
  <w:style w:type="paragraph" w:customStyle="1" w:styleId="307">
    <w:name w:val="6表内文字 居中"/>
    <w:basedOn w:val="1"/>
    <w:qFormat/>
    <w:uiPriority w:val="0"/>
    <w:pPr>
      <w:widowControl w:val="0"/>
      <w:adjustRightInd w:val="0"/>
      <w:spacing w:line="240" w:lineRule="atLeast"/>
      <w:jc w:val="center"/>
      <w:textAlignment w:val="baseline"/>
    </w:pPr>
    <w:rPr>
      <w:snapToGrid w:val="0"/>
      <w:sz w:val="21"/>
    </w:rPr>
  </w:style>
  <w:style w:type="paragraph" w:customStyle="1" w:styleId="308">
    <w:name w:val="页脚内容"/>
    <w:basedOn w:val="56"/>
    <w:qFormat/>
    <w:uiPriority w:val="0"/>
    <w:pPr>
      <w:spacing w:line="240" w:lineRule="exact"/>
    </w:pPr>
    <w:rPr>
      <w:rFonts w:ascii="宋体" w:hAnsi="宋体"/>
      <w:szCs w:val="18"/>
    </w:rPr>
  </w:style>
  <w:style w:type="paragraph" w:customStyle="1" w:styleId="309">
    <w:name w:val="Char21"/>
    <w:basedOn w:val="1"/>
    <w:qFormat/>
    <w:uiPriority w:val="0"/>
    <w:pPr>
      <w:widowControl w:val="0"/>
      <w:tabs>
        <w:tab w:val="left" w:pos="360"/>
      </w:tabs>
      <w:ind w:firstLine="420" w:firstLineChars="150"/>
      <w:jc w:val="both"/>
    </w:pPr>
    <w:rPr>
      <w:rFonts w:ascii="Arial" w:hAnsi="Arial" w:cs="Arial"/>
      <w:kern w:val="2"/>
      <w:sz w:val="20"/>
    </w:rPr>
  </w:style>
  <w:style w:type="paragraph" w:customStyle="1" w:styleId="310">
    <w:name w:val="Char Char Char Char Char Char Char1"/>
    <w:basedOn w:val="1"/>
    <w:qFormat/>
    <w:uiPriority w:val="0"/>
    <w:pPr>
      <w:widowControl w:val="0"/>
      <w:tabs>
        <w:tab w:val="left" w:pos="360"/>
      </w:tabs>
      <w:ind w:firstLine="420" w:firstLineChars="150"/>
      <w:jc w:val="both"/>
    </w:pPr>
    <w:rPr>
      <w:rFonts w:ascii="Arial" w:hAnsi="Arial" w:cs="Arial"/>
      <w:kern w:val="2"/>
      <w:sz w:val="20"/>
      <w:szCs w:val="20"/>
    </w:rPr>
  </w:style>
  <w:style w:type="paragraph" w:customStyle="1" w:styleId="311">
    <w:name w:val="Char Char Char1 Char Char Char Char Char Char Char Char Char Char Char Char1 Char"/>
    <w:basedOn w:val="1"/>
    <w:qFormat/>
    <w:uiPriority w:val="0"/>
    <w:pPr>
      <w:widowControl w:val="0"/>
      <w:spacing w:line="360" w:lineRule="auto"/>
      <w:ind w:firstLine="200" w:firstLineChars="200"/>
      <w:jc w:val="both"/>
    </w:pPr>
    <w:rPr>
      <w:rFonts w:ascii="宋体" w:hAnsi="宋体" w:cs="宋体"/>
      <w:kern w:val="2"/>
    </w:rPr>
  </w:style>
  <w:style w:type="paragraph" w:customStyle="1" w:styleId="312">
    <w:name w:val="Char Char Char Char Char Char Char Char Char Char Char Char Char1"/>
    <w:basedOn w:val="1"/>
    <w:qFormat/>
    <w:uiPriority w:val="0"/>
    <w:pPr>
      <w:widowControl w:val="0"/>
      <w:adjustRightInd w:val="0"/>
      <w:snapToGrid w:val="0"/>
      <w:spacing w:line="360" w:lineRule="auto"/>
      <w:ind w:firstLine="200" w:firstLineChars="200"/>
      <w:jc w:val="both"/>
    </w:pPr>
    <w:rPr>
      <w:kern w:val="2"/>
      <w:sz w:val="21"/>
    </w:rPr>
  </w:style>
  <w:style w:type="paragraph" w:customStyle="1" w:styleId="313">
    <w:name w:val="文字表格1"/>
    <w:basedOn w:val="1"/>
    <w:qFormat/>
    <w:uiPriority w:val="0"/>
    <w:pPr>
      <w:widowControl w:val="0"/>
      <w:adjustRightInd w:val="0"/>
      <w:snapToGrid w:val="0"/>
      <w:spacing w:beforeLines="50" w:after="100" w:afterAutospacing="1"/>
      <w:ind w:right="420"/>
      <w:jc w:val="right"/>
    </w:pPr>
    <w:rPr>
      <w:rFonts w:eastAsia="黑体"/>
      <w:color w:val="000000"/>
      <w:kern w:val="2"/>
      <w:sz w:val="21"/>
      <w:szCs w:val="21"/>
    </w:rPr>
  </w:style>
  <w:style w:type="paragraph" w:customStyle="1" w:styleId="314">
    <w:name w:val="Char Char"/>
    <w:basedOn w:val="1"/>
    <w:semiHidden/>
    <w:qFormat/>
    <w:uiPriority w:val="0"/>
    <w:pPr>
      <w:widowControl w:val="0"/>
      <w:ind w:left="-48"/>
      <w:jc w:val="both"/>
    </w:pPr>
    <w:rPr>
      <w:kern w:val="2"/>
      <w:sz w:val="21"/>
    </w:rPr>
  </w:style>
  <w:style w:type="character" w:customStyle="1" w:styleId="315">
    <w:name w:val="red"/>
    <w:basedOn w:val="92"/>
    <w:qFormat/>
    <w:uiPriority w:val="0"/>
  </w:style>
  <w:style w:type="paragraph" w:customStyle="1" w:styleId="316">
    <w:name w:val="Char Char Char Char Char Char Char Char Char Char Char Char Char4"/>
    <w:basedOn w:val="1"/>
    <w:qFormat/>
    <w:uiPriority w:val="0"/>
    <w:pPr>
      <w:widowControl w:val="0"/>
      <w:adjustRightInd w:val="0"/>
      <w:snapToGrid w:val="0"/>
      <w:spacing w:line="360" w:lineRule="auto"/>
      <w:ind w:firstLine="200" w:firstLineChars="200"/>
      <w:jc w:val="both"/>
    </w:pPr>
    <w:rPr>
      <w:rFonts w:ascii="宋体" w:hAnsi="宋体" w:eastAsia="仿宋_GB2312" w:cs="宋体"/>
      <w:kern w:val="2"/>
      <w:szCs w:val="26"/>
    </w:rPr>
  </w:style>
  <w:style w:type="paragraph" w:customStyle="1" w:styleId="317">
    <w:name w:val="仿宋正文格式"/>
    <w:basedOn w:val="1"/>
    <w:qFormat/>
    <w:uiPriority w:val="0"/>
    <w:pPr>
      <w:widowControl w:val="0"/>
      <w:spacing w:line="360" w:lineRule="auto"/>
      <w:ind w:firstLine="560" w:firstLineChars="200"/>
      <w:jc w:val="both"/>
    </w:pPr>
    <w:rPr>
      <w:rFonts w:ascii="仿宋_GB2312" w:hAnsi="仿宋" w:eastAsia="仿宋_GB2312"/>
      <w:color w:val="FF0000"/>
      <w:kern w:val="2"/>
      <w:sz w:val="28"/>
    </w:rPr>
  </w:style>
  <w:style w:type="character" w:customStyle="1" w:styleId="318">
    <w:name w:val="标题 4 Char"/>
    <w:basedOn w:val="92"/>
    <w:link w:val="7"/>
    <w:qFormat/>
    <w:uiPriority w:val="0"/>
    <w:rPr>
      <w:rFonts w:ascii="Arial" w:hAnsi="Arial" w:eastAsia="黑体"/>
      <w:b/>
      <w:sz w:val="28"/>
    </w:rPr>
  </w:style>
  <w:style w:type="character" w:customStyle="1" w:styleId="319">
    <w:name w:val="标题 5 Char"/>
    <w:basedOn w:val="92"/>
    <w:link w:val="8"/>
    <w:qFormat/>
    <w:uiPriority w:val="0"/>
    <w:rPr>
      <w:rFonts w:eastAsia="仿宋_GB2312"/>
      <w:b/>
      <w:sz w:val="28"/>
    </w:rPr>
  </w:style>
  <w:style w:type="character" w:customStyle="1" w:styleId="320">
    <w:name w:val="标题 6 Char"/>
    <w:basedOn w:val="92"/>
    <w:link w:val="9"/>
    <w:qFormat/>
    <w:uiPriority w:val="0"/>
    <w:rPr>
      <w:rFonts w:ascii="Arial" w:hAnsi="Arial" w:eastAsia="黑体"/>
      <w:b/>
      <w:sz w:val="24"/>
    </w:rPr>
  </w:style>
  <w:style w:type="character" w:customStyle="1" w:styleId="321">
    <w:name w:val="标题 7 Char"/>
    <w:basedOn w:val="92"/>
    <w:link w:val="10"/>
    <w:qFormat/>
    <w:uiPriority w:val="0"/>
    <w:rPr>
      <w:rFonts w:eastAsia="仿宋_GB2312"/>
      <w:b/>
      <w:sz w:val="24"/>
    </w:rPr>
  </w:style>
  <w:style w:type="character" w:customStyle="1" w:styleId="322">
    <w:name w:val="标题 8 Char"/>
    <w:basedOn w:val="92"/>
    <w:link w:val="11"/>
    <w:qFormat/>
    <w:uiPriority w:val="0"/>
    <w:rPr>
      <w:rFonts w:ascii="Arial" w:hAnsi="Arial" w:eastAsia="黑体"/>
      <w:sz w:val="24"/>
    </w:rPr>
  </w:style>
  <w:style w:type="character" w:customStyle="1" w:styleId="323">
    <w:name w:val="标题 9 Char"/>
    <w:basedOn w:val="92"/>
    <w:link w:val="12"/>
    <w:qFormat/>
    <w:uiPriority w:val="0"/>
    <w:rPr>
      <w:rFonts w:ascii="Arial" w:hAnsi="Arial" w:eastAsia="黑体"/>
      <w:sz w:val="21"/>
    </w:rPr>
  </w:style>
  <w:style w:type="character" w:customStyle="1" w:styleId="324">
    <w:name w:val="正文文本缩进 3 Char"/>
    <w:basedOn w:val="92"/>
    <w:link w:val="71"/>
    <w:qFormat/>
    <w:uiPriority w:val="0"/>
    <w:rPr>
      <w:rFonts w:eastAsia="华康简魏碑"/>
      <w:kern w:val="2"/>
      <w:sz w:val="28"/>
    </w:rPr>
  </w:style>
  <w:style w:type="character" w:customStyle="1" w:styleId="325">
    <w:name w:val="正文文本缩进 Char"/>
    <w:basedOn w:val="92"/>
    <w:link w:val="36"/>
    <w:qFormat/>
    <w:uiPriority w:val="0"/>
    <w:rPr>
      <w:rFonts w:eastAsia="华康简魏碑"/>
      <w:kern w:val="2"/>
      <w:sz w:val="28"/>
      <w:szCs w:val="24"/>
    </w:rPr>
  </w:style>
  <w:style w:type="character" w:customStyle="1" w:styleId="326">
    <w:name w:val="正文文本缩进 2 Char"/>
    <w:basedOn w:val="92"/>
    <w:link w:val="52"/>
    <w:qFormat/>
    <w:uiPriority w:val="0"/>
    <w:rPr>
      <w:rFonts w:ascii="华康简魏碑" w:eastAsia="华康简魏碑"/>
      <w:kern w:val="2"/>
      <w:sz w:val="28"/>
    </w:rPr>
  </w:style>
  <w:style w:type="character" w:customStyle="1" w:styleId="327">
    <w:name w:val="正文文本 Char1"/>
    <w:basedOn w:val="92"/>
    <w:link w:val="35"/>
    <w:qFormat/>
    <w:uiPriority w:val="0"/>
    <w:rPr>
      <w:kern w:val="2"/>
      <w:sz w:val="28"/>
      <w:szCs w:val="24"/>
    </w:rPr>
  </w:style>
  <w:style w:type="character" w:customStyle="1" w:styleId="328">
    <w:name w:val="文档结构图 Char"/>
    <w:basedOn w:val="92"/>
    <w:link w:val="27"/>
    <w:semiHidden/>
    <w:qFormat/>
    <w:uiPriority w:val="0"/>
    <w:rPr>
      <w:sz w:val="24"/>
      <w:szCs w:val="24"/>
      <w:shd w:val="clear" w:color="auto" w:fill="000080"/>
    </w:rPr>
  </w:style>
  <w:style w:type="character" w:customStyle="1" w:styleId="329">
    <w:name w:val="正文文本 2 Char1"/>
    <w:basedOn w:val="92"/>
    <w:link w:val="77"/>
    <w:qFormat/>
    <w:uiPriority w:val="0"/>
    <w:rPr>
      <w:rFonts w:ascii="仿宋_GB2312" w:eastAsia="仿宋_GB2312"/>
      <w:sz w:val="21"/>
      <w:szCs w:val="24"/>
    </w:rPr>
  </w:style>
  <w:style w:type="character" w:customStyle="1" w:styleId="330">
    <w:name w:val="正文首行缩进 2 Char"/>
    <w:basedOn w:val="325"/>
    <w:link w:val="87"/>
    <w:qFormat/>
    <w:uiPriority w:val="0"/>
    <w:rPr>
      <w:rFonts w:eastAsia="华康简魏碑"/>
      <w:kern w:val="2"/>
      <w:sz w:val="21"/>
      <w:szCs w:val="24"/>
    </w:rPr>
  </w:style>
  <w:style w:type="character" w:customStyle="1" w:styleId="331">
    <w:name w:val="HTML 预设格式 Char"/>
    <w:basedOn w:val="92"/>
    <w:link w:val="81"/>
    <w:qFormat/>
    <w:uiPriority w:val="0"/>
    <w:rPr>
      <w:rFonts w:ascii="宋体" w:hAnsi="宋体" w:cs="宋体"/>
      <w:sz w:val="24"/>
      <w:szCs w:val="24"/>
    </w:rPr>
  </w:style>
  <w:style w:type="character" w:customStyle="1" w:styleId="332">
    <w:name w:val="正文文本 3 Char1"/>
    <w:basedOn w:val="92"/>
    <w:link w:val="32"/>
    <w:qFormat/>
    <w:uiPriority w:val="0"/>
    <w:rPr>
      <w:kern w:val="2"/>
      <w:sz w:val="16"/>
      <w:szCs w:val="16"/>
    </w:rPr>
  </w:style>
  <w:style w:type="character" w:customStyle="1" w:styleId="333">
    <w:name w:val="正文首行缩进 Char"/>
    <w:basedOn w:val="327"/>
    <w:link w:val="2"/>
    <w:qFormat/>
    <w:uiPriority w:val="0"/>
    <w:rPr>
      <w:kern w:val="2"/>
      <w:sz w:val="21"/>
      <w:szCs w:val="24"/>
    </w:rPr>
  </w:style>
  <w:style w:type="character" w:customStyle="1" w:styleId="334">
    <w:name w:val="副标题 Char"/>
    <w:basedOn w:val="92"/>
    <w:link w:val="65"/>
    <w:qFormat/>
    <w:uiPriority w:val="0"/>
    <w:rPr>
      <w:rFonts w:eastAsia="黑体" w:cs="Arial"/>
      <w:bCs/>
      <w:kern w:val="28"/>
      <w:sz w:val="24"/>
      <w:szCs w:val="32"/>
    </w:rPr>
  </w:style>
  <w:style w:type="paragraph" w:customStyle="1" w:styleId="335">
    <w:name w:val="TOC 标题11"/>
    <w:basedOn w:val="4"/>
    <w:next w:val="1"/>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character" w:customStyle="1" w:styleId="336">
    <w:name w:val="环评正文 Char"/>
    <w:basedOn w:val="92"/>
    <w:link w:val="337"/>
    <w:qFormat/>
    <w:uiPriority w:val="0"/>
    <w:rPr>
      <w:rFonts w:ascii="宋体" w:hAnsi="宋体"/>
      <w:snapToGrid w:val="0"/>
      <w:sz w:val="26"/>
      <w:szCs w:val="26"/>
    </w:rPr>
  </w:style>
  <w:style w:type="paragraph" w:customStyle="1" w:styleId="337">
    <w:name w:val="环评正文"/>
    <w:basedOn w:val="1"/>
    <w:link w:val="336"/>
    <w:qFormat/>
    <w:uiPriority w:val="0"/>
    <w:pPr>
      <w:widowControl w:val="0"/>
      <w:spacing w:line="480" w:lineRule="exact"/>
      <w:ind w:firstLine="520" w:firstLineChars="200"/>
      <w:jc w:val="both"/>
    </w:pPr>
    <w:rPr>
      <w:rFonts w:ascii="宋体" w:hAnsi="宋体"/>
      <w:snapToGrid w:val="0"/>
      <w:sz w:val="26"/>
      <w:szCs w:val="26"/>
    </w:rPr>
  </w:style>
  <w:style w:type="paragraph" w:customStyle="1" w:styleId="338">
    <w:name w:val="Char Char Char Char Char Char Char Char Char Char Char Char Char5"/>
    <w:basedOn w:val="1"/>
    <w:qFormat/>
    <w:uiPriority w:val="0"/>
    <w:pPr>
      <w:widowControl w:val="0"/>
      <w:adjustRightInd w:val="0"/>
      <w:snapToGrid w:val="0"/>
      <w:spacing w:line="360" w:lineRule="auto"/>
      <w:ind w:firstLine="200" w:firstLineChars="200"/>
      <w:jc w:val="both"/>
    </w:pPr>
    <w:rPr>
      <w:kern w:val="2"/>
      <w:sz w:val="21"/>
    </w:rPr>
  </w:style>
  <w:style w:type="paragraph" w:styleId="339">
    <w:name w:val="No Spacing"/>
    <w:qFormat/>
    <w:uiPriority w:val="1"/>
    <w:pPr>
      <w:widowControl w:val="0"/>
      <w:adjustRightInd w:val="0"/>
      <w:spacing w:line="312" w:lineRule="auto"/>
      <w:ind w:firstLine="200" w:firstLineChars="200"/>
      <w:jc w:val="both"/>
    </w:pPr>
    <w:rPr>
      <w:rFonts w:ascii="Calibri" w:hAnsi="Calibri" w:eastAsia="宋体" w:cs="Times New Roman"/>
      <w:kern w:val="2"/>
      <w:sz w:val="28"/>
      <w:szCs w:val="22"/>
      <w:lang w:val="en-US" w:eastAsia="zh-CN" w:bidi="ar-SA"/>
    </w:rPr>
  </w:style>
  <w:style w:type="character" w:customStyle="1" w:styleId="340">
    <w:name w:val="表格文字 Char"/>
    <w:qFormat/>
    <w:uiPriority w:val="0"/>
    <w:rPr>
      <w:rFonts w:ascii="Times New Roman" w:hAnsi="Times New Roman"/>
      <w:kern w:val="2"/>
      <w:sz w:val="21"/>
      <w:szCs w:val="22"/>
      <w:lang w:val="en-US" w:eastAsia="zh-CN" w:bidi="ar-SA"/>
    </w:rPr>
  </w:style>
  <w:style w:type="character" w:customStyle="1" w:styleId="341">
    <w:name w:val="表内容 Char"/>
    <w:link w:val="342"/>
    <w:qFormat/>
    <w:uiPriority w:val="0"/>
    <w:rPr>
      <w:kern w:val="2"/>
      <w:sz w:val="21"/>
    </w:rPr>
  </w:style>
  <w:style w:type="paragraph" w:customStyle="1" w:styleId="342">
    <w:name w:val="表内容"/>
    <w:basedOn w:val="1"/>
    <w:link w:val="341"/>
    <w:qFormat/>
    <w:uiPriority w:val="0"/>
    <w:pPr>
      <w:widowControl w:val="0"/>
      <w:jc w:val="center"/>
    </w:pPr>
    <w:rPr>
      <w:kern w:val="2"/>
      <w:sz w:val="21"/>
      <w:szCs w:val="20"/>
    </w:rPr>
  </w:style>
  <w:style w:type="character" w:customStyle="1" w:styleId="343">
    <w:name w:val="正文文本 2 Char"/>
    <w:qFormat/>
    <w:uiPriority w:val="0"/>
    <w:rPr>
      <w:rFonts w:ascii="Times New Roman" w:hAnsi="Times New Roman" w:eastAsia="宋体" w:cs="Times New Roman"/>
      <w:kern w:val="0"/>
      <w:sz w:val="44"/>
      <w:szCs w:val="24"/>
      <w:lang w:val="zh-CN" w:eastAsia="zh-CN"/>
    </w:rPr>
  </w:style>
  <w:style w:type="character" w:customStyle="1" w:styleId="344">
    <w:name w:val="正文文本 Char"/>
    <w:basedOn w:val="92"/>
    <w:qFormat/>
    <w:uiPriority w:val="0"/>
    <w:rPr>
      <w:rFonts w:ascii="Calibri" w:hAnsi="Calibri" w:eastAsia="宋体" w:cs="Times New Roman"/>
    </w:rPr>
  </w:style>
  <w:style w:type="character" w:customStyle="1" w:styleId="345">
    <w:name w:val="正文文本 3 Char"/>
    <w:qFormat/>
    <w:uiPriority w:val="0"/>
    <w:rPr>
      <w:b/>
      <w:bCs/>
      <w:color w:val="000000"/>
      <w:szCs w:val="24"/>
    </w:rPr>
  </w:style>
  <w:style w:type="paragraph" w:customStyle="1" w:styleId="346">
    <w:name w:val="表格文字"/>
    <w:basedOn w:val="1"/>
    <w:qFormat/>
    <w:uiPriority w:val="0"/>
    <w:pPr>
      <w:spacing w:line="400" w:lineRule="exact"/>
      <w:jc w:val="center"/>
    </w:pPr>
    <w:rPr>
      <w:rFonts w:ascii="Segoe UI Emoji" w:eastAsia="Segoe UI Emoji"/>
      <w:sz w:val="21"/>
    </w:rPr>
  </w:style>
  <w:style w:type="paragraph" w:customStyle="1" w:styleId="347">
    <w:name w:val="Table Paragraph"/>
    <w:basedOn w:val="1"/>
    <w:qFormat/>
    <w:uiPriority w:val="1"/>
    <w:rPr>
      <w:rFonts w:ascii="Segoe UI Emoji" w:hAnsi="Segoe UI Emoji" w:eastAsia="Segoe UI Emoji"/>
      <w:sz w:val="22"/>
      <w:szCs w:val="22"/>
      <w:lang w:eastAsia="en-US"/>
    </w:rPr>
  </w:style>
  <w:style w:type="character" w:customStyle="1" w:styleId="348">
    <w:name w:val="表头 Char2"/>
    <w:qFormat/>
    <w:uiPriority w:val="0"/>
    <w:rPr>
      <w:rFonts w:eastAsia="Segoe UI Emoji"/>
      <w:b/>
      <w:snapToGrid w:val="0"/>
      <w:sz w:val="30"/>
      <w:lang w:val="en-US" w:eastAsia="zh-CN" w:bidi="ar-SA"/>
    </w:rPr>
  </w:style>
  <w:style w:type="paragraph" w:customStyle="1" w:styleId="349">
    <w:name w:val="表格及图片名称"/>
    <w:basedOn w:val="1"/>
    <w:qFormat/>
    <w:uiPriority w:val="0"/>
    <w:pPr>
      <w:adjustRightInd w:val="0"/>
      <w:snapToGrid w:val="0"/>
      <w:spacing w:line="480" w:lineRule="exact"/>
      <w:jc w:val="center"/>
    </w:pPr>
    <w:rPr>
      <w:rFonts w:ascii="Segoe UI Emoji" w:hAnsi="Segoe UI Emoji" w:eastAsia="Segoe UI Emoji"/>
      <w:snapToGrid w:val="0"/>
      <w:sz w:val="21"/>
      <w:szCs w:val="21"/>
    </w:rPr>
  </w:style>
  <w:style w:type="paragraph" w:customStyle="1" w:styleId="350">
    <w:name w:val="我的正文"/>
    <w:basedOn w:val="1"/>
    <w:qFormat/>
    <w:uiPriority w:val="99"/>
    <w:pPr>
      <w:spacing w:line="460" w:lineRule="exact"/>
      <w:ind w:firstLine="482"/>
    </w:pPr>
  </w:style>
  <w:style w:type="character" w:customStyle="1" w:styleId="351">
    <w:name w:val="cur"/>
    <w:basedOn w:val="92"/>
    <w:qFormat/>
    <w:uiPriority w:val="0"/>
    <w:rPr>
      <w:shd w:val="clear" w:color="auto" w:fill="000000"/>
    </w:rPr>
  </w:style>
  <w:style w:type="character" w:customStyle="1" w:styleId="352">
    <w:name w:val="cur1"/>
    <w:basedOn w:val="92"/>
    <w:qFormat/>
    <w:uiPriority w:val="0"/>
    <w:rPr>
      <w:color w:val="FFFFFF"/>
      <w:shd w:val="clear" w:color="auto" w:fill="F97C28"/>
    </w:rPr>
  </w:style>
  <w:style w:type="character" w:customStyle="1" w:styleId="353">
    <w:name w:val="cur2"/>
    <w:basedOn w:val="92"/>
    <w:qFormat/>
    <w:uiPriority w:val="0"/>
    <w:rPr>
      <w:color w:val="FFFFFF"/>
      <w:shd w:val="clear" w:color="auto" w:fill="F97C28"/>
    </w:rPr>
  </w:style>
  <w:style w:type="character" w:customStyle="1" w:styleId="354">
    <w:name w:val="ui-slider-label-show"/>
    <w:basedOn w:val="92"/>
    <w:qFormat/>
    <w:uiPriority w:val="0"/>
  </w:style>
  <w:style w:type="character" w:customStyle="1" w:styleId="355">
    <w:name w:val="selected"/>
    <w:basedOn w:val="92"/>
    <w:qFormat/>
    <w:uiPriority w:val="0"/>
    <w:rPr>
      <w:shd w:val="clear" w:color="auto" w:fill="FF6600"/>
    </w:rPr>
  </w:style>
  <w:style w:type="paragraph" w:customStyle="1" w:styleId="356">
    <w:name w:val="正文（新科联）"/>
    <w:basedOn w:val="1"/>
    <w:qFormat/>
    <w:uiPriority w:val="0"/>
    <w:pPr>
      <w:adjustRightInd w:val="0"/>
      <w:snapToGrid w:val="0"/>
      <w:spacing w:line="480" w:lineRule="exact"/>
      <w:ind w:firstLine="480"/>
    </w:pPr>
    <w:rPr>
      <w:rFonts w:ascii="宋体" w:hAnsi="宋体"/>
      <w:snapToGrid w:val="0"/>
      <w:color w:val="0000FF"/>
    </w:rPr>
  </w:style>
  <w:style w:type="paragraph" w:customStyle="1" w:styleId="357">
    <w:name w:val="样式16"/>
    <w:basedOn w:val="1"/>
    <w:qFormat/>
    <w:uiPriority w:val="0"/>
    <w:pPr>
      <w:jc w:val="center"/>
    </w:pPr>
    <w:rPr>
      <w:color w:val="000000"/>
      <w:sz w:val="21"/>
      <w:szCs w:val="21"/>
    </w:rPr>
  </w:style>
  <w:style w:type="paragraph" w:customStyle="1" w:styleId="358">
    <w:name w:val="书 正文"/>
    <w:basedOn w:val="1"/>
    <w:qFormat/>
    <w:uiPriority w:val="0"/>
    <w:pPr>
      <w:spacing w:line="440" w:lineRule="exact"/>
      <w:ind w:firstLine="514" w:firstLineChars="200"/>
    </w:pPr>
    <w:rPr>
      <w:kern w:val="24"/>
    </w:rPr>
  </w:style>
  <w:style w:type="paragraph" w:customStyle="1" w:styleId="359">
    <w:name w:val="表中正文"/>
    <w:basedOn w:val="1"/>
    <w:qFormat/>
    <w:uiPriority w:val="0"/>
    <w:pPr>
      <w:framePr w:hSpace="180" w:wrap="around" w:vAnchor="text" w:hAnchor="margin" w:xAlign="center" w:y="58"/>
      <w:snapToGrid w:val="0"/>
      <w:spacing w:line="360" w:lineRule="exact"/>
      <w:jc w:val="center"/>
    </w:pPr>
    <w:rPr>
      <w:sz w:val="21"/>
      <w:szCs w:val="21"/>
    </w:rPr>
  </w:style>
  <w:style w:type="table" w:customStyle="1" w:styleId="360">
    <w:name w:val="网格型1"/>
    <w:basedOn w:val="88"/>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61">
    <w:name w:val="文本"/>
    <w:basedOn w:val="1"/>
    <w:qFormat/>
    <w:uiPriority w:val="0"/>
    <w:pPr>
      <w:adjustRightInd w:val="0"/>
      <w:snapToGrid w:val="0"/>
      <w:spacing w:line="420" w:lineRule="exact"/>
      <w:ind w:firstLine="480"/>
    </w:pPr>
    <w:rPr>
      <w:rFonts w:eastAsia="华文中宋"/>
      <w:snapToGrid w:val="0"/>
      <w:shd w:val="clear" w:color="auto" w:fill="FFFFFF"/>
    </w:rPr>
  </w:style>
  <w:style w:type="paragraph" w:customStyle="1" w:styleId="362">
    <w:name w:val="表格标题.."/>
    <w:basedOn w:val="361"/>
    <w:qFormat/>
    <w:uiPriority w:val="0"/>
    <w:pPr>
      <w:spacing w:before="95" w:beforeLines="25" w:line="240" w:lineRule="auto"/>
      <w:ind w:firstLine="0"/>
      <w:jc w:val="center"/>
    </w:pPr>
  </w:style>
  <w:style w:type="paragraph" w:customStyle="1" w:styleId="363">
    <w:name w:val="表格内文字"/>
    <w:basedOn w:val="1"/>
    <w:qFormat/>
    <w:uiPriority w:val="0"/>
    <w:pPr>
      <w:adjustRightInd w:val="0"/>
      <w:snapToGrid w:val="0"/>
      <w:jc w:val="center"/>
    </w:pPr>
    <w:rPr>
      <w:rFonts w:eastAsia="华文中宋"/>
      <w:sz w:val="21"/>
      <w:szCs w:val="20"/>
    </w:rPr>
  </w:style>
  <w:style w:type="paragraph" w:customStyle="1" w:styleId="364">
    <w:name w:val="宋小4单"/>
    <w:basedOn w:val="1"/>
    <w:qFormat/>
    <w:uiPriority w:val="0"/>
    <w:pPr>
      <w:adjustRightInd w:val="0"/>
      <w:snapToGrid w:val="0"/>
      <w:ind w:firstLine="200" w:firstLineChars="200"/>
    </w:pPr>
  </w:style>
  <w:style w:type="character" w:customStyle="1" w:styleId="365">
    <w:name w:val="fontstyle01"/>
    <w:qFormat/>
    <w:uiPriority w:val="0"/>
    <w:rPr>
      <w:rFonts w:hint="eastAsia" w:ascii="宋体" w:hAnsi="宋体" w:eastAsia="宋体"/>
      <w:color w:val="000000"/>
      <w:sz w:val="24"/>
      <w:szCs w:val="24"/>
    </w:rPr>
  </w:style>
  <w:style w:type="paragraph" w:customStyle="1" w:styleId="366">
    <w:name w:val="正文文本缩进 21"/>
    <w:basedOn w:val="1"/>
    <w:qFormat/>
    <w:uiPriority w:val="0"/>
    <w:pPr>
      <w:adjustRightInd w:val="0"/>
      <w:spacing w:line="360" w:lineRule="auto"/>
      <w:ind w:firstLine="510"/>
      <w:textAlignment w:val="baseline"/>
    </w:pPr>
    <w:rPr>
      <w:sz w:val="28"/>
      <w:szCs w:val="20"/>
    </w:rPr>
  </w:style>
  <w:style w:type="paragraph" w:customStyle="1" w:styleId="367">
    <w:name w:val="正文部分"/>
    <w:basedOn w:val="1"/>
    <w:qFormat/>
    <w:uiPriority w:val="0"/>
    <w:pPr>
      <w:spacing w:line="460" w:lineRule="exact"/>
      <w:ind w:firstLine="200"/>
    </w:pPr>
    <w:rPr>
      <w:rFonts w:hint="eastAsia" w:ascii="楷体_GB2312" w:eastAsia="楷体_GB2312"/>
      <w:sz w:val="28"/>
    </w:rPr>
  </w:style>
  <w:style w:type="paragraph" w:customStyle="1" w:styleId="368">
    <w:name w:val="报告书正文"/>
    <w:basedOn w:val="1"/>
    <w:qFormat/>
    <w:uiPriority w:val="0"/>
    <w:pPr>
      <w:ind w:firstLine="480" w:firstLineChars="200"/>
    </w:pPr>
    <w:rPr>
      <w:rFonts w:cs="宋体"/>
    </w:rPr>
  </w:style>
  <w:style w:type="paragraph" w:customStyle="1" w:styleId="369">
    <w:name w:val="正文杨"/>
    <w:basedOn w:val="36"/>
    <w:qFormat/>
    <w:uiPriority w:val="0"/>
    <w:pPr>
      <w:adjustRightInd w:val="0"/>
      <w:spacing w:line="360" w:lineRule="auto"/>
      <w:jc w:val="left"/>
    </w:pPr>
    <w:rPr>
      <w:rFonts w:eastAsia="宋体"/>
    </w:rPr>
  </w:style>
  <w:style w:type="paragraph" w:customStyle="1" w:styleId="370">
    <w:name w:val="清源正文样式 lixiaow"/>
    <w:basedOn w:val="1"/>
    <w:qFormat/>
    <w:uiPriority w:val="0"/>
    <w:pPr>
      <w:ind w:firstLine="480"/>
    </w:pPr>
    <w:rPr>
      <w:bCs/>
      <w:szCs w:val="18"/>
      <w:lang w:val="zh-TW"/>
    </w:rPr>
  </w:style>
  <w:style w:type="paragraph" w:customStyle="1" w:styleId="371">
    <w:name w:val="表头1"/>
    <w:basedOn w:val="1"/>
    <w:next w:val="114"/>
    <w:link w:val="372"/>
    <w:qFormat/>
    <w:uiPriority w:val="0"/>
    <w:pPr>
      <w:spacing w:before="100" w:beforeLines="100" w:line="240" w:lineRule="exact"/>
      <w:jc w:val="center"/>
    </w:pPr>
    <w:rPr>
      <w:rFonts w:eastAsia="黑体"/>
      <w:sz w:val="21"/>
      <w:szCs w:val="20"/>
    </w:rPr>
  </w:style>
  <w:style w:type="character" w:customStyle="1" w:styleId="372">
    <w:name w:val="表头1 Char"/>
    <w:link w:val="371"/>
    <w:qFormat/>
    <w:uiPriority w:val="0"/>
    <w:rPr>
      <w:rFonts w:eastAsia="黑体" w:cs="Times New Roman"/>
      <w:sz w:val="21"/>
      <w:szCs w:val="20"/>
    </w:rPr>
  </w:style>
  <w:style w:type="paragraph" w:customStyle="1" w:styleId="373">
    <w:name w:val="表文"/>
    <w:basedOn w:val="1"/>
    <w:qFormat/>
    <w:uiPriority w:val="0"/>
    <w:pPr>
      <w:adjustRightInd w:val="0"/>
      <w:snapToGrid w:val="0"/>
      <w:jc w:val="center"/>
    </w:pPr>
    <w:rPr>
      <w:sz w:val="21"/>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0" Type="http://schemas.openxmlformats.org/officeDocument/2006/relationships/fontTable" Target="fontTable.xml"/><Relationship Id="rId8" Type="http://schemas.openxmlformats.org/officeDocument/2006/relationships/footer" Target="footer4.xml"/><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34.png"/><Relationship Id="rId75" Type="http://schemas.openxmlformats.org/officeDocument/2006/relationships/image" Target="media/image33.png"/><Relationship Id="rId74" Type="http://schemas.openxmlformats.org/officeDocument/2006/relationships/image" Target="media/image32.jpeg"/><Relationship Id="rId73" Type="http://schemas.openxmlformats.org/officeDocument/2006/relationships/image" Target="media/image31.png"/><Relationship Id="rId72" Type="http://schemas.openxmlformats.org/officeDocument/2006/relationships/image" Target="media/image30.wmf"/><Relationship Id="rId71" Type="http://schemas.openxmlformats.org/officeDocument/2006/relationships/oleObject" Target="embeddings/oleObject19.bin"/><Relationship Id="rId70" Type="http://schemas.openxmlformats.org/officeDocument/2006/relationships/image" Target="media/image29.wmf"/><Relationship Id="rId7" Type="http://schemas.openxmlformats.org/officeDocument/2006/relationships/header" Target="header2.xml"/><Relationship Id="rId69" Type="http://schemas.openxmlformats.org/officeDocument/2006/relationships/oleObject" Target="embeddings/oleObject18.bin"/><Relationship Id="rId68" Type="http://schemas.openxmlformats.org/officeDocument/2006/relationships/image" Target="media/image28.wmf"/><Relationship Id="rId67" Type="http://schemas.openxmlformats.org/officeDocument/2006/relationships/oleObject" Target="embeddings/oleObject17.bin"/><Relationship Id="rId66" Type="http://schemas.openxmlformats.org/officeDocument/2006/relationships/image" Target="media/image27.wmf"/><Relationship Id="rId65" Type="http://schemas.openxmlformats.org/officeDocument/2006/relationships/oleObject" Target="embeddings/oleObject16.bin"/><Relationship Id="rId64" Type="http://schemas.openxmlformats.org/officeDocument/2006/relationships/image" Target="media/image26.wmf"/><Relationship Id="rId63" Type="http://schemas.openxmlformats.org/officeDocument/2006/relationships/oleObject" Target="embeddings/oleObject15.bin"/><Relationship Id="rId62" Type="http://schemas.openxmlformats.org/officeDocument/2006/relationships/image" Target="media/image25.wmf"/><Relationship Id="rId61" Type="http://schemas.openxmlformats.org/officeDocument/2006/relationships/oleObject" Target="embeddings/oleObject14.bin"/><Relationship Id="rId60" Type="http://schemas.openxmlformats.org/officeDocument/2006/relationships/image" Target="media/image24.wmf"/><Relationship Id="rId6" Type="http://schemas.openxmlformats.org/officeDocument/2006/relationships/footer" Target="footer3.xml"/><Relationship Id="rId59" Type="http://schemas.openxmlformats.org/officeDocument/2006/relationships/oleObject" Target="embeddings/oleObject13.bin"/><Relationship Id="rId58" Type="http://schemas.openxmlformats.org/officeDocument/2006/relationships/image" Target="media/image23.wmf"/><Relationship Id="rId57" Type="http://schemas.openxmlformats.org/officeDocument/2006/relationships/oleObject" Target="embeddings/oleObject12.bin"/><Relationship Id="rId56" Type="http://schemas.openxmlformats.org/officeDocument/2006/relationships/image" Target="media/image22.wmf"/><Relationship Id="rId55" Type="http://schemas.openxmlformats.org/officeDocument/2006/relationships/oleObject" Target="embeddings/oleObject11.bin"/><Relationship Id="rId54" Type="http://schemas.openxmlformats.org/officeDocument/2006/relationships/image" Target="media/image21.wmf"/><Relationship Id="rId53" Type="http://schemas.openxmlformats.org/officeDocument/2006/relationships/oleObject" Target="embeddings/oleObject10.bin"/><Relationship Id="rId52" Type="http://schemas.openxmlformats.org/officeDocument/2006/relationships/image" Target="media/image20.wmf"/><Relationship Id="rId51" Type="http://schemas.openxmlformats.org/officeDocument/2006/relationships/oleObject" Target="embeddings/oleObject9.bin"/><Relationship Id="rId50" Type="http://schemas.openxmlformats.org/officeDocument/2006/relationships/image" Target="media/image19.wmf"/><Relationship Id="rId5" Type="http://schemas.openxmlformats.org/officeDocument/2006/relationships/footer" Target="footer2.xml"/><Relationship Id="rId49" Type="http://schemas.openxmlformats.org/officeDocument/2006/relationships/oleObject" Target="embeddings/oleObject8.bin"/><Relationship Id="rId48" Type="http://schemas.openxmlformats.org/officeDocument/2006/relationships/image" Target="media/image18.wmf"/><Relationship Id="rId47" Type="http://schemas.openxmlformats.org/officeDocument/2006/relationships/oleObject" Target="embeddings/oleObject7.bin"/><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png"/><Relationship Id="rId42" Type="http://schemas.openxmlformats.org/officeDocument/2006/relationships/image" Target="media/image13.wmf"/><Relationship Id="rId41" Type="http://schemas.openxmlformats.org/officeDocument/2006/relationships/oleObject" Target="embeddings/oleObject6.bin"/><Relationship Id="rId40" Type="http://schemas.openxmlformats.org/officeDocument/2006/relationships/image" Target="media/image12.wmf"/><Relationship Id="rId4" Type="http://schemas.openxmlformats.org/officeDocument/2006/relationships/header" Target="header1.xml"/><Relationship Id="rId39" Type="http://schemas.openxmlformats.org/officeDocument/2006/relationships/oleObject" Target="embeddings/oleObject5.bin"/><Relationship Id="rId38" Type="http://schemas.openxmlformats.org/officeDocument/2006/relationships/image" Target="media/image11.wmf"/><Relationship Id="rId37" Type="http://schemas.openxmlformats.org/officeDocument/2006/relationships/oleObject" Target="embeddings/oleObject4.bin"/><Relationship Id="rId36" Type="http://schemas.openxmlformats.org/officeDocument/2006/relationships/image" Target="media/image10.wmf"/><Relationship Id="rId35" Type="http://schemas.openxmlformats.org/officeDocument/2006/relationships/oleObject" Target="embeddings/oleObject3.bin"/><Relationship Id="rId34" Type="http://schemas.openxmlformats.org/officeDocument/2006/relationships/image" Target="media/image9.wmf"/><Relationship Id="rId33" Type="http://schemas.openxmlformats.org/officeDocument/2006/relationships/oleObject" Target="embeddings/oleObject2.bin"/><Relationship Id="rId32" Type="http://schemas.openxmlformats.org/officeDocument/2006/relationships/image" Target="media/image8.pn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footer" Target="foot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wmf"/><Relationship Id="rId26" Type="http://schemas.openxmlformats.org/officeDocument/2006/relationships/oleObject" Target="embeddings/oleObject1.bin"/><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8.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1F62F1-59DD-4501-A2CF-29CFC8B98D48}">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105</Pages>
  <Words>55234</Words>
  <Characters>64542</Characters>
  <Lines>599</Lines>
  <Paragraphs>168</Paragraphs>
  <TotalTime>9</TotalTime>
  <ScaleCrop>false</ScaleCrop>
  <LinksUpToDate>false</LinksUpToDate>
  <CharactersWithSpaces>65292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2018-09-28T03:03:00Z</dcterms:created>
  <dc:creator>Administrator</dc:creator>
  <cp:lastModifiedBy>左</cp:lastModifiedBy>
  <cp:lastPrinted>2019-12-08T09:55:00Z</cp:lastPrinted>
  <dcterms:modified xsi:type="dcterms:W3CDTF">2023-03-09T12:13:40Z</dcterms:modified>
  <dc:title>第一章   总论</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90BA3F488DE646F0A97D8BD580F75335</vt:lpwstr>
  </property>
</Properties>
</file>