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line="24" w:lineRule="atLeast"/>
        <w:jc w:val="center"/>
        <w:rPr>
          <w:rFonts w:hint="eastAsia" w:ascii="方正小标宋简体" w:eastAsia="方正小标宋简体" w:cs="仿宋_GB2312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 w:cs="仿宋_GB2312"/>
          <w:sz w:val="44"/>
          <w:szCs w:val="44"/>
          <w:lang w:eastAsia="zh-CN"/>
        </w:rPr>
        <w:t>繁峙县</w:t>
      </w:r>
      <w:r>
        <w:rPr>
          <w:rFonts w:hint="eastAsia" w:ascii="方正小标宋简体" w:eastAsia="方正小标宋简体" w:cs="仿宋_GB2312"/>
          <w:sz w:val="44"/>
          <w:szCs w:val="44"/>
        </w:rPr>
        <w:t>岩头乡</w:t>
      </w:r>
      <w:r>
        <w:rPr>
          <w:rFonts w:hint="eastAsia" w:ascii="方正小标宋简体" w:eastAsia="方正小标宋简体" w:cs="仿宋_GB2312"/>
          <w:sz w:val="44"/>
          <w:szCs w:val="44"/>
          <w:lang w:eastAsia="zh-CN"/>
        </w:rPr>
        <w:t>人民政府</w:t>
      </w:r>
    </w:p>
    <w:p>
      <w:pPr>
        <w:pStyle w:val="8"/>
        <w:widowControl/>
        <w:spacing w:line="24" w:lineRule="atLeast"/>
        <w:jc w:val="center"/>
        <w:rPr>
          <w:rFonts w:hint="eastAsia" w:ascii="仿宋_GB2312" w:eastAsia="仿宋_GB2312" w:cs="仿宋_GB2312"/>
          <w:sz w:val="15"/>
          <w:szCs w:val="40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202</w:t>
      </w:r>
      <w:r>
        <w:rPr>
          <w:rFonts w:hint="eastAsia" w:ascii="方正小标宋简体" w:eastAsia="方正小标宋简体" w:cs="仿宋_GB2312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 w:cs="仿宋_GB2312"/>
          <w:sz w:val="44"/>
          <w:szCs w:val="44"/>
        </w:rPr>
        <w:t>年度政府信息公开工作年度报</w:t>
      </w:r>
      <w:bookmarkEnd w:id="0"/>
      <w:r>
        <w:rPr>
          <w:rFonts w:hint="eastAsia" w:ascii="方正小标宋简体" w:eastAsia="方正小标宋简体" w:cs="仿宋_GB2312"/>
          <w:sz w:val="44"/>
          <w:szCs w:val="44"/>
        </w:rPr>
        <w:t>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640" w:firstLineChars="200"/>
        <w:textAlignment w:val="auto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根据《中华人民共和国政府信息公开条例》《忻州市人民政府办公室关于做好政府信息公开工作年报的督办通知》和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繁峙县</w:t>
      </w:r>
      <w:r>
        <w:rPr>
          <w:rFonts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人民政府办公室关于做好政府信息公开工作年报的督办通知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>》</w:t>
      </w:r>
      <w:r>
        <w:rPr>
          <w:rFonts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的有关要求，现公布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岩头</w:t>
      </w:r>
      <w:r>
        <w:rPr>
          <w:rFonts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乡202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年政府信息公开工作年度报告。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本报告中所列数据的统计期限自202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年1月1日起至202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年12月31日止。如对本报告有任何疑问，请联系岩头乡政府信息公开办公室，联系电话：0350-5519035。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年度岩头乡在县委、县政府的正确领导下，在乡党委的具体指导下，坚持以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习近平新时代中国特色社会主义思想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为指导，全面落实《中华人民共和国政府信息公开条例》和国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>家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、省、市、县关于政务公开工作部署，严格按照政务公开工作年度量化考评要求，规范完善公开内容，稳步提高政务公开工作水平，进一步增强依法行政意识，促进党风廉政建设和机关行政效能建设，为社会公众提供方便、快捷的公共服务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微软雅黑" w:eastAsia="楷体_GB2312" w:cs="楷体_GB2312"/>
          <w:color w:val="555555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微软雅黑" w:eastAsia="楷体_GB2312" w:cs="楷体_GB2312"/>
          <w:color w:val="555555"/>
          <w:sz w:val="32"/>
          <w:szCs w:val="32"/>
          <w:shd w:val="clear" w:color="auto" w:fill="FFFFFF"/>
          <w:lang w:bidi="ar"/>
        </w:rPr>
        <w:t>（一）主动公开方面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1、继续加大政府信息主动公开力度。202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年全乡共进行信息公开1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06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条。主要涵盖国家、省、市、县关于乡村振兴、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卫生环境整治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、安全生产等方面法定主动公开内容及群众关心关注的信息。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555555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2、加强政策宣传落实工作。要求政务工作人员做好政策性文件解读工作，同时多种渠道向全乡村民宣传，保证信息及时、准确的传达给村民。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微软雅黑" w:eastAsia="楷体_GB2312" w:cs="楷体_GB2312"/>
          <w:color w:val="555555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微软雅黑" w:eastAsia="楷体_GB2312" w:cs="楷体_GB2312"/>
          <w:color w:val="555555"/>
          <w:sz w:val="32"/>
          <w:szCs w:val="32"/>
          <w:shd w:val="clear" w:color="auto" w:fill="FFFFFF"/>
          <w:lang w:bidi="ar"/>
        </w:rPr>
        <w:t>（二）依申请公开方面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本年度，我乡未收到社会公众提出的政府信息公开申请，也未发生被行政复议、行政诉讼的情况。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微软雅黑" w:eastAsia="楷体_GB2312" w:cs="楷体_GB2312"/>
          <w:color w:val="555555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微软雅黑" w:eastAsia="楷体_GB2312" w:cs="楷体_GB2312"/>
          <w:color w:val="555555"/>
          <w:sz w:val="32"/>
          <w:szCs w:val="32"/>
          <w:shd w:val="clear" w:color="auto" w:fill="FFFFFF"/>
          <w:lang w:bidi="ar"/>
        </w:rPr>
        <w:t>（三）政府信息管理方面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1、加强组织领导。明确岩头乡政务公开领导小组成员及工作职责，政务公开领导小组由乡长任组长，乡党委副书记任副组长，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>相关工作人员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负责落实，成员由各分管副职干部组成，办公室设在乡政府办公室。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2、按照《繁峙县202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年政务公开工作要点》，明确本年政务公开目标任务。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hAnsi="微软雅黑" w:eastAsia="楷体_GB2312" w:cs="楷体_GB2312"/>
          <w:color w:val="555555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微软雅黑" w:eastAsia="楷体_GB2312" w:cs="楷体_GB2312"/>
          <w:color w:val="555555"/>
          <w:sz w:val="32"/>
          <w:szCs w:val="32"/>
          <w:shd w:val="clear" w:color="auto" w:fill="FFFFFF"/>
          <w:lang w:bidi="ar"/>
        </w:rPr>
        <w:t>（四）</w:t>
      </w:r>
      <w:r>
        <w:rPr>
          <w:rFonts w:hint="eastAsia" w:ascii="楷体_GB2312" w:hAnsi="微软雅黑" w:eastAsia="楷体_GB2312" w:cs="楷体_GB2312"/>
          <w:color w:val="555555"/>
          <w:kern w:val="0"/>
          <w:sz w:val="32"/>
          <w:szCs w:val="32"/>
          <w:shd w:val="clear" w:color="auto" w:fill="FFFFFF"/>
          <w:lang w:bidi="ar"/>
        </w:rPr>
        <w:t>平台建设方面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>我乡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</w:rPr>
        <w:t>无网络平台。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asci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楷体_GB2312" w:hAnsi="微软雅黑" w:eastAsia="楷体_GB2312" w:cs="楷体_GB2312"/>
          <w:color w:val="555555"/>
          <w:sz w:val="32"/>
          <w:szCs w:val="32"/>
          <w:shd w:val="clear" w:color="auto" w:fill="FFFFFF"/>
          <w:lang w:bidi="ar"/>
        </w:rPr>
        <w:t>（五）监督保障方面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>严格按照县政府督办要求，依照程序公开政府信息，加强政务公开队伍建设，组织专业培训，开展案例研讨交流，不断提高政务公开工作的质量和水平。明确政府信息公开的申请、受理、审查、处理、答复等各个环节的具体要求，指定专人对各项涉及政务公开的工作进行全覆盖检查并且实时跟进，把信息公开主体责任层层压实。</w:t>
      </w:r>
    </w:p>
    <w:p>
      <w:pPr>
        <w:spacing w:after="156" w:afterLines="5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二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、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主动公开政府信息情况</w:t>
      </w:r>
    </w:p>
    <w:tbl>
      <w:tblPr>
        <w:tblStyle w:val="9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spacing w:after="156" w:afterLines="5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before="156" w:beforeLines="50" w:line="580" w:lineRule="exact"/>
        <w:ind w:firstLine="640" w:firstLineChars="200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收到和处理政府信息公开申请情况</w:t>
      </w: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outset" w:color="auto" w:sz="8" w:space="0"/>
              <w:left w:val="single" w:color="0100FE" w:sz="0" w:space="0"/>
              <w:bottom w:val="dotDash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tcBorders>
              <w:top w:val="single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0100FE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outset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0100FE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outset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0100FE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outset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0100FE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outset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0100FE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outset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0100FE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outset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0100FE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outset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0100FE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outset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0100FE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outset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0100FE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outset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0100FE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outset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0100FE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outset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0100FE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outset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0100FE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outset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0100FE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outset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0100FE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outset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0100FE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outset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0100FE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0100FE" w:sz="0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0100FE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outset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0100FE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outset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0100FE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0100FE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outset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0100FE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outset" w:color="0100FE" w:sz="0" w:space="0"/>
              <w:left w:val="single" w:color="0100FE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spacing w:before="156" w:beforeLines="50" w:line="580" w:lineRule="exact"/>
        <w:ind w:firstLine="640" w:firstLineChars="200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color w:val="333333"/>
          <w:sz w:val="32"/>
          <w:szCs w:val="32"/>
          <w:shd w:val="clear" w:color="auto" w:fill="FFFFFF"/>
        </w:rPr>
        <w:t>五、存在的问题及改进情况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>我乡政府信息公开工作虽然取得了一些成绩，但仍存在一些问题，主要表现在:一是公开的内容不够丰富；二是现有主动公开的政府信息还不够全面，与公众的需求还存在不少距离，公开内容需要进一步深化。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>针对以上问题，我们将在今后的工作中继续采取有力措施，进一步完善工作机制，落实政府信息公开责任，一是加强信息的收集、整理，多种形式对外公开；二是加强政府信息公开业务学习，加大力度推进全乡政府信息公开工作；三是完善政府信息公开制度，加强多种形式的监督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color w:val="333333"/>
          <w:sz w:val="32"/>
          <w:szCs w:val="32"/>
          <w:shd w:val="clear" w:color="auto" w:fill="FFFFFF"/>
        </w:rPr>
        <w:t xml:space="preserve">六、其他需要报告的事项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 xml:space="preserve">无其他需要报告的事项。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 xml:space="preserve">                          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>岩头乡人民政府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00" w:firstLineChars="1500"/>
        <w:textAlignment w:val="auto"/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>年1月</w:t>
      </w:r>
      <w:r>
        <w:rPr>
          <w:rFonts w:hint="default" w:ascii="仿宋_GB2312" w:hAnsi="微软雅黑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微软雅黑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00172A27"/>
    <w:rsid w:val="000D4E58"/>
    <w:rsid w:val="00360753"/>
    <w:rsid w:val="003E63E6"/>
    <w:rsid w:val="0041064E"/>
    <w:rsid w:val="00615B88"/>
    <w:rsid w:val="00756B22"/>
    <w:rsid w:val="008A2BF7"/>
    <w:rsid w:val="00933202"/>
    <w:rsid w:val="009367DC"/>
    <w:rsid w:val="009D2966"/>
    <w:rsid w:val="00A3097F"/>
    <w:rsid w:val="00E54F54"/>
    <w:rsid w:val="00ED263C"/>
    <w:rsid w:val="00EE6E8C"/>
    <w:rsid w:val="02C95343"/>
    <w:rsid w:val="042F4025"/>
    <w:rsid w:val="0701673F"/>
    <w:rsid w:val="09C0454F"/>
    <w:rsid w:val="0AC17AD2"/>
    <w:rsid w:val="0CBC4232"/>
    <w:rsid w:val="141912A6"/>
    <w:rsid w:val="172C7E2B"/>
    <w:rsid w:val="176917FD"/>
    <w:rsid w:val="217827E9"/>
    <w:rsid w:val="23557EF4"/>
    <w:rsid w:val="249F0FA0"/>
    <w:rsid w:val="24AC51C7"/>
    <w:rsid w:val="272F2744"/>
    <w:rsid w:val="2EB61AFE"/>
    <w:rsid w:val="36547CDC"/>
    <w:rsid w:val="38D8159A"/>
    <w:rsid w:val="41F811A2"/>
    <w:rsid w:val="47A472E3"/>
    <w:rsid w:val="485C7F8B"/>
    <w:rsid w:val="4CF566B9"/>
    <w:rsid w:val="4E947ADB"/>
    <w:rsid w:val="4EAF1E3C"/>
    <w:rsid w:val="51E36123"/>
    <w:rsid w:val="55F86D47"/>
    <w:rsid w:val="5B015B20"/>
    <w:rsid w:val="631527E2"/>
    <w:rsid w:val="63EC49A6"/>
    <w:rsid w:val="64C7481A"/>
    <w:rsid w:val="65FE4D00"/>
    <w:rsid w:val="6F662D58"/>
    <w:rsid w:val="70587B7F"/>
    <w:rsid w:val="716B3AAD"/>
    <w:rsid w:val="74286CDC"/>
    <w:rsid w:val="76B50F0D"/>
    <w:rsid w:val="7C0C321E"/>
    <w:rsid w:val="7E0973CE"/>
    <w:rsid w:val="BD7DC8AC"/>
    <w:rsid w:val="FEFBA497"/>
    <w:rsid w:val="FEFD3F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</w:rPr>
  </w:style>
  <w:style w:type="paragraph" w:styleId="4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 w:cs="Times New Roman"/>
      <w:b/>
      <w:sz w:val="32"/>
    </w:rPr>
  </w:style>
  <w:style w:type="paragraph" w:styleId="5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rFonts w:ascii="Calibri" w:hAnsi="Calibri" w:eastAsia="宋体" w:cs="Times New Roman"/>
      <w:b/>
      <w:sz w:val="32"/>
    </w:rPr>
  </w:style>
  <w:style w:type="paragraph" w:styleId="2">
    <w:name w:val="heading 5"/>
    <w:basedOn w:val="1"/>
    <w:next w:val="1"/>
    <w:uiPriority w:val="0"/>
    <w:pPr>
      <w:keepNext/>
      <w:keepLines/>
      <w:spacing w:before="280" w:after="290" w:line="376" w:lineRule="auto"/>
      <w:outlineLvl w:val="4"/>
    </w:pPr>
    <w:rPr>
      <w:rFonts w:ascii="Calibri" w:hAnsi="Calibri" w:eastAsia="宋体" w:cs="Times New Roman"/>
      <w:b/>
      <w:bCs/>
      <w:sz w:val="28"/>
      <w:szCs w:val="28"/>
    </w:rPr>
  </w:style>
  <w:style w:type="character" w:default="1" w:styleId="10">
    <w:name w:val="Default Paragraph Font"/>
    <w:uiPriority w:val="0"/>
    <w:rPr>
      <w:rFonts w:ascii="Calibri" w:hAnsi="Calibri" w:eastAsia="宋体" w:cs="Times New Roman"/>
    </w:rPr>
  </w:style>
  <w:style w:type="table" w:default="1" w:styleId="9">
    <w:name w:val="Normal Table"/>
    <w:uiPriority w:val="0"/>
    <w:rPr>
      <w:rFonts w:ascii="Calibri" w:hAnsi="Calibri" w:eastAsia="宋体" w:cs="Times New Roman"/>
    </w:rPr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8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character" w:styleId="11">
    <w:name w:val="FollowedHyperlink"/>
    <w:uiPriority w:val="0"/>
    <w:rPr>
      <w:rFonts w:ascii="Calibri" w:hAnsi="Calibri" w:eastAsia="宋体" w:cs="Times New Roman"/>
      <w:color w:val="000000"/>
      <w:u w:val="none"/>
    </w:rPr>
  </w:style>
  <w:style w:type="character" w:styleId="12">
    <w:name w:val="Hyperlink"/>
    <w:uiPriority w:val="0"/>
    <w:rPr>
      <w:rFonts w:ascii="Calibri" w:hAnsi="Calibri" w:eastAsia="宋体" w:cs="Times New Roman"/>
      <w:color w:val="000000"/>
      <w:u w:val="none"/>
    </w:rPr>
  </w:style>
  <w:style w:type="character" w:customStyle="1" w:styleId="13">
    <w:name w:val="first-child"/>
    <w:uiPriority w:val="0"/>
    <w:rPr>
      <w:rFonts w:ascii="Calibri" w:hAnsi="Calibri" w:eastAsia="宋体" w:cs="Times New Roman"/>
    </w:rPr>
  </w:style>
  <w:style w:type="character" w:customStyle="1" w:styleId="14">
    <w:name w:val="layui-layer-tabnow"/>
    <w:uiPriority w:val="0"/>
    <w:rPr>
      <w:rFonts w:ascii="Calibri" w:hAnsi="Calibri" w:eastAsia="宋体" w:cs="Times New Roman"/>
      <w:bdr w:val="single" w:color="CCCCCC" w:sz="4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5</Pages>
  <Words>411</Words>
  <Characters>2343</Characters>
  <Lines>19</Lines>
  <Paragraphs>5</Paragraphs>
  <TotalTime>2</TotalTime>
  <ScaleCrop>false</ScaleCrop>
  <LinksUpToDate>false</LinksUpToDate>
  <CharactersWithSpaces>2749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左</cp:lastModifiedBy>
  <cp:lastPrinted>2024-01-15T09:32:45Z</cp:lastPrinted>
  <dcterms:modified xsi:type="dcterms:W3CDTF">2024-01-24T10:30:42Z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66F23AA4F39B42AB93BA849A634DA547_13</vt:lpwstr>
  </property>
</Properties>
</file>