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7" w:beforeLines="50" w:after="157" w:after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bookmarkStart w:id="0" w:name="_Hlk42383736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-457200</wp:posOffset>
                </wp:positionV>
                <wp:extent cx="594995" cy="59893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9893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300"/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  <w:t xml:space="preserve"> - 28 -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-36pt;height:471.6pt;width:46.85pt;z-index:251661312;mso-width-relative:page;mso-height-relative:page;" filled="f" stroked="f" coordsize="21600,21600" o:gfxdata="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BmeF/cAAAACwEAAA8AAAAAAAAAAQAgAAAAIgAAAGRycy9kb3ducmV2&#10;LnhtbFBLAQIUABQAAAAIAIdO4kA6CigOvwEAAGYDAAAOAAAAAAAAAAEAIAAAACsBAABkcnMvZTJv&#10;RG9jLnhtbFBLBQYAAAAABgAGAFkBAABcBQAAAAA=&#10;">
                <v:path/>
                <v:fill on="f" focussize="0,0"/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840" w:firstLineChars="300"/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val="en-US" w:eastAsia="zh-CN"/>
                        </w:rPr>
                        <w:t xml:space="preserve"> - 28 -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-487045</wp:posOffset>
                </wp:positionV>
                <wp:extent cx="1184910" cy="4235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4235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outlineLvl w:val="0"/>
                              <w:rPr>
                                <w:rFonts w:hint="eastAsia" w:ascii="黑体" w:hAnsi="黑体" w:eastAsia="黑体" w:cs="黑体"/>
                                <w:kern w:val="0"/>
                                <w:sz w:val="32"/>
                                <w:szCs w:val="32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32"/>
                                <w:szCs w:val="32"/>
                                <w:lang w:bidi="ar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5pt;margin-top:-38.35pt;height:33.35pt;width:93.3pt;z-index:251660288;mso-width-relative:page;mso-height-relative:page;" filled="f" stroked="f" coordsize="21600,21600" o:gfxdata="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bm+ltwAAAAJAQAADwAAAAAAAAABACAAAAAiAAAAZHJzL2Rvd25yZXYueG1sUEsBAhQA&#10;FAAAAAgAh07iQIXv4+21AQAAWAMAAA4AAAAAAAAAAQAgAAAAKwEAAGRycy9lMm9Eb2MueG1sUEsF&#10;BgAAAAAGAAYAWQEAAFIFAAAAAA==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outlineLvl w:val="0"/>
                        <w:rPr>
                          <w:rFonts w:hint="eastAsia" w:ascii="黑体" w:hAnsi="黑体" w:eastAsia="黑体" w:cs="黑体"/>
                          <w:kern w:val="0"/>
                          <w:sz w:val="32"/>
                          <w:szCs w:val="32"/>
                          <w:lang w:eastAsia="zh-CN" w:bidi="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32"/>
                          <w:szCs w:val="32"/>
                          <w:lang w:bidi="ar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地震灾害分级及对应县级响应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325"/>
        <w:gridCol w:w="4243"/>
        <w:gridCol w:w="284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灾害分级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一般</w:t>
            </w:r>
          </w:p>
        </w:tc>
        <w:tc>
          <w:tcPr>
            <w:tcW w:w="42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较大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重大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特别重大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分级标准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人口较密集地区发生4.0～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4.5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级地震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或地震灾害造成10人以下死亡（含失踪）。</w:t>
            </w:r>
          </w:p>
        </w:tc>
        <w:tc>
          <w:tcPr>
            <w:tcW w:w="424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人口较密集地区发生5.0～6.0级地震，人口密集地区发生4.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～5.0级地震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或地震造成10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 w:bidi="ar"/>
              </w:rPr>
              <w:t>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50人死亡（含失踪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。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人口较密集地区发生6.0～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7.0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地震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，人口密集地区发生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.0～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6.0级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地震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或地震造成50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300人死亡（含失踪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。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人口密集地区发生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 w:bidi="ar"/>
              </w:rPr>
              <w:t>.0级以上地震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ar"/>
              </w:rPr>
              <w:t>或地震造成300以上人死亡（含失踪）。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县级响应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四级响应</w:t>
            </w:r>
          </w:p>
        </w:tc>
        <w:tc>
          <w:tcPr>
            <w:tcW w:w="42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三级响应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二级响应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一级响应</w:t>
            </w:r>
          </w:p>
        </w:tc>
      </w:tr>
    </w:tbl>
    <w:p>
      <w:pPr>
        <w:spacing w:after="161" w:afterLines="50" w:line="400" w:lineRule="atLeas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宋体" w:hAnsi="宋体" w:cs="宋体"/>
          <w:kern w:val="0"/>
          <w:sz w:val="24"/>
          <w:lang w:bidi="ar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说明：1、人口密集地区</w:t>
      </w:r>
      <w:r>
        <w:rPr>
          <w:rFonts w:hint="eastAsia" w:ascii="仿宋" w:hAnsi="仿宋" w:eastAsia="仿宋" w:cs="宋体"/>
          <w:sz w:val="28"/>
          <w:szCs w:val="28"/>
        </w:rPr>
        <w:t>专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指设</w:t>
      </w:r>
      <w:r>
        <w:rPr>
          <w:rFonts w:hint="eastAsia" w:ascii="仿宋" w:hAnsi="仿宋" w:eastAsia="仿宋" w:cs="宋体"/>
          <w:sz w:val="28"/>
          <w:szCs w:val="28"/>
        </w:rPr>
        <w:t>县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的城区，其余地区为人口较密集区。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2098" w:right="1474" w:bottom="1984" w:left="1587" w:header="851" w:footer="1134" w:gutter="0"/>
          <w:pgNumType w:fmt="numberInDash"/>
          <w:cols w:space="720" w:num="1"/>
          <w:titlePg/>
          <w:rtlGutter w:val="0"/>
          <w:docGrid w:type="lines" w:linePitch="32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11D16AC6"/>
    <w:rsid w:val="11D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2024-03-07T08:34:00Z</dcterms:created>
  <dc:creator>左</dc:creator>
  <cp:lastModifiedBy>左</cp:lastModifiedBy>
  <dcterms:modified xsi:type="dcterms:W3CDTF">2024-03-07T08:34:46Z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39F140B0223C45C193DFBB2B966AFCFD_11</vt:lpwstr>
  </property>
</Properties>
</file>