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Times New Roman" w:hAnsi="Times New Roman" w:eastAsia="方正小标宋简体" w:cs="Times New Roman"/>
          <w:bCs/>
          <w:color w:val="000000"/>
          <w:sz w:val="44"/>
          <w:szCs w:val="44"/>
        </w:rPr>
      </w:pPr>
      <w:bookmarkStart w:id="0" w:name="_GoBack"/>
      <w:r>
        <w:rPr>
          <w:rFonts w:hint="eastAsia" w:ascii="方正小标宋_GBK" w:hAnsi="方正小标宋_GBK" w:eastAsia="方正小标宋_GBK" w:cs="方正小标宋_GBK"/>
          <w:w w:val="95"/>
          <w:sz w:val="44"/>
          <w:szCs w:val="44"/>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-467360</wp:posOffset>
                </wp:positionV>
                <wp:extent cx="1163955" cy="4235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163955" cy="423545"/>
                        </a:xfrm>
                        <a:prstGeom prst="rect">
                          <a:avLst/>
                        </a:prstGeom>
                        <a:noFill/>
                        <a:ln>
                          <a:noFill/>
                        </a:ln>
                      </wps:spPr>
                      <wps:txbx>
                        <w:txbxContent>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繁政办发〔2023〕</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号</w:t>
                            </w:r>
                          </w:p>
                          <w:p>
                            <w:pPr>
                              <w:spacing w:line="560" w:lineRule="exact"/>
                              <w:ind w:firstLine="640" w:firstLineChars="200"/>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eastAsia="仿宋_GB2312"/>
                                <w:color w:val="000000"/>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繁峙县人民政府办公室</w:t>
                            </w:r>
                          </w:p>
                          <w:p>
                            <w:pPr>
                              <w:spacing w:line="56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关于印发</w:t>
                            </w:r>
                            <w:r>
                              <w:rPr>
                                <w:rFonts w:hint="eastAsia" w:ascii="方正小标宋简体" w:hAnsi="方正小标宋简体" w:eastAsia="方正小标宋简体" w:cs="方正小标宋简体"/>
                                <w:spacing w:val="-6"/>
                                <w:sz w:val="44"/>
                                <w:szCs w:val="44"/>
                                <w:lang w:eastAsia="zh-CN"/>
                              </w:rPr>
                              <w:t>繁峙县</w:t>
                            </w:r>
                            <w:r>
                              <w:rPr>
                                <w:rFonts w:hint="eastAsia" w:ascii="方正小标宋简体" w:hAnsi="方正小标宋简体" w:eastAsia="方正小标宋简体" w:cs="方正小标宋简体"/>
                                <w:spacing w:val="-6"/>
                                <w:sz w:val="44"/>
                                <w:szCs w:val="44"/>
                              </w:rPr>
                              <w:t>林业</w:t>
                            </w:r>
                            <w:r>
                              <w:rPr>
                                <w:rFonts w:hint="eastAsia" w:ascii="方正小标宋简体" w:hAnsi="方正小标宋简体" w:eastAsia="方正小标宋简体" w:cs="方正小标宋简体"/>
                                <w:spacing w:val="-6"/>
                                <w:sz w:val="44"/>
                                <w:szCs w:val="44"/>
                                <w:lang w:eastAsia="zh-CN"/>
                              </w:rPr>
                              <w:t>和草原</w:t>
                            </w:r>
                            <w:r>
                              <w:rPr>
                                <w:rFonts w:hint="eastAsia" w:ascii="方正小标宋简体" w:hAnsi="方正小标宋简体" w:eastAsia="方正小标宋简体" w:cs="方正小标宋简体"/>
                                <w:spacing w:val="-6"/>
                                <w:sz w:val="44"/>
                                <w:szCs w:val="44"/>
                              </w:rPr>
                              <w:t>有害生物灾害</w:t>
                            </w:r>
                          </w:p>
                          <w:p>
                            <w:pPr>
                              <w:spacing w:line="56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应急预案的通知</w:t>
                            </w:r>
                          </w:p>
                          <w:p>
                            <w:pPr>
                              <w:spacing w:line="560" w:lineRule="exact"/>
                              <w:rPr>
                                <w:rFonts w:eastAsia="方正大标宋简体"/>
                                <w:sz w:val="44"/>
                                <w:szCs w:val="44"/>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仿宋_GB2312"/>
                                <w:sz w:val="32"/>
                                <w:szCs w:val="32"/>
                                <w:lang w:val="zh-CN"/>
                              </w:rPr>
                            </w:pPr>
                            <w:r>
                              <w:rPr>
                                <w:rFonts w:eastAsia="仿宋_GB2312"/>
                                <w:sz w:val="32"/>
                                <w:szCs w:val="32"/>
                                <w:lang w:val="zh-CN"/>
                              </w:rPr>
                              <w:t>各</w:t>
                            </w:r>
                            <w:r>
                              <w:rPr>
                                <w:rFonts w:hint="eastAsia" w:eastAsia="仿宋_GB2312"/>
                                <w:sz w:val="32"/>
                                <w:szCs w:val="32"/>
                              </w:rPr>
                              <w:t>乡</w:t>
                            </w:r>
                            <w:r>
                              <w:rPr>
                                <w:rFonts w:eastAsia="仿宋_GB2312"/>
                                <w:sz w:val="32"/>
                                <w:szCs w:val="32"/>
                                <w:lang w:val="zh-CN"/>
                              </w:rPr>
                              <w:t>（</w:t>
                            </w:r>
                            <w:r>
                              <w:rPr>
                                <w:rFonts w:hint="eastAsia" w:eastAsia="仿宋_GB2312"/>
                                <w:sz w:val="32"/>
                                <w:szCs w:val="32"/>
                              </w:rPr>
                              <w:t>镇</w:t>
                            </w:r>
                            <w:r>
                              <w:rPr>
                                <w:rFonts w:eastAsia="仿宋_GB2312"/>
                                <w:sz w:val="32"/>
                                <w:szCs w:val="32"/>
                                <w:lang w:val="zh-CN"/>
                              </w:rPr>
                              <w:t>）人民政府，经济</w:t>
                            </w:r>
                            <w:r>
                              <w:rPr>
                                <w:rFonts w:hint="eastAsia" w:eastAsia="仿宋_GB2312"/>
                                <w:sz w:val="32"/>
                                <w:szCs w:val="32"/>
                              </w:rPr>
                              <w:t>技术</w:t>
                            </w:r>
                            <w:r>
                              <w:rPr>
                                <w:rFonts w:eastAsia="仿宋_GB2312"/>
                                <w:sz w:val="32"/>
                                <w:szCs w:val="32"/>
                                <w:lang w:val="zh-CN"/>
                              </w:rPr>
                              <w:t>开发区</w:t>
                            </w:r>
                            <w:r>
                              <w:rPr>
                                <w:rFonts w:hint="eastAsia" w:eastAsia="仿宋_GB2312"/>
                                <w:sz w:val="32"/>
                                <w:szCs w:val="32"/>
                              </w:rPr>
                              <w:t>管委会</w:t>
                            </w:r>
                            <w:r>
                              <w:rPr>
                                <w:rFonts w:hint="eastAsia" w:eastAsia="仿宋_GB2312"/>
                                <w:sz w:val="32"/>
                                <w:szCs w:val="32"/>
                                <w:lang w:val="zh-CN"/>
                              </w:rPr>
                              <w:t>，县</w:t>
                            </w:r>
                            <w:r>
                              <w:rPr>
                                <w:rFonts w:hint="eastAsia" w:eastAsia="仿宋_GB2312"/>
                                <w:sz w:val="32"/>
                                <w:szCs w:val="32"/>
                              </w:rPr>
                              <w:t>政府各局、办、中心</w:t>
                            </w:r>
                            <w:r>
                              <w:rPr>
                                <w:rFonts w:eastAsia="仿宋_GB2312"/>
                                <w:sz w:val="32"/>
                                <w:szCs w:val="32"/>
                                <w:lang w:val="zh-CN"/>
                              </w:rPr>
                              <w:t>：</w:t>
                            </w:r>
                          </w:p>
                          <w:p>
                            <w:pPr>
                              <w:keepNext w:val="0"/>
                              <w:keepLines w:val="0"/>
                              <w:pageBreakBefore w:val="0"/>
                              <w:widowControl w:val="0"/>
                              <w:kinsoku/>
                              <w:overflowPunct/>
                              <w:topLinePunct w:val="0"/>
                              <w:autoSpaceDE/>
                              <w:autoSpaceDN/>
                              <w:bidi w:val="0"/>
                              <w:adjustRightInd/>
                              <w:snapToGrid/>
                              <w:spacing w:line="560" w:lineRule="exact"/>
                              <w:ind w:firstLine="646"/>
                              <w:textAlignment w:val="auto"/>
                              <w:rPr>
                                <w:rFonts w:eastAsia="仿宋_GB2312"/>
                                <w:sz w:val="32"/>
                                <w:szCs w:val="32"/>
                                <w:lang w:val="zh-CN"/>
                              </w:rPr>
                            </w:pPr>
                            <w:r>
                              <w:rPr>
                                <w:rFonts w:eastAsia="仿宋_GB2312"/>
                                <w:sz w:val="32"/>
                                <w:szCs w:val="32"/>
                                <w:lang w:val="zh-CN"/>
                              </w:rPr>
                              <w:t>新修订的《</w:t>
                            </w:r>
                            <w:r>
                              <w:rPr>
                                <w:rFonts w:hint="eastAsia" w:eastAsia="仿宋_GB2312"/>
                                <w:sz w:val="32"/>
                                <w:szCs w:val="32"/>
                                <w:lang w:val="zh-CN" w:eastAsia="zh-CN"/>
                              </w:rPr>
                              <w:t>繁峙县</w:t>
                            </w:r>
                            <w:r>
                              <w:rPr>
                                <w:rFonts w:hint="eastAsia" w:eastAsia="仿宋_GB2312"/>
                                <w:sz w:val="32"/>
                                <w:szCs w:val="32"/>
                                <w:lang w:val="zh-CN"/>
                              </w:rPr>
                              <w:t>林业</w:t>
                            </w:r>
                            <w:r>
                              <w:rPr>
                                <w:rFonts w:hint="eastAsia" w:eastAsia="仿宋_GB2312"/>
                                <w:sz w:val="32"/>
                                <w:szCs w:val="32"/>
                                <w:lang w:val="zh-CN" w:eastAsia="zh-CN"/>
                              </w:rPr>
                              <w:t>和草原</w:t>
                            </w:r>
                            <w:r>
                              <w:rPr>
                                <w:rFonts w:hint="eastAsia" w:eastAsia="仿宋_GB2312"/>
                                <w:sz w:val="32"/>
                                <w:szCs w:val="32"/>
                                <w:lang w:val="zh-CN"/>
                              </w:rPr>
                              <w:t>有害生物灾害应急预案</w:t>
                            </w:r>
                            <w:r>
                              <w:rPr>
                                <w:rFonts w:eastAsia="仿宋_GB2312"/>
                                <w:sz w:val="32"/>
                                <w:szCs w:val="32"/>
                                <w:lang w:val="zh-CN"/>
                              </w:rPr>
                              <w:t>》已经</w:t>
                            </w:r>
                            <w:r>
                              <w:rPr>
                                <w:rFonts w:hint="eastAsia" w:eastAsia="仿宋_GB2312"/>
                                <w:sz w:val="32"/>
                                <w:szCs w:val="32"/>
                                <w:lang w:val="zh-CN"/>
                              </w:rPr>
                              <w:t>县</w:t>
                            </w:r>
                            <w:r>
                              <w:rPr>
                                <w:rFonts w:eastAsia="仿宋_GB2312"/>
                                <w:sz w:val="32"/>
                                <w:szCs w:val="32"/>
                                <w:lang w:val="zh-CN"/>
                              </w:rPr>
                              <w:t>政府同意，现印发给你们，请认真贯彻执行。</w:t>
                            </w:r>
                          </w:p>
                          <w:p>
                            <w:pPr>
                              <w:keepNext w:val="0"/>
                              <w:keepLines w:val="0"/>
                              <w:pageBreakBefore w:val="0"/>
                              <w:widowControl w:val="0"/>
                              <w:kinsoku/>
                              <w:wordWrap/>
                              <w:overflowPunct/>
                              <w:topLinePunct w:val="0"/>
                              <w:autoSpaceDE/>
                              <w:autoSpaceDN/>
                              <w:bidi w:val="0"/>
                              <w:adjustRightInd/>
                              <w:snapToGrid/>
                              <w:spacing w:line="400" w:lineRule="exact"/>
                              <w:ind w:firstLine="624"/>
                              <w:textAlignment w:val="auto"/>
                              <w:rPr>
                                <w:rFonts w:eastAsia="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400" w:lineRule="exact"/>
                              <w:ind w:firstLine="624"/>
                              <w:textAlignment w:val="auto"/>
                              <w:rPr>
                                <w:rFonts w:eastAsia="仿宋_GB2312"/>
                                <w:sz w:val="32"/>
                                <w:szCs w:val="32"/>
                                <w:lang w:val="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eastAsia="仿宋_GB2312"/>
                                <w:sz w:val="32"/>
                                <w:szCs w:val="32"/>
                                <w:lang w:val="zh-CN"/>
                              </w:rPr>
                            </w:pPr>
                            <w:r>
                              <w:rPr>
                                <w:rFonts w:hint="eastAsia" w:eastAsia="仿宋_GB2312"/>
                                <w:sz w:val="32"/>
                                <w:szCs w:val="32"/>
                                <w:lang w:val="en-US" w:eastAsia="zh-CN"/>
                              </w:rPr>
                              <w:t xml:space="preserve">                         </w:t>
                            </w:r>
                            <w:r>
                              <w:rPr>
                                <w:rFonts w:hint="eastAsia" w:eastAsia="仿宋_GB2312"/>
                                <w:sz w:val="32"/>
                                <w:szCs w:val="32"/>
                                <w:lang w:val="zh-CN"/>
                              </w:rPr>
                              <w:t>繁峙县</w:t>
                            </w:r>
                            <w:r>
                              <w:rPr>
                                <w:rFonts w:eastAsia="仿宋_GB2312"/>
                                <w:sz w:val="32"/>
                                <w:szCs w:val="32"/>
                                <w:lang w:val="zh-CN"/>
                              </w:rPr>
                              <w:t>人民政府办公室</w:t>
                            </w:r>
                            <w:r>
                              <w:rPr>
                                <w:rFonts w:hint="eastAsia" w:eastAsia="仿宋_GB2312"/>
                                <w:sz w:val="32"/>
                                <w:szCs w:val="32"/>
                                <w:lang w:val="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eastAsia="仿宋_GB2312"/>
                                <w:sz w:val="32"/>
                                <w:szCs w:val="32"/>
                                <w:lang w:val="zh-CN"/>
                              </w:rPr>
                            </w:pPr>
                            <w:r>
                              <w:rPr>
                                <w:rFonts w:hint="eastAsia" w:eastAsia="仿宋_GB2312"/>
                                <w:sz w:val="32"/>
                                <w:szCs w:val="32"/>
                                <w:lang w:val="en-US" w:eastAsia="zh-CN"/>
                              </w:rPr>
                              <w:t xml:space="preserve">                          </w:t>
                            </w:r>
                            <w:r>
                              <w:rPr>
                                <w:rFonts w:hint="eastAsia" w:ascii="仿宋_GB2312" w:hAnsi="仿宋_GB2312" w:eastAsia="仿宋_GB2312" w:cs="仿宋_GB2312"/>
                                <w:sz w:val="32"/>
                                <w:szCs w:val="32"/>
                                <w:lang w:val="zh-CN"/>
                              </w:rPr>
                              <w:t>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val="zh-CN"/>
                              </w:rPr>
                              <w:t>日</w:t>
                            </w:r>
                            <w:r>
                              <w:rPr>
                                <w:rFonts w:hint="eastAsia" w:eastAsia="仿宋_GB2312"/>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eastAsia="仿宋_GB2312"/>
                                <w:color w:val="FFFFFF"/>
                                <w:sz w:val="32"/>
                                <w:szCs w:val="32"/>
                                <w:lang w:val="zh-CN"/>
                              </w:rPr>
                            </w:pPr>
                            <w:r>
                              <w:rPr>
                                <w:rFonts w:eastAsia="仿宋_GB2312"/>
                                <w:color w:val="FFFFFF"/>
                                <w:sz w:val="32"/>
                                <w:szCs w:val="32"/>
                              </w:rPr>
                              <w:t>（此件公开发布）</w:t>
                            </w:r>
                          </w:p>
                          <w:p/>
                        </w:txbxContent>
                      </wps:txbx>
                      <wps:bodyPr upright="1"/>
                    </wps:wsp>
                  </a:graphicData>
                </a:graphic>
              </wp:anchor>
            </w:drawing>
          </mc:Choice>
          <mc:Fallback>
            <w:pict>
              <v:shape id="_x0000_s1026" o:spid="_x0000_s1026" o:spt="202" type="#_x0000_t202" style="position:absolute;left:0pt;margin-left:-5.6pt;margin-top:-36.8pt;height:33.35pt;width:91.65pt;z-index:251659264;mso-width-relative:page;mso-height-relative:page;" filled="f" stroked="f" coordsize="21600,21600" o:gfxdata="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EMjeX1wAA&#10;AAoBAAAPAAAAAAAAAAEAIAAAACIAAABkcnMvZG93bnJldi54bWxQSwECFAAUAAAACACHTuJA+zdw&#10;r60BAABOAwAADgAAAAAAAAABACAAAAAmAQAAZHJzL2Uyb0RvYy54bWxQSwUGAAAAAAYABgBZAQAA&#10;RQUAAAAA&#10;">
                <v:fill on="f" focussize="0,0"/>
                <v:stroke on="f"/>
                <v:imagedata o:title=""/>
                <o:lock v:ext="edit" aspectratio="f"/>
                <v:textbox>
                  <w:txbxContent>
                    <w:p>
                      <w:pPr>
                        <w:spacing w:line="560" w:lineRule="exac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附件5</w:t>
                      </w: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spacing w:line="560" w:lineRule="exact"/>
                        <w:ind w:firstLine="640" w:firstLineChars="200"/>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繁政办发〔2023〕</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号</w:t>
                      </w:r>
                    </w:p>
                    <w:p>
                      <w:pPr>
                        <w:spacing w:line="560" w:lineRule="exact"/>
                        <w:ind w:firstLine="640" w:firstLineChars="200"/>
                        <w:rPr>
                          <w:rFonts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eastAsia="仿宋_GB2312"/>
                          <w:color w:val="000000"/>
                          <w:sz w:val="32"/>
                          <w:szCs w:val="32"/>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繁峙县人民政府办公室</w:t>
                      </w:r>
                    </w:p>
                    <w:p>
                      <w:pPr>
                        <w:spacing w:line="56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关于印发</w:t>
                      </w:r>
                      <w:r>
                        <w:rPr>
                          <w:rFonts w:hint="eastAsia" w:ascii="方正小标宋简体" w:hAnsi="方正小标宋简体" w:eastAsia="方正小标宋简体" w:cs="方正小标宋简体"/>
                          <w:spacing w:val="-6"/>
                          <w:sz w:val="44"/>
                          <w:szCs w:val="44"/>
                          <w:lang w:eastAsia="zh-CN"/>
                        </w:rPr>
                        <w:t>繁峙县</w:t>
                      </w:r>
                      <w:r>
                        <w:rPr>
                          <w:rFonts w:hint="eastAsia" w:ascii="方正小标宋简体" w:hAnsi="方正小标宋简体" w:eastAsia="方正小标宋简体" w:cs="方正小标宋简体"/>
                          <w:spacing w:val="-6"/>
                          <w:sz w:val="44"/>
                          <w:szCs w:val="44"/>
                        </w:rPr>
                        <w:t>林业</w:t>
                      </w:r>
                      <w:r>
                        <w:rPr>
                          <w:rFonts w:hint="eastAsia" w:ascii="方正小标宋简体" w:hAnsi="方正小标宋简体" w:eastAsia="方正小标宋简体" w:cs="方正小标宋简体"/>
                          <w:spacing w:val="-6"/>
                          <w:sz w:val="44"/>
                          <w:szCs w:val="44"/>
                          <w:lang w:eastAsia="zh-CN"/>
                        </w:rPr>
                        <w:t>和草原</w:t>
                      </w:r>
                      <w:r>
                        <w:rPr>
                          <w:rFonts w:hint="eastAsia" w:ascii="方正小标宋简体" w:hAnsi="方正小标宋简体" w:eastAsia="方正小标宋简体" w:cs="方正小标宋简体"/>
                          <w:spacing w:val="-6"/>
                          <w:sz w:val="44"/>
                          <w:szCs w:val="44"/>
                        </w:rPr>
                        <w:t>有害生物灾害</w:t>
                      </w:r>
                    </w:p>
                    <w:p>
                      <w:pPr>
                        <w:spacing w:line="560" w:lineRule="exact"/>
                        <w:jc w:val="center"/>
                        <w:rPr>
                          <w:rFonts w:hint="eastAsia"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应急预案的通知</w:t>
                      </w:r>
                    </w:p>
                    <w:p>
                      <w:pPr>
                        <w:spacing w:line="560" w:lineRule="exact"/>
                        <w:rPr>
                          <w:rFonts w:eastAsia="方正大标宋简体"/>
                          <w:sz w:val="44"/>
                          <w:szCs w:val="44"/>
                        </w:rPr>
                      </w:pPr>
                    </w:p>
                    <w:p>
                      <w:pPr>
                        <w:keepNext w:val="0"/>
                        <w:keepLines w:val="0"/>
                        <w:pageBreakBefore w:val="0"/>
                        <w:widowControl w:val="0"/>
                        <w:kinsoku/>
                        <w:overflowPunct/>
                        <w:topLinePunct w:val="0"/>
                        <w:autoSpaceDE/>
                        <w:autoSpaceDN/>
                        <w:bidi w:val="0"/>
                        <w:adjustRightInd/>
                        <w:snapToGrid/>
                        <w:spacing w:line="560" w:lineRule="exact"/>
                        <w:textAlignment w:val="auto"/>
                        <w:rPr>
                          <w:rFonts w:eastAsia="仿宋_GB2312"/>
                          <w:sz w:val="32"/>
                          <w:szCs w:val="32"/>
                          <w:lang w:val="zh-CN"/>
                        </w:rPr>
                      </w:pPr>
                      <w:r>
                        <w:rPr>
                          <w:rFonts w:eastAsia="仿宋_GB2312"/>
                          <w:sz w:val="32"/>
                          <w:szCs w:val="32"/>
                          <w:lang w:val="zh-CN"/>
                        </w:rPr>
                        <w:t>各</w:t>
                      </w:r>
                      <w:r>
                        <w:rPr>
                          <w:rFonts w:hint="eastAsia" w:eastAsia="仿宋_GB2312"/>
                          <w:sz w:val="32"/>
                          <w:szCs w:val="32"/>
                        </w:rPr>
                        <w:t>乡</w:t>
                      </w:r>
                      <w:r>
                        <w:rPr>
                          <w:rFonts w:eastAsia="仿宋_GB2312"/>
                          <w:sz w:val="32"/>
                          <w:szCs w:val="32"/>
                          <w:lang w:val="zh-CN"/>
                        </w:rPr>
                        <w:t>（</w:t>
                      </w:r>
                      <w:r>
                        <w:rPr>
                          <w:rFonts w:hint="eastAsia" w:eastAsia="仿宋_GB2312"/>
                          <w:sz w:val="32"/>
                          <w:szCs w:val="32"/>
                        </w:rPr>
                        <w:t>镇</w:t>
                      </w:r>
                      <w:r>
                        <w:rPr>
                          <w:rFonts w:eastAsia="仿宋_GB2312"/>
                          <w:sz w:val="32"/>
                          <w:szCs w:val="32"/>
                          <w:lang w:val="zh-CN"/>
                        </w:rPr>
                        <w:t>）人民政府，经济</w:t>
                      </w:r>
                      <w:r>
                        <w:rPr>
                          <w:rFonts w:hint="eastAsia" w:eastAsia="仿宋_GB2312"/>
                          <w:sz w:val="32"/>
                          <w:szCs w:val="32"/>
                        </w:rPr>
                        <w:t>技术</w:t>
                      </w:r>
                      <w:r>
                        <w:rPr>
                          <w:rFonts w:eastAsia="仿宋_GB2312"/>
                          <w:sz w:val="32"/>
                          <w:szCs w:val="32"/>
                          <w:lang w:val="zh-CN"/>
                        </w:rPr>
                        <w:t>开发区</w:t>
                      </w:r>
                      <w:r>
                        <w:rPr>
                          <w:rFonts w:hint="eastAsia" w:eastAsia="仿宋_GB2312"/>
                          <w:sz w:val="32"/>
                          <w:szCs w:val="32"/>
                        </w:rPr>
                        <w:t>管委会</w:t>
                      </w:r>
                      <w:r>
                        <w:rPr>
                          <w:rFonts w:hint="eastAsia" w:eastAsia="仿宋_GB2312"/>
                          <w:sz w:val="32"/>
                          <w:szCs w:val="32"/>
                          <w:lang w:val="zh-CN"/>
                        </w:rPr>
                        <w:t>，县</w:t>
                      </w:r>
                      <w:r>
                        <w:rPr>
                          <w:rFonts w:hint="eastAsia" w:eastAsia="仿宋_GB2312"/>
                          <w:sz w:val="32"/>
                          <w:szCs w:val="32"/>
                        </w:rPr>
                        <w:t>政府各局、办、中心</w:t>
                      </w:r>
                      <w:r>
                        <w:rPr>
                          <w:rFonts w:eastAsia="仿宋_GB2312"/>
                          <w:sz w:val="32"/>
                          <w:szCs w:val="32"/>
                          <w:lang w:val="zh-CN"/>
                        </w:rPr>
                        <w:t>：</w:t>
                      </w:r>
                    </w:p>
                    <w:p>
                      <w:pPr>
                        <w:keepNext w:val="0"/>
                        <w:keepLines w:val="0"/>
                        <w:pageBreakBefore w:val="0"/>
                        <w:widowControl w:val="0"/>
                        <w:kinsoku/>
                        <w:overflowPunct/>
                        <w:topLinePunct w:val="0"/>
                        <w:autoSpaceDE/>
                        <w:autoSpaceDN/>
                        <w:bidi w:val="0"/>
                        <w:adjustRightInd/>
                        <w:snapToGrid/>
                        <w:spacing w:line="560" w:lineRule="exact"/>
                        <w:ind w:firstLine="646"/>
                        <w:textAlignment w:val="auto"/>
                        <w:rPr>
                          <w:rFonts w:eastAsia="仿宋_GB2312"/>
                          <w:sz w:val="32"/>
                          <w:szCs w:val="32"/>
                          <w:lang w:val="zh-CN"/>
                        </w:rPr>
                      </w:pPr>
                      <w:r>
                        <w:rPr>
                          <w:rFonts w:eastAsia="仿宋_GB2312"/>
                          <w:sz w:val="32"/>
                          <w:szCs w:val="32"/>
                          <w:lang w:val="zh-CN"/>
                        </w:rPr>
                        <w:t>新修订的《</w:t>
                      </w:r>
                      <w:r>
                        <w:rPr>
                          <w:rFonts w:hint="eastAsia" w:eastAsia="仿宋_GB2312"/>
                          <w:sz w:val="32"/>
                          <w:szCs w:val="32"/>
                          <w:lang w:val="zh-CN" w:eastAsia="zh-CN"/>
                        </w:rPr>
                        <w:t>繁峙县</w:t>
                      </w:r>
                      <w:r>
                        <w:rPr>
                          <w:rFonts w:hint="eastAsia" w:eastAsia="仿宋_GB2312"/>
                          <w:sz w:val="32"/>
                          <w:szCs w:val="32"/>
                          <w:lang w:val="zh-CN"/>
                        </w:rPr>
                        <w:t>林业</w:t>
                      </w:r>
                      <w:r>
                        <w:rPr>
                          <w:rFonts w:hint="eastAsia" w:eastAsia="仿宋_GB2312"/>
                          <w:sz w:val="32"/>
                          <w:szCs w:val="32"/>
                          <w:lang w:val="zh-CN" w:eastAsia="zh-CN"/>
                        </w:rPr>
                        <w:t>和草原</w:t>
                      </w:r>
                      <w:r>
                        <w:rPr>
                          <w:rFonts w:hint="eastAsia" w:eastAsia="仿宋_GB2312"/>
                          <w:sz w:val="32"/>
                          <w:szCs w:val="32"/>
                          <w:lang w:val="zh-CN"/>
                        </w:rPr>
                        <w:t>有害生物灾害应急预案</w:t>
                      </w:r>
                      <w:r>
                        <w:rPr>
                          <w:rFonts w:eastAsia="仿宋_GB2312"/>
                          <w:sz w:val="32"/>
                          <w:szCs w:val="32"/>
                          <w:lang w:val="zh-CN"/>
                        </w:rPr>
                        <w:t>》已经</w:t>
                      </w:r>
                      <w:r>
                        <w:rPr>
                          <w:rFonts w:hint="eastAsia" w:eastAsia="仿宋_GB2312"/>
                          <w:sz w:val="32"/>
                          <w:szCs w:val="32"/>
                          <w:lang w:val="zh-CN"/>
                        </w:rPr>
                        <w:t>县</w:t>
                      </w:r>
                      <w:r>
                        <w:rPr>
                          <w:rFonts w:eastAsia="仿宋_GB2312"/>
                          <w:sz w:val="32"/>
                          <w:szCs w:val="32"/>
                          <w:lang w:val="zh-CN"/>
                        </w:rPr>
                        <w:t>政府同意，现印发给你们，请认真贯彻执行。</w:t>
                      </w:r>
                    </w:p>
                    <w:p>
                      <w:pPr>
                        <w:keepNext w:val="0"/>
                        <w:keepLines w:val="0"/>
                        <w:pageBreakBefore w:val="0"/>
                        <w:widowControl w:val="0"/>
                        <w:kinsoku/>
                        <w:wordWrap/>
                        <w:overflowPunct/>
                        <w:topLinePunct w:val="0"/>
                        <w:autoSpaceDE/>
                        <w:autoSpaceDN/>
                        <w:bidi w:val="0"/>
                        <w:adjustRightInd/>
                        <w:snapToGrid/>
                        <w:spacing w:line="400" w:lineRule="exact"/>
                        <w:ind w:firstLine="624"/>
                        <w:textAlignment w:val="auto"/>
                        <w:rPr>
                          <w:rFonts w:eastAsia="仿宋_GB2312"/>
                          <w:sz w:val="32"/>
                          <w:szCs w:val="32"/>
                          <w:lang w:val="zh-CN"/>
                        </w:rPr>
                      </w:pPr>
                    </w:p>
                    <w:p>
                      <w:pPr>
                        <w:keepNext w:val="0"/>
                        <w:keepLines w:val="0"/>
                        <w:pageBreakBefore w:val="0"/>
                        <w:widowControl w:val="0"/>
                        <w:kinsoku/>
                        <w:wordWrap/>
                        <w:overflowPunct/>
                        <w:topLinePunct w:val="0"/>
                        <w:autoSpaceDE/>
                        <w:autoSpaceDN/>
                        <w:bidi w:val="0"/>
                        <w:adjustRightInd/>
                        <w:snapToGrid/>
                        <w:spacing w:line="400" w:lineRule="exact"/>
                        <w:ind w:firstLine="624"/>
                        <w:textAlignment w:val="auto"/>
                        <w:rPr>
                          <w:rFonts w:eastAsia="仿宋_GB2312"/>
                          <w:sz w:val="32"/>
                          <w:szCs w:val="32"/>
                          <w:lang w:val="zh-CN"/>
                        </w:rPr>
                      </w:pP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eastAsia="仿宋_GB2312"/>
                          <w:sz w:val="32"/>
                          <w:szCs w:val="32"/>
                          <w:lang w:val="zh-CN"/>
                        </w:rPr>
                      </w:pPr>
                      <w:r>
                        <w:rPr>
                          <w:rFonts w:hint="eastAsia" w:eastAsia="仿宋_GB2312"/>
                          <w:sz w:val="32"/>
                          <w:szCs w:val="32"/>
                          <w:lang w:val="en-US" w:eastAsia="zh-CN"/>
                        </w:rPr>
                        <w:t xml:space="preserve">                         </w:t>
                      </w:r>
                      <w:r>
                        <w:rPr>
                          <w:rFonts w:hint="eastAsia" w:eastAsia="仿宋_GB2312"/>
                          <w:sz w:val="32"/>
                          <w:szCs w:val="32"/>
                          <w:lang w:val="zh-CN"/>
                        </w:rPr>
                        <w:t>繁峙县</w:t>
                      </w:r>
                      <w:r>
                        <w:rPr>
                          <w:rFonts w:eastAsia="仿宋_GB2312"/>
                          <w:sz w:val="32"/>
                          <w:szCs w:val="32"/>
                          <w:lang w:val="zh-CN"/>
                        </w:rPr>
                        <w:t>人民政府办公室</w:t>
                      </w:r>
                      <w:r>
                        <w:rPr>
                          <w:rFonts w:hint="eastAsia" w:eastAsia="仿宋_GB2312"/>
                          <w:sz w:val="32"/>
                          <w:szCs w:val="32"/>
                          <w:lang w:val="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jc w:val="center"/>
                        <w:textAlignment w:val="auto"/>
                        <w:rPr>
                          <w:rFonts w:eastAsia="仿宋_GB2312"/>
                          <w:sz w:val="32"/>
                          <w:szCs w:val="32"/>
                          <w:lang w:val="zh-CN"/>
                        </w:rPr>
                      </w:pPr>
                      <w:r>
                        <w:rPr>
                          <w:rFonts w:hint="eastAsia" w:eastAsia="仿宋_GB2312"/>
                          <w:sz w:val="32"/>
                          <w:szCs w:val="32"/>
                          <w:lang w:val="en-US" w:eastAsia="zh-CN"/>
                        </w:rPr>
                        <w:t xml:space="preserve">                          </w:t>
                      </w:r>
                      <w:r>
                        <w:rPr>
                          <w:rFonts w:hint="eastAsia" w:ascii="仿宋_GB2312" w:hAnsi="仿宋_GB2312" w:eastAsia="仿宋_GB2312" w:cs="仿宋_GB2312"/>
                          <w:sz w:val="32"/>
                          <w:szCs w:val="32"/>
                          <w:lang w:val="zh-CN"/>
                        </w:rPr>
                        <w:t>2023年</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lang w:val="zh-CN"/>
                        </w:rPr>
                        <w:t>月</w:t>
                      </w:r>
                      <w:r>
                        <w:rPr>
                          <w:rFonts w:hint="eastAsia" w:ascii="仿宋_GB2312" w:hAnsi="仿宋_GB2312" w:eastAsia="仿宋_GB2312" w:cs="仿宋_GB2312"/>
                          <w:sz w:val="32"/>
                          <w:szCs w:val="32"/>
                          <w:lang w:val="en-US" w:eastAsia="zh-CN"/>
                        </w:rPr>
                        <w:t>29</w:t>
                      </w:r>
                      <w:r>
                        <w:rPr>
                          <w:rFonts w:hint="eastAsia" w:ascii="仿宋_GB2312" w:hAnsi="仿宋_GB2312" w:eastAsia="仿宋_GB2312" w:cs="仿宋_GB2312"/>
                          <w:sz w:val="32"/>
                          <w:szCs w:val="32"/>
                          <w:lang w:val="zh-CN"/>
                        </w:rPr>
                        <w:t>日</w:t>
                      </w:r>
                      <w:r>
                        <w:rPr>
                          <w:rFonts w:hint="eastAsia" w:eastAsia="仿宋_GB2312"/>
                          <w:sz w:val="32"/>
                          <w:szCs w:val="32"/>
                          <w:lang w:val="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eastAsia="仿宋_GB2312"/>
                          <w:color w:val="FFFFFF"/>
                          <w:sz w:val="32"/>
                          <w:szCs w:val="32"/>
                          <w:lang w:val="zh-CN"/>
                        </w:rPr>
                      </w:pPr>
                      <w:r>
                        <w:rPr>
                          <w:rFonts w:eastAsia="仿宋_GB2312"/>
                          <w:color w:val="FFFFFF"/>
                          <w:sz w:val="32"/>
                          <w:szCs w:val="32"/>
                        </w:rPr>
                        <w:t>（此件公开发布）</w:t>
                      </w:r>
                    </w:p>
                    <w:p/>
                  </w:txbxContent>
                </v:textbox>
              </v:shape>
            </w:pict>
          </mc:Fallback>
        </mc:AlternateContent>
      </w:r>
      <w:r>
        <w:rPr>
          <w:rFonts w:hint="eastAsia" w:eastAsia="方正小标宋简体" w:cs="Times New Roman"/>
          <w:bCs/>
          <w:color w:val="000000"/>
          <w:sz w:val="44"/>
          <w:szCs w:val="44"/>
          <w:lang w:val="en-US" w:eastAsia="zh-CN"/>
        </w:rPr>
        <w:t>繁</w:t>
      </w:r>
      <w:r>
        <w:rPr>
          <w:sz w:val="44"/>
        </w:rPr>
        <mc:AlternateContent>
          <mc:Choice Requires="wps">
            <w:drawing>
              <wp:anchor distT="0" distB="0" distL="114300" distR="114300" simplePos="0" relativeHeight="251660288" behindDoc="0" locked="0" layoutInCell="1" allowOverlap="1">
                <wp:simplePos x="0" y="0"/>
                <wp:positionH relativeFrom="column">
                  <wp:posOffset>-798830</wp:posOffset>
                </wp:positionH>
                <wp:positionV relativeFrom="paragraph">
                  <wp:posOffset>-930910</wp:posOffset>
                </wp:positionV>
                <wp:extent cx="517525" cy="69932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17525" cy="6993255"/>
                        </a:xfrm>
                        <a:prstGeom prst="rect">
                          <a:avLst/>
                        </a:prstGeom>
                        <a:noFill/>
                        <a:ln>
                          <a:noFill/>
                        </a:ln>
                      </wps:spPr>
                      <wps:txbx>
                        <w:txbxContent>
                          <w:p>
                            <w:pPr>
                              <w:ind w:firstLine="8400" w:firstLineChars="30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- 19 - </w:t>
                            </w:r>
                          </w:p>
                        </w:txbxContent>
                      </wps:txbx>
                      <wps:bodyPr vert="eaVert" upright="1"/>
                    </wps:wsp>
                  </a:graphicData>
                </a:graphic>
              </wp:anchor>
            </w:drawing>
          </mc:Choice>
          <mc:Fallback>
            <w:pict>
              <v:shape id="_x0000_s1026" o:spid="_x0000_s1026" o:spt="202" type="#_x0000_t202" style="position:absolute;left:0pt;margin-left:-62.9pt;margin-top:-73.3pt;height:550.65pt;width:40.75pt;z-index:251660288;mso-width-relative:page;mso-height-relative:page;" filled="f" stroked="f" coordsize="21600,21600" o:gfxdata="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mjUst4AAAANAQAADwAAAAAAAAABACAAAAAiAAAAZHJzL2Rvd25yZXYueG1sUEsB&#10;AhQAFAAAAAgAh07iQBMFpeO2AQAAXAMAAA4AAAAAAAAAAQAgAAAALQEAAGRycy9lMm9Eb2MueG1s&#10;UEsFBgAAAAAGAAYAWQEAAFUFAAAAAA==&#10;">
                <v:fill on="f" focussize="0,0"/>
                <v:stroke on="f"/>
                <v:imagedata o:title=""/>
                <o:lock v:ext="edit" aspectratio="f"/>
                <v:textbox style="layout-flow:vertical-ideographic;">
                  <w:txbxContent>
                    <w:p>
                      <w:pPr>
                        <w:ind w:firstLine="8400" w:firstLineChars="30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- 19 - </w:t>
                      </w:r>
                    </w:p>
                  </w:txbxContent>
                </v:textbox>
              </v:shape>
            </w:pict>
          </mc:Fallback>
        </mc:AlternateContent>
      </w:r>
      <w:r>
        <w:rPr>
          <w:rFonts w:hint="eastAsia" w:eastAsia="方正小标宋简体" w:cs="Times New Roman"/>
          <w:bCs/>
          <w:color w:val="000000"/>
          <w:sz w:val="44"/>
          <w:szCs w:val="44"/>
          <w:lang w:val="en-US" w:eastAsia="zh-CN"/>
        </w:rPr>
        <w:t>峙县</w:t>
      </w:r>
      <w:r>
        <w:rPr>
          <w:rFonts w:hint="default" w:ascii="Times New Roman" w:hAnsi="Times New Roman" w:eastAsia="方正小标宋简体" w:cs="Times New Roman"/>
          <w:bCs/>
          <w:color w:val="000000"/>
          <w:sz w:val="44"/>
          <w:szCs w:val="44"/>
        </w:rPr>
        <w:t>林业和草原有害生物灾害应急响应条件</w:t>
      </w:r>
    </w:p>
    <w:bookmarkEnd w:id="0"/>
    <w:tbl>
      <w:tblPr>
        <w:tblStyle w:val="4"/>
        <w:tblpPr w:leftFromText="180" w:rightFromText="180" w:vertAnchor="text" w:horzAnchor="page" w:tblpX="1230" w:tblpY="228"/>
        <w:tblOverlap w:val="never"/>
        <w:tblW w:w="14344" w:type="dxa"/>
        <w:tblInd w:w="0" w:type="dxa"/>
        <w:tblLayout w:type="fixed"/>
        <w:tblCellMar>
          <w:top w:w="0" w:type="dxa"/>
          <w:left w:w="0" w:type="dxa"/>
          <w:bottom w:w="0" w:type="dxa"/>
          <w:right w:w="0" w:type="dxa"/>
        </w:tblCellMar>
      </w:tblPr>
      <w:tblGrid>
        <w:gridCol w:w="4677"/>
        <w:gridCol w:w="5167"/>
        <w:gridCol w:w="4500"/>
      </w:tblGrid>
      <w:tr>
        <w:tblPrEx>
          <w:tblCellMar>
            <w:top w:w="0" w:type="dxa"/>
            <w:left w:w="0" w:type="dxa"/>
            <w:bottom w:w="0" w:type="dxa"/>
            <w:right w:w="0" w:type="dxa"/>
          </w:tblCellMar>
        </w:tblPrEx>
        <w:trPr>
          <w:trHeight w:val="703" w:hRule="atLeast"/>
        </w:trPr>
        <w:tc>
          <w:tcPr>
            <w:tcW w:w="46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kern w:val="0"/>
                <w:sz w:val="28"/>
                <w:szCs w:val="28"/>
                <w:lang w:eastAsia="zh-CN"/>
              </w:rPr>
              <w:t>三</w:t>
            </w:r>
            <w:r>
              <w:rPr>
                <w:rFonts w:hint="default" w:ascii="Times New Roman" w:hAnsi="Times New Roman" w:eastAsia="黑体" w:cs="Times New Roman"/>
                <w:bCs/>
                <w:color w:val="000000"/>
                <w:kern w:val="0"/>
                <w:sz w:val="28"/>
                <w:szCs w:val="28"/>
              </w:rPr>
              <w:t>级响应</w:t>
            </w:r>
          </w:p>
        </w:tc>
        <w:tc>
          <w:tcPr>
            <w:tcW w:w="51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黑体" w:cs="Times New Roman"/>
                <w:bCs/>
                <w:color w:val="000000"/>
                <w:sz w:val="28"/>
                <w:szCs w:val="28"/>
              </w:rPr>
            </w:pPr>
            <w:r>
              <w:rPr>
                <w:rFonts w:hint="default" w:ascii="Times New Roman" w:hAnsi="Times New Roman" w:eastAsia="黑体" w:cs="Times New Roman"/>
                <w:bCs/>
                <w:color w:val="000000"/>
                <w:kern w:val="0"/>
                <w:sz w:val="28"/>
                <w:szCs w:val="28"/>
                <w:lang w:eastAsia="zh-CN"/>
              </w:rPr>
              <w:t>二</w:t>
            </w:r>
            <w:r>
              <w:rPr>
                <w:rFonts w:hint="default" w:ascii="Times New Roman" w:hAnsi="Times New Roman" w:eastAsia="黑体" w:cs="Times New Roman"/>
                <w:bCs/>
                <w:color w:val="000000"/>
                <w:kern w:val="0"/>
                <w:sz w:val="28"/>
                <w:szCs w:val="28"/>
              </w:rPr>
              <w:t>级响应</w:t>
            </w:r>
          </w:p>
        </w:tc>
        <w:tc>
          <w:tcPr>
            <w:tcW w:w="45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Times New Roman" w:hAnsi="Times New Roman" w:eastAsia="黑体" w:cs="Times New Roman"/>
                <w:bCs/>
                <w:color w:val="000000"/>
                <w:kern w:val="0"/>
                <w:sz w:val="28"/>
                <w:szCs w:val="28"/>
              </w:rPr>
            </w:pPr>
            <w:r>
              <w:rPr>
                <w:rFonts w:hint="default" w:ascii="Times New Roman" w:hAnsi="Times New Roman" w:eastAsia="黑体" w:cs="Times New Roman"/>
                <w:bCs/>
                <w:color w:val="000000"/>
                <w:kern w:val="0"/>
                <w:sz w:val="28"/>
                <w:szCs w:val="28"/>
                <w:lang w:eastAsia="zh-CN"/>
              </w:rPr>
              <w:t>一</w:t>
            </w:r>
            <w:r>
              <w:rPr>
                <w:rFonts w:hint="default" w:ascii="Times New Roman" w:hAnsi="Times New Roman" w:eastAsia="黑体" w:cs="Times New Roman"/>
                <w:bCs/>
                <w:color w:val="000000"/>
                <w:kern w:val="0"/>
                <w:sz w:val="28"/>
                <w:szCs w:val="28"/>
              </w:rPr>
              <w:t>级响应</w:t>
            </w:r>
          </w:p>
        </w:tc>
      </w:tr>
      <w:tr>
        <w:tblPrEx>
          <w:tblCellMar>
            <w:top w:w="0" w:type="dxa"/>
            <w:left w:w="0" w:type="dxa"/>
            <w:bottom w:w="0" w:type="dxa"/>
            <w:right w:w="0" w:type="dxa"/>
          </w:tblCellMar>
        </w:tblPrEx>
        <w:trPr>
          <w:trHeight w:val="6164" w:hRule="atLeast"/>
        </w:trPr>
        <w:tc>
          <w:tcPr>
            <w:tcW w:w="46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480" w:firstLineChars="200"/>
              <w:jc w:val="left"/>
              <w:textAlignment w:val="top"/>
              <w:rPr>
                <w:rFonts w:hint="default" w:ascii="Times New Roman" w:hAnsi="Times New Roman" w:eastAsia="仿宋_GB2312" w:cs="Times New Roman"/>
                <w:color w:val="FF0000"/>
                <w:kern w:val="0"/>
                <w:sz w:val="24"/>
                <w:u w:val="single"/>
              </w:rPr>
            </w:pPr>
            <w:r>
              <w:rPr>
                <w:rFonts w:hint="default" w:ascii="Times New Roman" w:hAnsi="Times New Roman" w:eastAsia="仿宋_GB2312" w:cs="Times New Roman"/>
                <w:color w:val="000000"/>
                <w:kern w:val="0"/>
                <w:sz w:val="24"/>
              </w:rPr>
              <w:t>符</w:t>
            </w:r>
            <w:r>
              <w:rPr>
                <w:rFonts w:hint="default" w:ascii="Times New Roman" w:hAnsi="Times New Roman" w:eastAsia="仿宋_GB2312" w:cs="Times New Roman"/>
                <w:color w:val="000000"/>
                <w:kern w:val="0"/>
                <w:sz w:val="24"/>
                <w:lang w:eastAsia="zh-CN"/>
              </w:rPr>
              <w:t>合下列</w:t>
            </w:r>
            <w:r>
              <w:rPr>
                <w:rFonts w:hint="default" w:ascii="Times New Roman" w:hAnsi="Times New Roman" w:eastAsia="仿宋_GB2312" w:cs="Times New Roman"/>
                <w:color w:val="000000"/>
                <w:kern w:val="0"/>
                <w:sz w:val="24"/>
              </w:rPr>
              <w:t>条件之一时，应启动</w:t>
            </w:r>
            <w:r>
              <w:rPr>
                <w:rFonts w:hint="default" w:ascii="Times New Roman" w:hAnsi="Times New Roman" w:eastAsia="仿宋_GB2312" w:cs="Times New Roman"/>
                <w:color w:val="000000"/>
                <w:kern w:val="0"/>
                <w:sz w:val="24"/>
                <w:lang w:eastAsia="zh-CN"/>
              </w:rPr>
              <w:t>三</w:t>
            </w:r>
            <w:r>
              <w:rPr>
                <w:rFonts w:hint="default" w:ascii="Times New Roman" w:hAnsi="Times New Roman" w:eastAsia="仿宋_GB2312" w:cs="Times New Roman"/>
                <w:color w:val="000000"/>
                <w:kern w:val="0"/>
                <w:sz w:val="24"/>
              </w:rPr>
              <w:t>级响应。</w:t>
            </w:r>
          </w:p>
          <w:p>
            <w:pPr>
              <w:widowControl/>
              <w:ind w:firstLine="480" w:firstLineChars="200"/>
              <w:jc w:val="left"/>
              <w:textAlignment w:val="top"/>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 蔓延速度较快，2个月尚未得到有效控制的一般林业和草原有害生物灾害；</w:t>
            </w:r>
          </w:p>
          <w:p>
            <w:pPr>
              <w:widowControl/>
              <w:ind w:firstLine="480" w:firstLineChars="200"/>
              <w:jc w:val="left"/>
              <w:textAlignment w:val="top"/>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 县与县交界区、县与林局交界区一般林业和草原有害生物灾害，且发生面积较大；</w:t>
            </w:r>
          </w:p>
          <w:p>
            <w:pPr>
              <w:widowControl/>
              <w:ind w:firstLine="480" w:firstLineChars="200"/>
              <w:jc w:val="left"/>
              <w:textAlignment w:val="top"/>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 在县级行政区范围内集中发生的非检疫性有害生物导致叶部受害连片成灾面积1万亩以上、5万亩以下，或枝干受害连片成灾面积0.1万亩以上、0.5万亩以下的；</w:t>
            </w:r>
          </w:p>
          <w:p>
            <w:pPr>
              <w:widowControl/>
              <w:ind w:firstLine="480" w:firstLineChars="200"/>
              <w:jc w:val="left"/>
              <w:textAlignment w:val="top"/>
              <w:rPr>
                <w:rFonts w:hint="default" w:ascii="Times New Roman" w:hAnsi="Times New Roman" w:eastAsia="仿宋_GB2312" w:cs="Times New Roman"/>
                <w:sz w:val="24"/>
              </w:rPr>
            </w:pPr>
            <w:r>
              <w:rPr>
                <w:rFonts w:hint="default" w:ascii="Times New Roman" w:hAnsi="Times New Roman" w:eastAsia="仿宋_GB2312" w:cs="Times New Roman"/>
                <w:color w:val="000000"/>
                <w:kern w:val="0"/>
                <w:sz w:val="24"/>
              </w:rPr>
              <w:t>4. 指在县级行政区域内，草原有害生物的成灾面积达5万亩以上、10万亩以下，或在一定区域内连片成灾面积达3万亩以上、5万亩以下的。</w:t>
            </w:r>
          </w:p>
        </w:tc>
        <w:tc>
          <w:tcPr>
            <w:tcW w:w="516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符合下列条件之一时，应启动</w:t>
            </w:r>
            <w:r>
              <w:rPr>
                <w:rFonts w:hint="default" w:ascii="Times New Roman" w:hAnsi="Times New Roman" w:eastAsia="仿宋_GB2312" w:cs="Times New Roman"/>
                <w:color w:val="000000"/>
                <w:kern w:val="0"/>
                <w:sz w:val="24"/>
                <w:lang w:eastAsia="zh-CN"/>
              </w:rPr>
              <w:t>二</w:t>
            </w:r>
            <w:r>
              <w:rPr>
                <w:rFonts w:hint="default" w:ascii="Times New Roman" w:hAnsi="Times New Roman" w:eastAsia="仿宋_GB2312" w:cs="Times New Roman"/>
                <w:color w:val="000000"/>
                <w:kern w:val="0"/>
                <w:sz w:val="24"/>
              </w:rPr>
              <w:t>级响应。</w:t>
            </w:r>
          </w:p>
          <w:p>
            <w:pPr>
              <w:widowControl/>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1. 蔓延速度快，2个月尚未得到有效控制的较大林业和草原有害生物灾害；</w:t>
            </w:r>
          </w:p>
          <w:p>
            <w:pPr>
              <w:widowControl/>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2. 发生在敏感地区、设区的市与市交界区、市与省直国有林区交界区较大林业和草原有害生物灾害；</w:t>
            </w:r>
          </w:p>
          <w:p>
            <w:pPr>
              <w:widowControl/>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 首次发现疑似国（境）外新传入的有害生物入侵，需进一步确认的；</w:t>
            </w:r>
          </w:p>
          <w:p>
            <w:pPr>
              <w:widowControl/>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 首次发现外来检疫性有害生物传带进入，初判无林木、草地受害，未造成扩散危害。</w:t>
            </w:r>
          </w:p>
          <w:p>
            <w:pPr>
              <w:widowControl/>
              <w:ind w:firstLine="480" w:firstLineChars="200"/>
              <w:jc w:val="left"/>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5. 在市级</w:t>
            </w:r>
            <w:r>
              <w:rPr>
                <w:rFonts w:hint="default" w:ascii="Times New Roman" w:hAnsi="Times New Roman" w:eastAsia="仿宋_GB2312" w:cs="Times New Roman"/>
                <w:color w:val="000000"/>
                <w:kern w:val="0"/>
                <w:sz w:val="24"/>
                <w:lang w:eastAsia="zh-CN"/>
              </w:rPr>
              <w:t>行政区</w:t>
            </w:r>
            <w:r>
              <w:rPr>
                <w:rFonts w:hint="default" w:ascii="Times New Roman" w:hAnsi="Times New Roman" w:eastAsia="仿宋_GB2312" w:cs="Times New Roman"/>
                <w:color w:val="000000"/>
                <w:kern w:val="0"/>
                <w:sz w:val="24"/>
              </w:rPr>
              <w:t>范围内集中发生的非检疫性有害生物导致叶部受害连片成灾面积5万亩以上、15万亩以下，或枝干受害连片成灾面积0.5万亩以上、1.5万亩以下的。</w:t>
            </w:r>
          </w:p>
          <w:p>
            <w:pPr>
              <w:widowControl/>
              <w:ind w:firstLine="480" w:firstLineChars="200"/>
              <w:jc w:val="left"/>
              <w:rPr>
                <w:rFonts w:hint="default" w:ascii="Times New Roman" w:hAnsi="Times New Roman" w:eastAsia="仿宋_GB2312" w:cs="Times New Roman"/>
                <w:b/>
                <w:color w:val="000000"/>
                <w:kern w:val="0"/>
                <w:sz w:val="24"/>
              </w:rPr>
            </w:pPr>
            <w:r>
              <w:rPr>
                <w:rFonts w:hint="default" w:ascii="Times New Roman" w:hAnsi="Times New Roman" w:eastAsia="仿宋_GB2312" w:cs="Times New Roman"/>
                <w:color w:val="000000"/>
                <w:kern w:val="0"/>
                <w:sz w:val="24"/>
              </w:rPr>
              <w:t>6.草原有害生物成灾面积达20万亩以上、50万亩以下的；或在县级行政区域内成灾面积达10万亩以上，20万亩以下的；或一定区域内连片成灾面积达5万亩以上、15万亩以下的。</w:t>
            </w:r>
          </w:p>
        </w:tc>
        <w:tc>
          <w:tcPr>
            <w:tcW w:w="45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idowControl/>
              <w:ind w:firstLine="480" w:firstLineChars="200"/>
              <w:jc w:val="left"/>
              <w:textAlignment w:val="top"/>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符合下列条件之一时，应启动</w:t>
            </w:r>
            <w:r>
              <w:rPr>
                <w:rFonts w:hint="default" w:ascii="Times New Roman" w:hAnsi="Times New Roman" w:eastAsia="仿宋_GB2312" w:cs="Times New Roman"/>
                <w:color w:val="000000"/>
                <w:kern w:val="0"/>
                <w:sz w:val="24"/>
                <w:lang w:eastAsia="zh-CN"/>
              </w:rPr>
              <w:t>一</w:t>
            </w:r>
            <w:r>
              <w:rPr>
                <w:rFonts w:hint="default" w:ascii="Times New Roman" w:hAnsi="Times New Roman" w:eastAsia="仿宋_GB2312" w:cs="Times New Roman"/>
                <w:color w:val="000000"/>
                <w:kern w:val="0"/>
                <w:sz w:val="24"/>
              </w:rPr>
              <w:t>级响应。</w:t>
            </w:r>
          </w:p>
          <w:p>
            <w:pPr>
              <w:widowControl/>
              <w:ind w:firstLine="480" w:firstLineChars="200"/>
              <w:jc w:val="left"/>
              <w:textAlignment w:val="top"/>
              <w:rPr>
                <w:rFonts w:hint="eastAsia"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1. 发生重大</w:t>
            </w:r>
            <w:r>
              <w:rPr>
                <w:rFonts w:hint="eastAsia" w:ascii="Times New Roman" w:hAnsi="Times New Roman" w:eastAsia="仿宋_GB2312" w:cs="Times New Roman"/>
                <w:color w:val="000000"/>
                <w:kern w:val="0"/>
                <w:sz w:val="24"/>
                <w:lang w:eastAsia="zh-CN"/>
              </w:rPr>
              <w:t>及其以上</w:t>
            </w:r>
            <w:r>
              <w:rPr>
                <w:rFonts w:hint="default" w:ascii="Times New Roman" w:hAnsi="Times New Roman" w:eastAsia="仿宋_GB2312" w:cs="Times New Roman"/>
                <w:color w:val="000000"/>
                <w:kern w:val="0"/>
                <w:sz w:val="24"/>
              </w:rPr>
              <w:t>林业、草原有害生物灾害；</w:t>
            </w:r>
          </w:p>
          <w:p>
            <w:pPr>
              <w:widowControl/>
              <w:ind w:firstLine="480" w:firstLineChars="200"/>
              <w:jc w:val="left"/>
              <w:textAlignment w:val="top"/>
              <w:rPr>
                <w:rFonts w:hint="eastAsia" w:ascii="Times New Roman" w:hAnsi="Times New Roman" w:eastAsia="仿宋_GB2312" w:cs="Times New Roman"/>
                <w:color w:val="000000"/>
                <w:kern w:val="0"/>
                <w:sz w:val="24"/>
                <w:lang w:eastAsia="zh-CN"/>
              </w:rPr>
            </w:pPr>
            <w:r>
              <w:rPr>
                <w:rFonts w:hint="default" w:ascii="Times New Roman" w:hAnsi="Times New Roman" w:eastAsia="仿宋_GB2312" w:cs="Times New Roman"/>
                <w:color w:val="000000"/>
                <w:kern w:val="0"/>
                <w:sz w:val="24"/>
              </w:rPr>
              <w:t xml:space="preserve">2. 发生在省与省交界区2个月未得到有效控制的较大林业有害生物灾害。 </w:t>
            </w:r>
          </w:p>
          <w:p>
            <w:pPr>
              <w:widowControl/>
              <w:ind w:firstLine="480" w:firstLineChars="200"/>
              <w:jc w:val="left"/>
              <w:textAlignment w:val="top"/>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3. 首次发现外来检疫性有害生物入侵，初判有林木、草地受害，有扩散趋势的；</w:t>
            </w:r>
          </w:p>
          <w:p>
            <w:pPr>
              <w:widowControl/>
              <w:ind w:firstLine="480" w:firstLineChars="200"/>
              <w:jc w:val="left"/>
              <w:textAlignment w:val="top"/>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4. 首次发现国（境）外新传入的有害生物入侵，受害面积大于1亩。</w:t>
            </w:r>
          </w:p>
        </w:tc>
      </w:tr>
    </w:tbl>
    <w:p>
      <w:pPr>
        <w:tabs>
          <w:tab w:val="right" w:pos="14570"/>
        </w:tabs>
        <w:bidi w:val="0"/>
        <w:jc w:val="left"/>
        <w:rPr>
          <w:rFonts w:hint="default" w:ascii="Times New Roman" w:hAnsi="Times New Roman" w:eastAsia="宋体" w:cs="Times New Roman"/>
          <w:kern w:val="2"/>
          <w:sz w:val="21"/>
          <w:szCs w:val="24"/>
          <w:lang w:val="en-US" w:eastAsia="zh-CN" w:bidi="ar-SA"/>
        </w:rPr>
        <w:sectPr>
          <w:footerReference r:id="rId5" w:type="first"/>
          <w:footerReference r:id="rId3" w:type="default"/>
          <w:footerReference r:id="rId4" w:type="even"/>
          <w:pgSz w:w="16838" w:h="11906" w:orient="landscape"/>
          <w:pgMar w:top="2268" w:right="1701" w:bottom="1701" w:left="1701" w:header="851" w:footer="992" w:gutter="0"/>
          <w:pgNumType w:fmt="numberInDash"/>
          <w:cols w:space="720" w:num="1"/>
          <w:titlePg/>
          <w:rtlGutter w:val="0"/>
          <w:docGrid w:type="lines" w:linePitch="317"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TM3M2Q2NDY2ZWFhZGMxNzhmOTcyN2M4MzdhYTcifQ=="/>
  </w:docVars>
  <w:rsids>
    <w:rsidRoot w:val="0B4F0DF4"/>
    <w:rsid w:val="0B4F0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rPr>
      <w:b/>
      <w:color w:val="538135"/>
      <w:sz w:val="28"/>
    </w:rPr>
  </w:style>
  <w:style w:type="paragraph" w:styleId="3">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2024-01-10T08:33:00Z</dcterms:created>
  <dc:creator>左</dc:creator>
  <cp:lastModifiedBy>左</cp:lastModifiedBy>
  <dcterms:modified xsi:type="dcterms:W3CDTF">2024-01-10T08:34:00Z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499704F2CDEA4CB2ABC8BBD6459F9F6F_11</vt:lpwstr>
  </property>
</Properties>
</file>