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bidi="ar"/>
        </w:rPr>
      </w:pPr>
      <w:r>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eastAsia="zh-CN" w:bidi="ar"/>
        </w:rPr>
        <w:t>繁峙县</w:t>
      </w:r>
      <w:r>
        <w:rPr>
          <w:rFonts w:hint="eastAsia" w:ascii="方正小标宋简体" w:hAnsi="方正小标宋简体" w:eastAsia="方正小标宋简体" w:cs="方正小标宋简体"/>
          <w:i w:val="0"/>
          <w:iCs w:val="0"/>
          <w:caps w:val="0"/>
          <w:color w:val="333333"/>
          <w:spacing w:val="0"/>
          <w:kern w:val="0"/>
          <w:sz w:val="44"/>
          <w:szCs w:val="44"/>
          <w:shd w:val="clear" w:color="auto" w:fill="FFFFFF"/>
          <w:lang w:bidi="ar"/>
        </w:rPr>
        <w:t>行政执法案卷评查制度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为了规范行政执法案卷评查，加强行政执法内部监督制约，确保严格规范公正文明执法，促进依法行政，根据《</w:t>
      </w:r>
      <w:r>
        <w:rPr>
          <w:rFonts w:hint="eastAsia" w:ascii="仿宋_GB2312" w:hAnsi="仿宋_GB2312" w:eastAsia="仿宋_GB2312" w:cs="仿宋_GB2312"/>
          <w:sz w:val="32"/>
          <w:szCs w:val="32"/>
          <w:lang w:val="en-US" w:eastAsia="zh-CN"/>
        </w:rPr>
        <w:t>中华人民共和国行政许可法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中华人民共和国行政处罚法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中华人民共和国行政强制法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山西省行政执法条例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等有关规定，结合本</w:t>
      </w:r>
      <w:r>
        <w:rPr>
          <w:rFonts w:hint="eastAsia" w:ascii="仿宋_GB2312" w:hAnsi="仿宋_GB2312" w:eastAsia="仿宋_GB2312" w:cs="仿宋_GB2312"/>
          <w:sz w:val="32"/>
          <w:szCs w:val="32"/>
          <w:lang w:val="en-US" w:eastAsia="zh-CN"/>
        </w:rPr>
        <w:t>地</w:t>
      </w:r>
      <w:r>
        <w:rPr>
          <w:rFonts w:hint="eastAsia" w:ascii="仿宋_GB2312" w:hAnsi="仿宋_GB2312" w:eastAsia="仿宋_GB2312" w:cs="仿宋_GB2312"/>
          <w:sz w:val="32"/>
          <w:szCs w:val="32"/>
        </w:rPr>
        <w:t>实际，制定本</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本</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rPr>
        <w:t>适用于对本行政区域内行政执法案卷进行评议、考核、检查的活动。</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行政执法案卷评查应当依法、公平、公正开展，坚持实体规范与程序规范相结合、评查结果与落实执法责任相结合的原则。</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w:t>
      </w:r>
      <w:r>
        <w:rPr>
          <w:rFonts w:hint="eastAsia" w:ascii="仿宋_GB2312" w:hAnsi="仿宋_GB2312" w:eastAsia="仿宋_GB2312" w:cs="仿宋_GB2312"/>
          <w:color w:val="auto"/>
          <w:sz w:val="32"/>
          <w:szCs w:val="32"/>
        </w:rPr>
        <w:t>县级以上人民政府</w:t>
      </w:r>
      <w:r>
        <w:rPr>
          <w:rFonts w:hint="eastAsia" w:ascii="仿宋_GB2312" w:hAnsi="仿宋_GB2312" w:eastAsia="仿宋_GB2312" w:cs="仿宋_GB2312"/>
          <w:sz w:val="32"/>
          <w:szCs w:val="32"/>
        </w:rPr>
        <w:t>是本行政区域内行政执法案卷评查工作的评查主体，负责对其所属行政执法部门、法律法规授权的组织以及下级人民政府的行政执法案卷进行评查，具体工作由</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承担。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rPr>
        <w:t>县级以上人民政府行政执法部门</w:t>
      </w:r>
      <w:r>
        <w:rPr>
          <w:rFonts w:hint="eastAsia" w:ascii="仿宋_GB2312" w:hAnsi="仿宋_GB2312" w:eastAsia="仿宋_GB2312" w:cs="仿宋_GB2312"/>
          <w:sz w:val="32"/>
          <w:szCs w:val="32"/>
        </w:rPr>
        <w:t>是本系统、本部门行政执法案卷评查工作的评查主体，负责对本系统、本部门的行政执法案卷进行评查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县级以上人民政府及其行政执法部门应当加强行政执法案卷评查工作的信息化建设。</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县级以上人民政府行政执法部门应当对其上一年度或者本年度的行政执法案卷进行一次评查。</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县级以上人民政府及其行政执法部门应当结合年度依法行政考评工作，把行政执法案卷评查情况作为重要内容。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第二章　评查方式与程序</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行政执法案卷评查的方式包括普查和抽查。</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抽查可以采取随机抽取和自行选送的方式。</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评查主体可以设立若干评查小组，开展案卷评查工作。评查主体可以邀请人大代表、政协委员、有关专家、学者、行政执法人员等参加。</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评查工作人员可能影响公正评查的，应当回避。</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评查工作人员应当分别查阅案卷，独立评分，书面记录评查得分、扣分理由并签名。</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行政执法案卷评查以查阅行政执法案卷为主，结合听取汇报、问卷调查、电子信息统计等形式进行；必要时，可以向受评查案卷的承办人员、案卷管理人员或者其他工作人员调查核实有关情况。</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行政执法案卷评查按照下列程序进行：</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（一）制订评查工作方案，明确案卷评查的时间、范围、步骤和要求等。</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（二）确</w:t>
      </w:r>
      <w:r>
        <w:rPr>
          <w:rFonts w:hint="eastAsia" w:ascii="仿宋_GB2312" w:hAnsi="仿宋_GB2312" w:eastAsia="仿宋_GB2312" w:cs="仿宋_GB2312"/>
          <w:spacing w:val="-6"/>
          <w:sz w:val="32"/>
          <w:szCs w:val="32"/>
        </w:rPr>
        <w:t>定评查小组及其评查工作人员，并进行必要培训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（三）评查小组进行评查，评定每个受评查案卷的等次。</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（四）评查小组向评查主体提交评查小组报告。</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（五）评查主体对评查小组报告进行审核，必要时可以对不合格的案卷进行复评。</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w:t>
      </w:r>
      <w:r>
        <w:rPr>
          <w:rFonts w:hint="eastAsia" w:ascii="仿宋_GB2312" w:hAnsi="仿宋_GB2312" w:eastAsia="仿宋_GB2312" w:cs="仿宋_GB2312"/>
          <w:spacing w:val="-6"/>
          <w:sz w:val="32"/>
          <w:szCs w:val="32"/>
        </w:rPr>
        <w:t>评查主体将审核后的评查小组报告反馈给评查对象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评查对象对评查小组报告有异议的，可以在收到评查小组报告之日起10个工作日内向评查主体提出书面复核申请；评查主体应当在收到复核申请之日起10个工作日内进行复核，并将复核结果书面告知评查对象。</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（八）评查主体对评查小组报告进行梳理、研究、汇总，形成评查总体报告并进行通报。</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评查小组报告包括下列内容：</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（一）评查对象；</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（二）评查工作人员；</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（三）评查案卷的数量、名称及卷宗号；</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（四）等次评定情况；</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（五）评查发现的主要问题；</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 w:hAnsi="仿宋" w:eastAsia="仿宋" w:cs="仿宋"/>
          <w:b/>
          <w:bCs/>
          <w:sz w:val="32"/>
          <w:szCs w:val="32"/>
        </w:rPr>
      </w:pPr>
      <w:r>
        <w:rPr>
          <w:rFonts w:hint="eastAsia" w:ascii="仿宋_GB2312" w:hAnsi="仿宋_GB2312" w:eastAsia="仿宋_GB2312" w:cs="仿宋_GB2312"/>
          <w:sz w:val="32"/>
          <w:szCs w:val="32"/>
        </w:rPr>
        <w:t>　　（六）整改建议。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　评查内容与标准</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行政执法案卷评查的主要内容包括：</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（一）执法决定认定的事实、证据；</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（二）执法决定适用的法律依据；</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（三）执法程序；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（四）执法主体资格、行政执法人员资格及其执法权限；</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（五）行政执法全过程记录和重大执法决定法制审核的情况；</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（六）自由裁量权的行使；</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（七）执法文书的格式；</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（八）执法文书的送达；</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（九）执法决定的执行；</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（十）案件结案后归档的情况；</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w:t>
      </w:r>
      <w:r>
        <w:rPr>
          <w:rFonts w:hint="eastAsia" w:ascii="仿宋_GB2312" w:hAnsi="仿宋_GB2312" w:eastAsia="仿宋_GB2312" w:cs="仿宋_GB2312"/>
          <w:spacing w:val="-6"/>
          <w:sz w:val="32"/>
          <w:szCs w:val="32"/>
        </w:rPr>
        <w:t>法律、法规、规章以及评查主体确定的其他事项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行政执法案卷评查标准，</w:t>
      </w:r>
      <w:r>
        <w:rPr>
          <w:rFonts w:hint="eastAsia" w:ascii="仿宋_GB2312" w:hAnsi="仿宋_GB2312" w:eastAsia="仿宋_GB2312" w:cs="仿宋_GB2312"/>
          <w:sz w:val="32"/>
          <w:szCs w:val="32"/>
          <w:lang w:val="en-US" w:eastAsia="zh-CN"/>
        </w:rPr>
        <w:t>分为合法性标准和规范性标准。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合法性标准是行政执法行为是否合法的标准。合法性标准不设具体分数。不符合其中任何一项合法性标准内容的，该案卷为不合格案卷。</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规范性标准是行政执法案卷文书的基本要素是否齐备、填写是否规范的标准。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因不符合合法性标准而被评为不合格案卷的，仍要按照规范性标准评查案卷的规范性。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行政执法案卷具体评查标准，另行制定。</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对具体行政执法案卷的评查实行百分制。根据评查标准进行评分，评定为优秀、良好、合格和不合格4个等次：</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（一）未满60分的，为不合格；</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（二）60分以上未满75分的，为合格；</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（三）75分以上未满90分的，为良好；</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（四）90分以上的，为优秀。</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第十七条</w:t>
      </w:r>
      <w:r>
        <w:rPr>
          <w:rFonts w:hint="eastAsia" w:ascii="仿宋_GB2312" w:hAnsi="仿宋_GB2312" w:eastAsia="仿宋_GB2312" w:cs="仿宋_GB2312"/>
          <w:sz w:val="32"/>
          <w:szCs w:val="32"/>
        </w:rPr>
        <w:t>　案卷记录的行政执法行为有下列情形之一的，应当评定记录该行政执法行为的案卷为不合格行政执法案卷：</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（一）主要事实不清、证据不足的；</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（二）适用法律依据错误的；</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（三）违反法定程序的；</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（四）超越或者滥用职权的；</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（五）</w:t>
      </w:r>
      <w:r>
        <w:rPr>
          <w:rFonts w:hint="eastAsia" w:ascii="仿宋_GB2312" w:hAnsi="仿宋_GB2312" w:eastAsia="仿宋_GB2312" w:cs="仿宋_GB2312"/>
          <w:spacing w:val="-6"/>
          <w:sz w:val="32"/>
          <w:szCs w:val="32"/>
        </w:rPr>
        <w:t>执法主体不合法、行政执法人员不具备执法资格的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评查结果与处理</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b/>
          <w:bCs/>
          <w:sz w:val="32"/>
          <w:szCs w:val="32"/>
        </w:rPr>
        <w:t>　第十八条</w:t>
      </w:r>
      <w:r>
        <w:rPr>
          <w:rFonts w:hint="eastAsia" w:ascii="仿宋_GB2312" w:hAnsi="仿宋_GB2312" w:eastAsia="仿宋_GB2312" w:cs="仿宋_GB2312"/>
          <w:sz w:val="32"/>
          <w:szCs w:val="32"/>
        </w:rPr>
        <w:t>　评查主体可以将行政执法案卷评查的情况，通过报刊、广播电视、网络等方式向社会公众公布。</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行政执法部门的行政执法案卷评查总体报告，应当报送同级</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备案。</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评查小组在案卷评查过程中发现行政执法违法或者明显不当，应当要求评查对象改正；能够当场改正的，评查对象应当当场改正。</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在行政执法案卷评查中，发现行政执法主体有下列情形之一的，可以发出《行政执法督察建议书》，提出限期整改的建议；逾期拒不整改或者情节严重的，可以报请本级人民政府发出《行政执法督察决定书》，予以纠正或者责令改正：</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（一）执法主体、执法权限、执法程序不合法，执法决定不合法或者明显不当，不履行或者不正确履行法定职责的；</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（二）拒绝接受行政执法案卷评查的；</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（三）干扰、阻扰案卷评查活动的。</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在行政执法案卷评查过程中，发现行政执法主体制作虚假案卷材料的，应当报请本级人民政府发出《行政执法督察决定书》，予以纠正或者责令改正。</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行政执法主体应当自收到《行政执法督察建议书》之日起30日内整改落实，并向提出建议的</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报送整改落实情况。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行政执法主体对《行政执法督察建议书》有异议的，可以自收到《行政执法督察建议书》之日起15日内，向上一级人民</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申请复查，上一级人民</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应当自收到申请之日起15日内予以复查。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行政执法主体应当自收到《行政执法督察决定书》之日起立即执行，并在30日内向发出决定的</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报送执行情况。</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行政执法部门在案卷评查过程中，依法可以对本系统、本部门存在的问题作出监督处理。</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对行政执法部门作出的监督处理，下级行政执法部门、行政执法部门内设机构应当及时整改落实。</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第二十五条　</w:t>
      </w:r>
      <w:r>
        <w:rPr>
          <w:rFonts w:hint="eastAsia" w:ascii="仿宋_GB2312" w:hAnsi="仿宋_GB2312" w:eastAsia="仿宋_GB2312" w:cs="仿宋_GB2312"/>
          <w:sz w:val="32"/>
          <w:szCs w:val="32"/>
        </w:rPr>
        <w:t>对于不合格案卷较多的行政执法主体，</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可以报请本级人民政府或者行政执法部门给予通报批评。</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对于承办不合格案卷较多的行政执法人员，所在单位予以通报批评，</w:t>
      </w:r>
      <w:r>
        <w:rPr>
          <w:rFonts w:hint="eastAsia" w:ascii="仿宋_GB2312" w:hAnsi="仿宋_GB2312" w:eastAsia="仿宋_GB2312" w:cs="仿宋_GB2312"/>
          <w:sz w:val="32"/>
          <w:szCs w:val="32"/>
          <w:lang w:eastAsia="zh-CN"/>
        </w:rPr>
        <w:t>司法行政机关</w:t>
      </w:r>
      <w:r>
        <w:rPr>
          <w:rFonts w:hint="eastAsia" w:ascii="仿宋_GB2312" w:hAnsi="仿宋_GB2312" w:eastAsia="仿宋_GB2312" w:cs="仿宋_GB2312"/>
          <w:sz w:val="32"/>
          <w:szCs w:val="32"/>
        </w:rPr>
        <w:t>可以建议调离执法岗位。</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第二十六条</w:t>
      </w:r>
      <w:r>
        <w:rPr>
          <w:rFonts w:hint="eastAsia" w:ascii="仿宋_GB2312" w:hAnsi="仿宋_GB2312" w:eastAsia="仿宋_GB2312" w:cs="仿宋_GB2312"/>
          <w:sz w:val="32"/>
          <w:szCs w:val="32"/>
        </w:rPr>
        <w:t>　行政执法案卷评查工作人员在案卷评查过程中滥用职权、徇私舞弊、玩忽职守的，对直接负责的主管人员和其他直接责任人员依法给予处分。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附　则</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对受委托实施行政执法的组织的案卷评查，适用本</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本</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发布之日</w:t>
      </w:r>
      <w:r>
        <w:rPr>
          <w:rFonts w:hint="eastAsia" w:ascii="仿宋_GB2312" w:hAnsi="仿宋_GB2312" w:eastAsia="仿宋_GB2312" w:cs="仿宋_GB2312"/>
          <w:sz w:val="32"/>
          <w:szCs w:val="32"/>
        </w:rPr>
        <w:t>起施行。</w:t>
      </w:r>
    </w:p>
    <w:p>
      <w:pPr>
        <w:pStyle w:val="5"/>
        <w:keepNext w:val="0"/>
        <w:keepLines w:val="0"/>
        <w:pageBreakBefore w:val="0"/>
        <w:widowControl w:val="0"/>
        <w:kinsoku/>
        <w:wordWrap/>
        <w:overflowPunct/>
        <w:topLinePunct w:val="0"/>
        <w:autoSpaceDE/>
        <w:autoSpaceDN/>
        <w:bidi w:val="0"/>
        <w:adjustRightInd/>
        <w:snapToGrid w:val="0"/>
        <w:spacing w:after="0" w:afterLines="0" w:line="600" w:lineRule="exact"/>
        <w:ind w:left="0" w:leftChars="0" w:firstLine="0" w:firstLineChars="0"/>
        <w:textAlignment w:val="auto"/>
        <w:rPr>
          <w:rFonts w:hint="eastAsia"/>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480D3649"/>
    <w:rsid w:val="480D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left="200" w:leftChars="200" w:firstLine="200" w:firstLineChars="200"/>
      <w:jc w:val="left"/>
    </w:pPr>
    <w:rPr>
      <w:rFonts w:eastAsia="仿宋_GB2312" w:cs="Calibri"/>
      <w:kern w:val="0"/>
      <w:sz w:val="24"/>
    </w:rPr>
  </w:style>
  <w:style w:type="paragraph" w:customStyle="1" w:styleId="3">
    <w:name w:val="正文文本缩进1"/>
    <w:basedOn w:val="1"/>
    <w:qFormat/>
    <w:uiPriority w:val="0"/>
    <w:pPr>
      <w:ind w:left="200" w:leftChars="200"/>
    </w:p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Body Text First Indent 2"/>
    <w:next w:val="1"/>
    <w:qFormat/>
    <w:uiPriority w:val="0"/>
    <w:pPr>
      <w:widowControl w:val="0"/>
      <w:spacing w:after="120" w:afterLines="0" w:afterAutospacing="0"/>
      <w:ind w:left="0" w:leftChars="0"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2022-12-16T05:33:00Z</dcterms:created>
  <dc:creator>左</dc:creator>
  <cp:lastModifiedBy>左</cp:lastModifiedBy>
  <dcterms:modified xsi:type="dcterms:W3CDTF">2022-12-16T05:33:50Z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BF5D052AF38746DCA8474FD1007334AD</vt:lpwstr>
  </property>
</Properties>
</file>